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2A66" w14:textId="4B51439D" w:rsidR="001E566F" w:rsidRPr="0090062F" w:rsidRDefault="001E566F" w:rsidP="001E566F">
      <w:pPr>
        <w:jc w:val="center"/>
        <w:rPr>
          <w:rFonts w:ascii="Arial" w:hAnsi="Arial" w:cs="Arial"/>
          <w:bCs/>
          <w:sz w:val="24"/>
          <w:szCs w:val="24"/>
        </w:rPr>
      </w:pPr>
      <w:r w:rsidRPr="0090062F">
        <w:rPr>
          <w:rFonts w:ascii="Arial" w:hAnsi="Arial" w:cs="Arial"/>
          <w:bCs/>
          <w:sz w:val="24"/>
          <w:szCs w:val="24"/>
        </w:rPr>
        <w:t xml:space="preserve">Ο ΠΕΡΙ ΤΗΣ ΕΞΩΤΕΡΙΚΗΣ ΥΠΗΡΕΣΙΑΣ </w:t>
      </w:r>
      <w:r w:rsidR="00B10D77">
        <w:rPr>
          <w:rFonts w:ascii="Arial" w:hAnsi="Arial" w:cs="Arial"/>
          <w:bCs/>
          <w:sz w:val="24"/>
          <w:szCs w:val="24"/>
        </w:rPr>
        <w:t xml:space="preserve">ΤΗΣ ΔΗΜΟΚΡΑΤΙΑΣ </w:t>
      </w:r>
      <w:r w:rsidRPr="0090062F">
        <w:rPr>
          <w:rFonts w:ascii="Arial" w:hAnsi="Arial" w:cs="Arial"/>
          <w:bCs/>
          <w:sz w:val="24"/>
          <w:szCs w:val="24"/>
        </w:rPr>
        <w:t>ΝΟΜΟΣ</w:t>
      </w:r>
    </w:p>
    <w:p w14:paraId="3D85662B" w14:textId="77777777" w:rsidR="001E566F" w:rsidRPr="004051FD" w:rsidRDefault="001E566F" w:rsidP="001E566F">
      <w:pPr>
        <w:jc w:val="center"/>
        <w:rPr>
          <w:rFonts w:ascii="Arial" w:hAnsi="Arial" w:cs="Arial"/>
          <w:bCs/>
          <w:sz w:val="24"/>
          <w:szCs w:val="24"/>
        </w:rPr>
      </w:pPr>
    </w:p>
    <w:p w14:paraId="41AD54AA" w14:textId="77777777" w:rsidR="001E566F" w:rsidRDefault="001E566F" w:rsidP="001E566F">
      <w:pPr>
        <w:jc w:val="center"/>
        <w:rPr>
          <w:rFonts w:ascii="Arial" w:hAnsi="Arial" w:cs="Arial"/>
          <w:bCs/>
          <w:sz w:val="24"/>
          <w:szCs w:val="24"/>
        </w:rPr>
      </w:pPr>
      <w:r w:rsidRPr="004051FD">
        <w:rPr>
          <w:rFonts w:ascii="Arial" w:hAnsi="Arial" w:cs="Arial"/>
          <w:bCs/>
          <w:sz w:val="24"/>
          <w:szCs w:val="24"/>
        </w:rPr>
        <w:t>Κανονισμοί δυνάμει του άρθρου 7(2)(</w:t>
      </w:r>
      <w:proofErr w:type="spellStart"/>
      <w:r w:rsidRPr="004051FD">
        <w:rPr>
          <w:rFonts w:ascii="Arial" w:hAnsi="Arial" w:cs="Arial"/>
          <w:bCs/>
          <w:sz w:val="24"/>
          <w:szCs w:val="24"/>
        </w:rPr>
        <w:t>στ</w:t>
      </w:r>
      <w:proofErr w:type="spellEnd"/>
      <w:r w:rsidRPr="004051FD">
        <w:rPr>
          <w:rFonts w:ascii="Arial" w:hAnsi="Arial" w:cs="Arial"/>
          <w:bCs/>
          <w:sz w:val="24"/>
          <w:szCs w:val="24"/>
        </w:rPr>
        <w:t>) και (η)</w:t>
      </w:r>
    </w:p>
    <w:p w14:paraId="46D0041E" w14:textId="77777777" w:rsidR="001E566F" w:rsidRDefault="001E566F" w:rsidP="001E566F">
      <w:pPr>
        <w:jc w:val="center"/>
        <w:rPr>
          <w:rFonts w:ascii="Arial" w:hAnsi="Arial" w:cs="Arial"/>
          <w:bC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095"/>
        <w:gridCol w:w="6417"/>
      </w:tblGrid>
      <w:tr w:rsidR="001E566F" w14:paraId="6A02B860" w14:textId="77777777" w:rsidTr="001E566F">
        <w:tc>
          <w:tcPr>
            <w:tcW w:w="1103" w:type="pct"/>
          </w:tcPr>
          <w:p w14:paraId="6BC641B6" w14:textId="77777777" w:rsidR="001E566F" w:rsidRDefault="001E566F" w:rsidP="001E566F">
            <w:pPr>
              <w:rPr>
                <w:rFonts w:ascii="Arial" w:hAnsi="Arial" w:cs="Arial"/>
                <w:bCs/>
                <w:sz w:val="24"/>
                <w:szCs w:val="24"/>
              </w:rPr>
            </w:pPr>
          </w:p>
          <w:p w14:paraId="69D379C7" w14:textId="77777777" w:rsidR="000A7248" w:rsidRDefault="000A7248" w:rsidP="001E566F">
            <w:pPr>
              <w:ind w:right="57"/>
              <w:jc w:val="right"/>
              <w:rPr>
                <w:rFonts w:ascii="Arial" w:hAnsi="Arial" w:cs="Arial"/>
                <w:color w:val="000000"/>
                <w:sz w:val="24"/>
                <w:szCs w:val="24"/>
              </w:rPr>
            </w:pPr>
          </w:p>
          <w:p w14:paraId="5FB1A255" w14:textId="43568906" w:rsidR="001E566F" w:rsidRDefault="001E566F" w:rsidP="001E566F">
            <w:pPr>
              <w:ind w:right="57"/>
              <w:jc w:val="right"/>
              <w:rPr>
                <w:rFonts w:ascii="Arial" w:hAnsi="Arial" w:cs="Arial"/>
                <w:bCs/>
                <w:sz w:val="24"/>
                <w:szCs w:val="24"/>
              </w:rPr>
            </w:pPr>
            <w:r w:rsidRPr="0090062F">
              <w:rPr>
                <w:rFonts w:ascii="Arial" w:hAnsi="Arial" w:cs="Arial"/>
                <w:color w:val="000000"/>
                <w:sz w:val="24"/>
                <w:szCs w:val="24"/>
                <w:lang w:val="en-US"/>
              </w:rPr>
              <w:t xml:space="preserve">25(I) </w:t>
            </w:r>
            <w:r w:rsidRPr="0090062F">
              <w:rPr>
                <w:rFonts w:ascii="Arial" w:hAnsi="Arial" w:cs="Arial"/>
                <w:color w:val="000000"/>
                <w:sz w:val="24"/>
                <w:szCs w:val="24"/>
              </w:rPr>
              <w:t>του 2006.</w:t>
            </w:r>
          </w:p>
        </w:tc>
        <w:tc>
          <w:tcPr>
            <w:tcW w:w="3897" w:type="pct"/>
            <w:gridSpan w:val="2"/>
          </w:tcPr>
          <w:p w14:paraId="3CAD938F" w14:textId="27DDFF45" w:rsidR="001E566F" w:rsidRDefault="001E566F" w:rsidP="001E566F">
            <w:pPr>
              <w:rPr>
                <w:rFonts w:ascii="Arial" w:hAnsi="Arial" w:cs="Arial"/>
                <w:bCs/>
                <w:sz w:val="24"/>
                <w:szCs w:val="24"/>
              </w:rPr>
            </w:pPr>
            <w:r w:rsidRPr="0090062F">
              <w:rPr>
                <w:rFonts w:ascii="Arial" w:hAnsi="Arial" w:cs="Arial"/>
                <w:sz w:val="24"/>
                <w:szCs w:val="24"/>
              </w:rPr>
              <w:t>Το Υπουργικό Συμβούλιο</w:t>
            </w:r>
            <w:r>
              <w:rPr>
                <w:rFonts w:ascii="Arial" w:hAnsi="Arial" w:cs="Arial"/>
                <w:sz w:val="24"/>
                <w:szCs w:val="24"/>
              </w:rPr>
              <w:t>,</w:t>
            </w:r>
            <w:r w:rsidRPr="0090062F">
              <w:rPr>
                <w:rFonts w:ascii="Arial" w:hAnsi="Arial" w:cs="Arial"/>
                <w:sz w:val="24"/>
                <w:szCs w:val="24"/>
              </w:rPr>
              <w:t xml:space="preserve"> ασκώντας τις εξουσίες που του χορηγούνται, σύμφωνα με τις παραγράφους (</w:t>
            </w:r>
            <w:proofErr w:type="spellStart"/>
            <w:r w:rsidRPr="0090062F">
              <w:rPr>
                <w:rFonts w:ascii="Arial" w:hAnsi="Arial" w:cs="Arial"/>
                <w:sz w:val="24"/>
                <w:szCs w:val="24"/>
              </w:rPr>
              <w:t>στ</w:t>
            </w:r>
            <w:proofErr w:type="spellEnd"/>
            <w:r w:rsidRPr="0090062F">
              <w:rPr>
                <w:rFonts w:ascii="Arial" w:hAnsi="Arial" w:cs="Arial"/>
                <w:sz w:val="24"/>
                <w:szCs w:val="24"/>
              </w:rPr>
              <w:t xml:space="preserve">) και (η) του εδαφίου (2) του άρθρου 7 του περί Εξωτερικής Υπηρεσίας </w:t>
            </w:r>
            <w:r w:rsidR="00B10D77">
              <w:rPr>
                <w:rFonts w:ascii="Arial" w:hAnsi="Arial" w:cs="Arial"/>
                <w:sz w:val="24"/>
                <w:szCs w:val="24"/>
              </w:rPr>
              <w:t xml:space="preserve">της Δημοκρατίας </w:t>
            </w:r>
            <w:r w:rsidRPr="0090062F">
              <w:rPr>
                <w:rFonts w:ascii="Arial" w:hAnsi="Arial" w:cs="Arial"/>
                <w:sz w:val="24"/>
                <w:szCs w:val="24"/>
              </w:rPr>
              <w:t>Νόμου, εκδίδει τους ακόλουθους Κανονισμούς:</w:t>
            </w:r>
          </w:p>
        </w:tc>
      </w:tr>
      <w:tr w:rsidR="001E566F" w14:paraId="04AA3C65" w14:textId="77777777" w:rsidTr="001E566F">
        <w:tc>
          <w:tcPr>
            <w:tcW w:w="1103" w:type="pct"/>
          </w:tcPr>
          <w:p w14:paraId="6F0AF4D8" w14:textId="77777777" w:rsidR="001E566F" w:rsidRDefault="001E566F" w:rsidP="001E566F">
            <w:pPr>
              <w:rPr>
                <w:rFonts w:ascii="Arial" w:hAnsi="Arial" w:cs="Arial"/>
                <w:bCs/>
                <w:sz w:val="24"/>
                <w:szCs w:val="24"/>
              </w:rPr>
            </w:pPr>
          </w:p>
        </w:tc>
        <w:tc>
          <w:tcPr>
            <w:tcW w:w="3897" w:type="pct"/>
            <w:gridSpan w:val="2"/>
          </w:tcPr>
          <w:p w14:paraId="125FEA3F" w14:textId="77777777" w:rsidR="001E566F" w:rsidRPr="0090062F" w:rsidRDefault="001E566F" w:rsidP="001E566F">
            <w:pPr>
              <w:rPr>
                <w:rFonts w:ascii="Arial" w:hAnsi="Arial" w:cs="Arial"/>
                <w:sz w:val="24"/>
                <w:szCs w:val="24"/>
              </w:rPr>
            </w:pPr>
          </w:p>
        </w:tc>
      </w:tr>
      <w:tr w:rsidR="001E566F" w14:paraId="78B49B98" w14:textId="77777777" w:rsidTr="001E566F">
        <w:tc>
          <w:tcPr>
            <w:tcW w:w="1103" w:type="pct"/>
          </w:tcPr>
          <w:p w14:paraId="2C4AC863" w14:textId="77777777" w:rsidR="001E566F" w:rsidRDefault="001E566F" w:rsidP="001E566F">
            <w:pPr>
              <w:widowControl w:val="0"/>
              <w:jc w:val="left"/>
              <w:rPr>
                <w:rFonts w:ascii="Arial" w:hAnsi="Arial" w:cs="Arial"/>
                <w:color w:val="000000"/>
                <w:sz w:val="24"/>
                <w:szCs w:val="24"/>
              </w:rPr>
            </w:pPr>
            <w:r w:rsidRPr="0090062F">
              <w:rPr>
                <w:rFonts w:ascii="Arial" w:hAnsi="Arial" w:cs="Arial"/>
                <w:color w:val="000000"/>
                <w:sz w:val="24"/>
                <w:szCs w:val="24"/>
              </w:rPr>
              <w:t>Συνοπτικός</w:t>
            </w:r>
          </w:p>
          <w:p w14:paraId="4BF63ACE" w14:textId="77777777" w:rsidR="001E566F" w:rsidRPr="0090062F" w:rsidRDefault="001E566F" w:rsidP="001E566F">
            <w:pPr>
              <w:widowControl w:val="0"/>
              <w:jc w:val="left"/>
              <w:rPr>
                <w:rFonts w:ascii="Arial" w:hAnsi="Arial" w:cs="Arial"/>
                <w:color w:val="000000"/>
                <w:sz w:val="24"/>
                <w:szCs w:val="24"/>
              </w:rPr>
            </w:pPr>
            <w:r w:rsidRPr="0090062F">
              <w:rPr>
                <w:rFonts w:ascii="Arial" w:hAnsi="Arial" w:cs="Arial"/>
                <w:color w:val="000000"/>
                <w:sz w:val="24"/>
                <w:szCs w:val="24"/>
              </w:rPr>
              <w:t>τίτλος.</w:t>
            </w:r>
          </w:p>
          <w:p w14:paraId="403ADD8F" w14:textId="77777777" w:rsidR="001E566F" w:rsidRPr="0090062F" w:rsidRDefault="001E566F" w:rsidP="001E566F">
            <w:pPr>
              <w:widowControl w:val="0"/>
              <w:jc w:val="left"/>
              <w:rPr>
                <w:rFonts w:ascii="Arial" w:hAnsi="Arial" w:cs="Arial"/>
                <w:color w:val="000000"/>
                <w:sz w:val="24"/>
                <w:szCs w:val="24"/>
              </w:rPr>
            </w:pPr>
            <w:r w:rsidRPr="0090062F">
              <w:rPr>
                <w:rFonts w:ascii="Arial" w:hAnsi="Arial" w:cs="Arial"/>
                <w:color w:val="000000"/>
                <w:sz w:val="24"/>
                <w:szCs w:val="24"/>
              </w:rPr>
              <w:t>Επίσημη Εφημερίδα</w:t>
            </w:r>
            <w:r>
              <w:rPr>
                <w:rFonts w:ascii="Arial" w:hAnsi="Arial" w:cs="Arial"/>
                <w:color w:val="000000"/>
                <w:sz w:val="24"/>
                <w:szCs w:val="24"/>
              </w:rPr>
              <w:t>,</w:t>
            </w:r>
          </w:p>
          <w:p w14:paraId="2D527FEE" w14:textId="77777777" w:rsidR="001E566F" w:rsidRDefault="001E566F" w:rsidP="001E566F">
            <w:pPr>
              <w:widowControl w:val="0"/>
              <w:jc w:val="left"/>
              <w:rPr>
                <w:rFonts w:ascii="Arial" w:hAnsi="Arial" w:cs="Arial"/>
                <w:color w:val="000000"/>
                <w:sz w:val="24"/>
                <w:szCs w:val="24"/>
              </w:rPr>
            </w:pPr>
            <w:r w:rsidRPr="0090062F">
              <w:rPr>
                <w:rFonts w:ascii="Arial" w:hAnsi="Arial" w:cs="Arial"/>
                <w:color w:val="000000"/>
                <w:sz w:val="24"/>
                <w:szCs w:val="24"/>
              </w:rPr>
              <w:t>Παράρτημα</w:t>
            </w:r>
          </w:p>
          <w:p w14:paraId="5102A427" w14:textId="77777777" w:rsidR="001E566F" w:rsidRPr="009A2903" w:rsidRDefault="001E566F" w:rsidP="001E566F">
            <w:pPr>
              <w:widowControl w:val="0"/>
              <w:jc w:val="left"/>
              <w:rPr>
                <w:rFonts w:ascii="Arial" w:hAnsi="Arial" w:cs="Arial"/>
                <w:color w:val="000000"/>
                <w:sz w:val="24"/>
                <w:szCs w:val="24"/>
              </w:rPr>
            </w:pPr>
            <w:r w:rsidRPr="0090062F">
              <w:rPr>
                <w:rFonts w:ascii="Arial" w:hAnsi="Arial" w:cs="Arial"/>
                <w:color w:val="000000"/>
                <w:sz w:val="24"/>
                <w:szCs w:val="24"/>
              </w:rPr>
              <w:t>Τρίτο (Ι)</w:t>
            </w:r>
            <w:r w:rsidRPr="009A2903">
              <w:rPr>
                <w:rFonts w:ascii="Arial" w:hAnsi="Arial" w:cs="Arial"/>
                <w:color w:val="000000"/>
                <w:sz w:val="24"/>
                <w:szCs w:val="24"/>
              </w:rPr>
              <w:t>:</w:t>
            </w:r>
          </w:p>
          <w:p w14:paraId="6D604C13" w14:textId="77777777" w:rsidR="001E566F" w:rsidRPr="006736FC" w:rsidRDefault="001E566F" w:rsidP="001E566F">
            <w:pPr>
              <w:widowControl w:val="0"/>
              <w:ind w:right="567"/>
              <w:jc w:val="right"/>
              <w:rPr>
                <w:rFonts w:ascii="Arial" w:hAnsi="Arial" w:cs="Arial"/>
                <w:color w:val="000000"/>
                <w:sz w:val="24"/>
                <w:szCs w:val="24"/>
              </w:rPr>
            </w:pPr>
            <w:r w:rsidRPr="006736FC">
              <w:rPr>
                <w:rFonts w:ascii="Arial" w:hAnsi="Arial" w:cs="Arial"/>
                <w:color w:val="000000"/>
                <w:sz w:val="24"/>
                <w:szCs w:val="24"/>
              </w:rPr>
              <w:t>17.3.2006</w:t>
            </w:r>
          </w:p>
          <w:p w14:paraId="225361ED" w14:textId="77777777" w:rsidR="001E566F" w:rsidRPr="006736FC" w:rsidRDefault="001E566F" w:rsidP="001E566F">
            <w:pPr>
              <w:widowControl w:val="0"/>
              <w:ind w:right="567"/>
              <w:jc w:val="right"/>
              <w:rPr>
                <w:rFonts w:ascii="Arial" w:hAnsi="Arial" w:cs="Arial"/>
                <w:color w:val="000000"/>
                <w:sz w:val="24"/>
                <w:szCs w:val="24"/>
              </w:rPr>
            </w:pPr>
            <w:r w:rsidRPr="006736FC">
              <w:rPr>
                <w:rFonts w:ascii="Arial" w:hAnsi="Arial" w:cs="Arial"/>
                <w:color w:val="000000"/>
                <w:sz w:val="24"/>
                <w:szCs w:val="24"/>
              </w:rPr>
              <w:t>29.4.2011</w:t>
            </w:r>
          </w:p>
          <w:p w14:paraId="73E07FA9" w14:textId="77777777" w:rsidR="001E566F" w:rsidRPr="006736FC" w:rsidRDefault="001E566F" w:rsidP="001E566F">
            <w:pPr>
              <w:widowControl w:val="0"/>
              <w:ind w:right="567"/>
              <w:jc w:val="right"/>
              <w:rPr>
                <w:rFonts w:ascii="Arial" w:hAnsi="Arial" w:cs="Arial"/>
                <w:color w:val="000000"/>
                <w:sz w:val="24"/>
                <w:szCs w:val="24"/>
              </w:rPr>
            </w:pPr>
            <w:r w:rsidRPr="006736FC">
              <w:rPr>
                <w:rFonts w:ascii="Arial" w:hAnsi="Arial" w:cs="Arial"/>
                <w:color w:val="000000"/>
                <w:sz w:val="24"/>
                <w:szCs w:val="24"/>
              </w:rPr>
              <w:t>28.6.2013</w:t>
            </w:r>
          </w:p>
          <w:p w14:paraId="1FC3BF08" w14:textId="068E69F0" w:rsidR="001E566F" w:rsidRDefault="001E566F" w:rsidP="001E566F">
            <w:pPr>
              <w:ind w:right="510"/>
              <w:jc w:val="right"/>
              <w:rPr>
                <w:rFonts w:ascii="Arial" w:hAnsi="Arial" w:cs="Arial"/>
                <w:bCs/>
                <w:sz w:val="24"/>
                <w:szCs w:val="24"/>
              </w:rPr>
            </w:pPr>
            <w:r w:rsidRPr="006736FC">
              <w:rPr>
                <w:rFonts w:ascii="Arial" w:hAnsi="Arial" w:cs="Arial"/>
                <w:color w:val="000000"/>
                <w:sz w:val="24"/>
                <w:szCs w:val="24"/>
              </w:rPr>
              <w:t>11.7.2014.</w:t>
            </w:r>
          </w:p>
        </w:tc>
        <w:tc>
          <w:tcPr>
            <w:tcW w:w="3897" w:type="pct"/>
            <w:gridSpan w:val="2"/>
          </w:tcPr>
          <w:p w14:paraId="3384621C" w14:textId="4C3148A7" w:rsidR="001E566F" w:rsidRPr="0090062F" w:rsidRDefault="001E566F" w:rsidP="001E566F">
            <w:pPr>
              <w:tabs>
                <w:tab w:val="left" w:pos="567"/>
              </w:tabs>
              <w:rPr>
                <w:rFonts w:ascii="Arial" w:hAnsi="Arial" w:cs="Arial"/>
                <w:sz w:val="24"/>
                <w:szCs w:val="24"/>
              </w:rPr>
            </w:pPr>
            <w:r w:rsidRPr="0090062F">
              <w:rPr>
                <w:rFonts w:ascii="Arial" w:hAnsi="Arial" w:cs="Arial"/>
                <w:sz w:val="24"/>
                <w:szCs w:val="24"/>
              </w:rPr>
              <w:t>1.</w:t>
            </w:r>
            <w:r>
              <w:rPr>
                <w:rFonts w:ascii="Arial" w:hAnsi="Arial" w:cs="Arial"/>
                <w:sz w:val="24"/>
                <w:szCs w:val="24"/>
              </w:rPr>
              <w:tab/>
            </w:r>
            <w:r w:rsidRPr="0090062F">
              <w:rPr>
                <w:rFonts w:ascii="Arial" w:hAnsi="Arial" w:cs="Arial"/>
                <w:sz w:val="24"/>
                <w:szCs w:val="24"/>
              </w:rPr>
              <w:t xml:space="preserve">Οι παρόντες Κανονισμοί θα αναφέρονται ως οι περί Εξωτερικής Υπηρεσίας της Δημοκρατίας (Ειδικοί Όροι Υπηρεσίας) (Τροποποιητικοί) Κανονισμοί του 2024 και θα διαβάζονται με τους περί Εξωτερικής Υπηρεσίας της Δημοκρατίας (Ειδικοί Όροι Υπηρεσίας) Κανονισμούς του 2006 έως 2014 (που στο εξής θα αναφέρονται ως </w:t>
            </w:r>
            <w:r w:rsidR="00B10D77">
              <w:rPr>
                <w:rFonts w:ascii="Arial" w:hAnsi="Arial" w:cs="Arial"/>
                <w:sz w:val="24"/>
                <w:szCs w:val="24"/>
              </w:rPr>
              <w:t>«</w:t>
            </w:r>
            <w:r w:rsidRPr="0090062F">
              <w:rPr>
                <w:rFonts w:ascii="Arial" w:hAnsi="Arial" w:cs="Arial"/>
                <w:sz w:val="24"/>
                <w:szCs w:val="24"/>
              </w:rPr>
              <w:t>οι βασικοί κανονισμοί») και οι βασικοί κανονισμοί και οι παρόντες Κανονισμοί θα αναφέρονται μαζί ως οι περί Εξωτερικής Υπηρεσίας της Δημοκρατίας (Ειδικοί Όροι Υπηρεσίας) Κανονισμοί του 2006 έως 2024.</w:t>
            </w:r>
          </w:p>
        </w:tc>
      </w:tr>
      <w:tr w:rsidR="001E566F" w14:paraId="295863F6" w14:textId="77777777" w:rsidTr="001E566F">
        <w:tc>
          <w:tcPr>
            <w:tcW w:w="1103" w:type="pct"/>
          </w:tcPr>
          <w:p w14:paraId="17D5E7C2" w14:textId="77777777" w:rsidR="001E566F" w:rsidRPr="0090062F" w:rsidRDefault="001E566F" w:rsidP="001E566F">
            <w:pPr>
              <w:widowControl w:val="0"/>
              <w:jc w:val="left"/>
              <w:rPr>
                <w:rFonts w:ascii="Arial" w:hAnsi="Arial" w:cs="Arial"/>
                <w:color w:val="000000"/>
                <w:sz w:val="24"/>
                <w:szCs w:val="24"/>
              </w:rPr>
            </w:pPr>
          </w:p>
        </w:tc>
        <w:tc>
          <w:tcPr>
            <w:tcW w:w="3897" w:type="pct"/>
            <w:gridSpan w:val="2"/>
          </w:tcPr>
          <w:p w14:paraId="0428B946" w14:textId="77777777" w:rsidR="001E566F" w:rsidRPr="0090062F" w:rsidRDefault="001E566F" w:rsidP="001E566F">
            <w:pPr>
              <w:tabs>
                <w:tab w:val="left" w:pos="567"/>
              </w:tabs>
              <w:rPr>
                <w:rFonts w:ascii="Arial" w:hAnsi="Arial" w:cs="Arial"/>
                <w:sz w:val="24"/>
                <w:szCs w:val="24"/>
              </w:rPr>
            </w:pPr>
          </w:p>
        </w:tc>
      </w:tr>
      <w:tr w:rsidR="001E566F" w14:paraId="467A84A3" w14:textId="77777777" w:rsidTr="001E566F">
        <w:tc>
          <w:tcPr>
            <w:tcW w:w="1103" w:type="pct"/>
          </w:tcPr>
          <w:p w14:paraId="653F29AB" w14:textId="3A7308EE" w:rsidR="001E566F" w:rsidRDefault="001E566F" w:rsidP="001E566F">
            <w:pPr>
              <w:widowControl w:val="0"/>
              <w:tabs>
                <w:tab w:val="left" w:pos="240"/>
              </w:tabs>
              <w:jc w:val="left"/>
              <w:rPr>
                <w:rFonts w:ascii="Arial" w:hAnsi="Arial" w:cs="Arial"/>
                <w:color w:val="000000"/>
                <w:sz w:val="24"/>
                <w:szCs w:val="24"/>
              </w:rPr>
            </w:pPr>
            <w:r w:rsidRPr="0090062F">
              <w:rPr>
                <w:rFonts w:ascii="Arial" w:hAnsi="Arial" w:cs="Arial"/>
                <w:color w:val="000000"/>
                <w:sz w:val="24"/>
                <w:szCs w:val="24"/>
              </w:rPr>
              <w:t>Τροποποίηση</w:t>
            </w:r>
            <w:r>
              <w:rPr>
                <w:rFonts w:ascii="Arial" w:hAnsi="Arial" w:cs="Arial"/>
                <w:color w:val="000000"/>
                <w:sz w:val="24"/>
                <w:szCs w:val="24"/>
              </w:rPr>
              <w:t xml:space="preserve"> </w:t>
            </w:r>
            <w:r w:rsidRPr="0090062F">
              <w:rPr>
                <w:rFonts w:ascii="Arial" w:hAnsi="Arial" w:cs="Arial"/>
                <w:color w:val="000000"/>
                <w:sz w:val="24"/>
                <w:szCs w:val="24"/>
              </w:rPr>
              <w:t xml:space="preserve">του </w:t>
            </w:r>
            <w:r>
              <w:rPr>
                <w:rFonts w:ascii="Arial" w:hAnsi="Arial" w:cs="Arial"/>
                <w:color w:val="000000"/>
                <w:sz w:val="24"/>
                <w:szCs w:val="24"/>
              </w:rPr>
              <w:t>Κ</w:t>
            </w:r>
            <w:r w:rsidRPr="0090062F">
              <w:rPr>
                <w:rFonts w:ascii="Arial" w:hAnsi="Arial" w:cs="Arial"/>
                <w:color w:val="000000"/>
                <w:sz w:val="24"/>
                <w:szCs w:val="24"/>
              </w:rPr>
              <w:t>ανονισμού 4</w:t>
            </w:r>
          </w:p>
          <w:p w14:paraId="0F52C525" w14:textId="432E77C3" w:rsidR="001E566F" w:rsidRPr="0090062F" w:rsidRDefault="001E566F" w:rsidP="001E566F">
            <w:pPr>
              <w:widowControl w:val="0"/>
              <w:jc w:val="left"/>
              <w:rPr>
                <w:rFonts w:ascii="Arial" w:hAnsi="Arial" w:cs="Arial"/>
                <w:color w:val="000000"/>
                <w:sz w:val="24"/>
                <w:szCs w:val="24"/>
              </w:rPr>
            </w:pPr>
            <w:r w:rsidRPr="0090062F">
              <w:rPr>
                <w:rFonts w:ascii="Arial" w:hAnsi="Arial" w:cs="Arial"/>
                <w:color w:val="000000"/>
                <w:sz w:val="24"/>
                <w:szCs w:val="24"/>
              </w:rPr>
              <w:t>των βασικών κανονισμών.</w:t>
            </w:r>
          </w:p>
        </w:tc>
        <w:tc>
          <w:tcPr>
            <w:tcW w:w="3897" w:type="pct"/>
            <w:gridSpan w:val="2"/>
          </w:tcPr>
          <w:p w14:paraId="7561DD7A" w14:textId="19BD1A45" w:rsidR="001E566F" w:rsidRPr="001E566F" w:rsidRDefault="001E566F" w:rsidP="001E566F">
            <w:pPr>
              <w:tabs>
                <w:tab w:val="left" w:pos="567"/>
              </w:tabs>
              <w:rPr>
                <w:rFonts w:ascii="Arial" w:hAnsi="Arial" w:cs="Arial"/>
                <w:b/>
                <w:bCs/>
                <w:sz w:val="24"/>
                <w:szCs w:val="24"/>
              </w:rPr>
            </w:pPr>
            <w:r w:rsidRPr="0090062F">
              <w:rPr>
                <w:rFonts w:ascii="Arial" w:hAnsi="Arial" w:cs="Arial"/>
                <w:color w:val="000000"/>
                <w:sz w:val="24"/>
                <w:szCs w:val="24"/>
              </w:rPr>
              <w:t>2.</w:t>
            </w:r>
            <w:r>
              <w:rPr>
                <w:rFonts w:ascii="Arial" w:hAnsi="Arial" w:cs="Arial"/>
                <w:color w:val="000000"/>
                <w:sz w:val="24"/>
                <w:szCs w:val="24"/>
              </w:rPr>
              <w:tab/>
              <w:t>Ο Κανονισμός 4</w:t>
            </w:r>
            <w:r w:rsidRPr="0090062F">
              <w:rPr>
                <w:rFonts w:ascii="Arial" w:hAnsi="Arial" w:cs="Arial"/>
                <w:sz w:val="24"/>
                <w:szCs w:val="24"/>
              </w:rPr>
              <w:t xml:space="preserve"> των βασικών κανονισμών </w:t>
            </w:r>
            <w:r>
              <w:rPr>
                <w:rFonts w:ascii="Arial" w:hAnsi="Arial" w:cs="Arial"/>
                <w:sz w:val="24"/>
                <w:szCs w:val="24"/>
              </w:rPr>
              <w:t>τροποποιείται με την αντικατάσταση της παραγράφου</w:t>
            </w:r>
            <w:r w:rsidRPr="0090062F">
              <w:rPr>
                <w:rFonts w:ascii="Arial" w:hAnsi="Arial" w:cs="Arial"/>
                <w:sz w:val="24"/>
                <w:szCs w:val="24"/>
              </w:rPr>
              <w:t xml:space="preserve"> (2Α)</w:t>
            </w:r>
            <w:r>
              <w:rPr>
                <w:rFonts w:ascii="Arial" w:hAnsi="Arial" w:cs="Arial"/>
                <w:sz w:val="24"/>
                <w:szCs w:val="24"/>
              </w:rPr>
              <w:t xml:space="preserve"> με την ακόλουθη παράγραφο</w:t>
            </w:r>
            <w:r w:rsidRPr="0090062F">
              <w:rPr>
                <w:rFonts w:ascii="Arial" w:hAnsi="Arial" w:cs="Arial"/>
                <w:sz w:val="24"/>
                <w:szCs w:val="24"/>
              </w:rPr>
              <w:t>:</w:t>
            </w:r>
          </w:p>
        </w:tc>
      </w:tr>
      <w:tr w:rsidR="001E566F" w14:paraId="103F5A01" w14:textId="77777777" w:rsidTr="001E566F">
        <w:tc>
          <w:tcPr>
            <w:tcW w:w="1103" w:type="pct"/>
          </w:tcPr>
          <w:p w14:paraId="5B7E3AAE" w14:textId="77777777" w:rsidR="001E566F" w:rsidRPr="0090062F" w:rsidRDefault="001E566F" w:rsidP="001E566F">
            <w:pPr>
              <w:widowControl w:val="0"/>
              <w:tabs>
                <w:tab w:val="left" w:pos="240"/>
              </w:tabs>
              <w:jc w:val="left"/>
              <w:rPr>
                <w:rFonts w:ascii="Arial" w:hAnsi="Arial" w:cs="Arial"/>
                <w:color w:val="000000"/>
                <w:sz w:val="24"/>
                <w:szCs w:val="24"/>
              </w:rPr>
            </w:pPr>
          </w:p>
        </w:tc>
        <w:tc>
          <w:tcPr>
            <w:tcW w:w="3897" w:type="pct"/>
            <w:gridSpan w:val="2"/>
          </w:tcPr>
          <w:p w14:paraId="149E195A" w14:textId="77777777" w:rsidR="001E566F" w:rsidRPr="0090062F" w:rsidRDefault="001E566F" w:rsidP="001E566F">
            <w:pPr>
              <w:tabs>
                <w:tab w:val="left" w:pos="567"/>
              </w:tabs>
              <w:rPr>
                <w:rFonts w:ascii="Arial" w:hAnsi="Arial" w:cs="Arial"/>
                <w:color w:val="000000"/>
                <w:sz w:val="24"/>
                <w:szCs w:val="24"/>
              </w:rPr>
            </w:pPr>
          </w:p>
        </w:tc>
      </w:tr>
      <w:tr w:rsidR="001E566F" w14:paraId="2DAFF6BB" w14:textId="77777777" w:rsidTr="001E566F">
        <w:tc>
          <w:tcPr>
            <w:tcW w:w="1103" w:type="pct"/>
          </w:tcPr>
          <w:p w14:paraId="3D970DD4" w14:textId="77777777" w:rsidR="001E566F" w:rsidRPr="0090062F" w:rsidRDefault="001E566F" w:rsidP="001E566F">
            <w:pPr>
              <w:widowControl w:val="0"/>
              <w:tabs>
                <w:tab w:val="left" w:pos="240"/>
              </w:tabs>
              <w:jc w:val="left"/>
              <w:rPr>
                <w:rFonts w:ascii="Arial" w:hAnsi="Arial" w:cs="Arial"/>
                <w:color w:val="000000"/>
                <w:sz w:val="24"/>
                <w:szCs w:val="24"/>
              </w:rPr>
            </w:pPr>
          </w:p>
        </w:tc>
        <w:tc>
          <w:tcPr>
            <w:tcW w:w="3897" w:type="pct"/>
            <w:gridSpan w:val="2"/>
          </w:tcPr>
          <w:p w14:paraId="66FA5C33" w14:textId="6EB8185F" w:rsidR="001E566F" w:rsidRPr="0090062F" w:rsidRDefault="001E566F" w:rsidP="001E566F">
            <w:pPr>
              <w:tabs>
                <w:tab w:val="left" w:pos="567"/>
              </w:tabs>
              <w:rPr>
                <w:rFonts w:ascii="Arial" w:hAnsi="Arial" w:cs="Arial"/>
                <w:color w:val="000000"/>
                <w:sz w:val="24"/>
                <w:szCs w:val="24"/>
              </w:rPr>
            </w:pPr>
            <w:r w:rsidRPr="0090062F">
              <w:rPr>
                <w:rFonts w:ascii="Arial" w:hAnsi="Arial" w:cs="Arial"/>
                <w:color w:val="000000"/>
                <w:sz w:val="24"/>
                <w:szCs w:val="24"/>
              </w:rPr>
              <w:t>«(2Α)</w:t>
            </w:r>
            <w:r>
              <w:rPr>
                <w:rFonts w:ascii="Arial" w:hAnsi="Arial" w:cs="Arial"/>
                <w:color w:val="000000"/>
                <w:sz w:val="24"/>
                <w:szCs w:val="24"/>
              </w:rPr>
              <w:tab/>
            </w:r>
            <w:r w:rsidRPr="0090062F">
              <w:rPr>
                <w:rFonts w:ascii="Arial" w:hAnsi="Arial" w:cs="Arial"/>
                <w:color w:val="000000"/>
                <w:sz w:val="24"/>
                <w:szCs w:val="24"/>
              </w:rPr>
              <w:t xml:space="preserve">Ανεξαρτήτως των διατάξεων των παραγράφων (1) και (2) του παρόντος Κανονισμού και εφόσον οι υπηρεσιακές ανάγκες που σχετίζονται άμεσα με την ανάληψη της Προεδρίας του Συμβουλίου της Ευρωπαϊκής Ένωσης από τη Δημοκρατία </w:t>
            </w:r>
            <w:r>
              <w:rPr>
                <w:rFonts w:ascii="Arial" w:hAnsi="Arial" w:cs="Arial"/>
                <w:color w:val="000000"/>
                <w:sz w:val="24"/>
                <w:szCs w:val="24"/>
              </w:rPr>
              <w:t xml:space="preserve">κατά </w:t>
            </w:r>
            <w:r w:rsidRPr="0090062F">
              <w:rPr>
                <w:rFonts w:ascii="Arial" w:hAnsi="Arial" w:cs="Arial"/>
                <w:color w:val="000000"/>
                <w:sz w:val="24"/>
                <w:szCs w:val="24"/>
              </w:rPr>
              <w:t>το πρώτο εξάμηνο του</w:t>
            </w:r>
            <w:r>
              <w:rPr>
                <w:rFonts w:ascii="Arial" w:hAnsi="Arial" w:cs="Arial"/>
                <w:color w:val="000000"/>
                <w:sz w:val="24"/>
                <w:szCs w:val="24"/>
              </w:rPr>
              <w:t xml:space="preserve"> έτους</w:t>
            </w:r>
            <w:r w:rsidRPr="0090062F">
              <w:rPr>
                <w:rFonts w:ascii="Arial" w:hAnsi="Arial" w:cs="Arial"/>
                <w:color w:val="000000"/>
                <w:sz w:val="24"/>
                <w:szCs w:val="24"/>
              </w:rPr>
              <w:t xml:space="preserve"> 2026, το απαιτούν, το Υπουργικό Συμβούλιο, δύναται:</w:t>
            </w:r>
          </w:p>
        </w:tc>
      </w:tr>
      <w:tr w:rsidR="001E566F" w14:paraId="2E7C0AF3" w14:textId="77777777" w:rsidTr="001E566F">
        <w:tc>
          <w:tcPr>
            <w:tcW w:w="1103" w:type="pct"/>
          </w:tcPr>
          <w:p w14:paraId="4B18C869" w14:textId="77777777" w:rsidR="001E566F" w:rsidRPr="0090062F" w:rsidRDefault="001E566F" w:rsidP="001E566F">
            <w:pPr>
              <w:widowControl w:val="0"/>
              <w:tabs>
                <w:tab w:val="left" w:pos="240"/>
              </w:tabs>
              <w:jc w:val="left"/>
              <w:rPr>
                <w:rFonts w:ascii="Arial" w:hAnsi="Arial" w:cs="Arial"/>
                <w:color w:val="000000"/>
                <w:sz w:val="24"/>
                <w:szCs w:val="24"/>
              </w:rPr>
            </w:pPr>
          </w:p>
        </w:tc>
        <w:tc>
          <w:tcPr>
            <w:tcW w:w="3897" w:type="pct"/>
            <w:gridSpan w:val="2"/>
          </w:tcPr>
          <w:p w14:paraId="10CD4927" w14:textId="77777777" w:rsidR="001E566F" w:rsidRPr="0090062F" w:rsidRDefault="001E566F" w:rsidP="001E566F">
            <w:pPr>
              <w:tabs>
                <w:tab w:val="left" w:pos="567"/>
              </w:tabs>
              <w:rPr>
                <w:rFonts w:ascii="Arial" w:hAnsi="Arial" w:cs="Arial"/>
                <w:color w:val="000000"/>
                <w:sz w:val="24"/>
                <w:szCs w:val="24"/>
              </w:rPr>
            </w:pPr>
          </w:p>
        </w:tc>
      </w:tr>
      <w:tr w:rsidR="001E566F" w14:paraId="393AACDF" w14:textId="77777777" w:rsidTr="001E566F">
        <w:tc>
          <w:tcPr>
            <w:tcW w:w="1103" w:type="pct"/>
          </w:tcPr>
          <w:p w14:paraId="24F1A76A" w14:textId="77777777" w:rsidR="001E566F" w:rsidRPr="0090062F" w:rsidRDefault="001E566F" w:rsidP="001E566F">
            <w:pPr>
              <w:widowControl w:val="0"/>
              <w:tabs>
                <w:tab w:val="left" w:pos="240"/>
              </w:tabs>
              <w:jc w:val="left"/>
              <w:rPr>
                <w:rFonts w:ascii="Arial" w:hAnsi="Arial" w:cs="Arial"/>
                <w:color w:val="000000"/>
                <w:sz w:val="24"/>
                <w:szCs w:val="24"/>
              </w:rPr>
            </w:pPr>
            <w:bookmarkStart w:id="0" w:name="_Hlk164755719"/>
          </w:p>
        </w:tc>
        <w:tc>
          <w:tcPr>
            <w:tcW w:w="568" w:type="pct"/>
          </w:tcPr>
          <w:p w14:paraId="658C53D4" w14:textId="7D9BFD31" w:rsidR="001E566F" w:rsidRPr="0090062F" w:rsidRDefault="001E566F" w:rsidP="001E566F">
            <w:pPr>
              <w:tabs>
                <w:tab w:val="left" w:pos="567"/>
              </w:tabs>
              <w:jc w:val="right"/>
              <w:rPr>
                <w:rFonts w:ascii="Arial" w:hAnsi="Arial" w:cs="Arial"/>
                <w:color w:val="000000"/>
                <w:sz w:val="24"/>
                <w:szCs w:val="24"/>
              </w:rPr>
            </w:pPr>
            <w:r>
              <w:rPr>
                <w:rFonts w:ascii="Arial" w:hAnsi="Arial" w:cs="Arial"/>
                <w:color w:val="000000"/>
                <w:sz w:val="24"/>
                <w:szCs w:val="24"/>
              </w:rPr>
              <w:t>(α)</w:t>
            </w:r>
          </w:p>
        </w:tc>
        <w:tc>
          <w:tcPr>
            <w:tcW w:w="3330" w:type="pct"/>
          </w:tcPr>
          <w:p w14:paraId="65B0585C" w14:textId="18EDFD57" w:rsidR="001E566F" w:rsidRPr="0090062F" w:rsidRDefault="001E566F" w:rsidP="001E566F">
            <w:pPr>
              <w:tabs>
                <w:tab w:val="left" w:pos="567"/>
              </w:tabs>
              <w:rPr>
                <w:rFonts w:ascii="Arial" w:hAnsi="Arial" w:cs="Arial"/>
                <w:color w:val="000000"/>
                <w:sz w:val="24"/>
                <w:szCs w:val="24"/>
              </w:rPr>
            </w:pPr>
            <w:r w:rsidRPr="0090062F">
              <w:rPr>
                <w:rFonts w:ascii="Arial" w:hAnsi="Arial" w:cs="Arial"/>
                <w:color w:val="000000"/>
                <w:sz w:val="24"/>
                <w:szCs w:val="24"/>
              </w:rPr>
              <w:t>με αιτιολογημένη απόφασ</w:t>
            </w:r>
            <w:r w:rsidR="00A176C3">
              <w:rPr>
                <w:rFonts w:ascii="Arial" w:hAnsi="Arial" w:cs="Arial"/>
                <w:color w:val="000000"/>
                <w:sz w:val="24"/>
                <w:szCs w:val="24"/>
              </w:rPr>
              <w:t>ή</w:t>
            </w:r>
            <w:r w:rsidRPr="0090062F">
              <w:rPr>
                <w:rFonts w:ascii="Arial" w:hAnsi="Arial" w:cs="Arial"/>
                <w:color w:val="000000"/>
                <w:sz w:val="24"/>
                <w:szCs w:val="24"/>
              </w:rPr>
              <w:t xml:space="preserve"> του, να παρατείνει τη χρονική διάρκεια της </w:t>
            </w:r>
            <w:r>
              <w:rPr>
                <w:rFonts w:ascii="Arial" w:hAnsi="Arial" w:cs="Arial"/>
                <w:color w:val="000000"/>
                <w:sz w:val="24"/>
                <w:szCs w:val="24"/>
              </w:rPr>
              <w:t>υ</w:t>
            </w:r>
            <w:r w:rsidRPr="0090062F">
              <w:rPr>
                <w:rFonts w:ascii="Arial" w:hAnsi="Arial" w:cs="Arial"/>
                <w:color w:val="000000"/>
                <w:sz w:val="24"/>
                <w:szCs w:val="24"/>
              </w:rPr>
              <w:t xml:space="preserve">πηρεσίας των μελών της Εξωτερικής Υπηρεσίας και </w:t>
            </w:r>
            <w:r w:rsidR="00003A38">
              <w:rPr>
                <w:rFonts w:ascii="Arial" w:hAnsi="Arial" w:cs="Arial"/>
                <w:color w:val="000000"/>
                <w:sz w:val="24"/>
                <w:szCs w:val="24"/>
              </w:rPr>
              <w:t xml:space="preserve">άλλων δημοσίων </w:t>
            </w:r>
            <w:r w:rsidR="00003A38" w:rsidRPr="0090062F">
              <w:rPr>
                <w:rFonts w:ascii="Arial" w:hAnsi="Arial" w:cs="Arial"/>
                <w:color w:val="000000"/>
                <w:sz w:val="24"/>
                <w:szCs w:val="24"/>
              </w:rPr>
              <w:t xml:space="preserve">λειτουργών </w:t>
            </w:r>
            <w:r w:rsidRPr="0090062F">
              <w:rPr>
                <w:rFonts w:ascii="Arial" w:hAnsi="Arial" w:cs="Arial"/>
                <w:color w:val="000000"/>
                <w:sz w:val="24"/>
                <w:szCs w:val="24"/>
              </w:rPr>
              <w:t xml:space="preserve">που έχουν </w:t>
            </w:r>
            <w:proofErr w:type="spellStart"/>
            <w:r w:rsidRPr="0090062F">
              <w:rPr>
                <w:rFonts w:ascii="Arial" w:hAnsi="Arial" w:cs="Arial"/>
                <w:color w:val="000000"/>
                <w:sz w:val="24"/>
                <w:szCs w:val="24"/>
              </w:rPr>
              <w:t>αποσπασθεί</w:t>
            </w:r>
            <w:proofErr w:type="spellEnd"/>
            <w:r w:rsidRPr="0090062F">
              <w:rPr>
                <w:rFonts w:ascii="Arial" w:hAnsi="Arial" w:cs="Arial"/>
                <w:color w:val="000000"/>
                <w:sz w:val="24"/>
                <w:szCs w:val="24"/>
              </w:rPr>
              <w:t xml:space="preserve"> </w:t>
            </w:r>
            <w:r w:rsidR="00003A38">
              <w:rPr>
                <w:rFonts w:ascii="Arial" w:hAnsi="Arial" w:cs="Arial"/>
                <w:color w:val="000000"/>
                <w:sz w:val="24"/>
                <w:szCs w:val="24"/>
              </w:rPr>
              <w:t>από υ</w:t>
            </w:r>
            <w:r w:rsidR="00003A38" w:rsidRPr="0090062F">
              <w:rPr>
                <w:rFonts w:ascii="Arial" w:hAnsi="Arial" w:cs="Arial"/>
                <w:color w:val="000000"/>
                <w:sz w:val="24"/>
                <w:szCs w:val="24"/>
              </w:rPr>
              <w:t>πουργεί</w:t>
            </w:r>
            <w:r w:rsidR="00003A38">
              <w:rPr>
                <w:rFonts w:ascii="Arial" w:hAnsi="Arial" w:cs="Arial"/>
                <w:color w:val="000000"/>
                <w:sz w:val="24"/>
                <w:szCs w:val="24"/>
              </w:rPr>
              <w:t>α</w:t>
            </w:r>
            <w:r w:rsidR="00003A38" w:rsidRPr="0090062F">
              <w:rPr>
                <w:rFonts w:ascii="Arial" w:hAnsi="Arial" w:cs="Arial"/>
                <w:color w:val="000000"/>
                <w:sz w:val="24"/>
                <w:szCs w:val="24"/>
              </w:rPr>
              <w:t xml:space="preserve"> και ανεξάρτητ</w:t>
            </w:r>
            <w:r w:rsidR="00003A38">
              <w:rPr>
                <w:rFonts w:ascii="Arial" w:hAnsi="Arial" w:cs="Arial"/>
                <w:color w:val="000000"/>
                <w:sz w:val="24"/>
                <w:szCs w:val="24"/>
              </w:rPr>
              <w:t>ες</w:t>
            </w:r>
            <w:r w:rsidR="00003A38" w:rsidRPr="0090062F">
              <w:rPr>
                <w:rFonts w:ascii="Arial" w:hAnsi="Arial" w:cs="Arial"/>
                <w:color w:val="000000"/>
                <w:sz w:val="24"/>
                <w:szCs w:val="24"/>
              </w:rPr>
              <w:t xml:space="preserve"> υπηρεσί</w:t>
            </w:r>
            <w:r w:rsidR="00003A38">
              <w:rPr>
                <w:rFonts w:ascii="Arial" w:hAnsi="Arial" w:cs="Arial"/>
                <w:color w:val="000000"/>
                <w:sz w:val="24"/>
                <w:szCs w:val="24"/>
              </w:rPr>
              <w:t>ες</w:t>
            </w:r>
            <w:r w:rsidR="00003A38" w:rsidRPr="0090062F">
              <w:rPr>
                <w:rFonts w:ascii="Arial" w:hAnsi="Arial" w:cs="Arial"/>
                <w:color w:val="000000"/>
                <w:sz w:val="24"/>
                <w:szCs w:val="24"/>
              </w:rPr>
              <w:t xml:space="preserve"> </w:t>
            </w:r>
            <w:r w:rsidRPr="0090062F">
              <w:rPr>
                <w:rFonts w:ascii="Arial" w:hAnsi="Arial" w:cs="Arial"/>
                <w:color w:val="000000"/>
                <w:sz w:val="24"/>
                <w:szCs w:val="24"/>
              </w:rPr>
              <w:lastRenderedPageBreak/>
              <w:t>στη Μόνιμη Αντιπροσωπεία της Δημοκρατίας στη</w:t>
            </w:r>
            <w:r w:rsidR="00A176C3">
              <w:rPr>
                <w:rFonts w:ascii="Arial" w:hAnsi="Arial" w:cs="Arial"/>
                <w:color w:val="000000"/>
                <w:sz w:val="24"/>
                <w:szCs w:val="24"/>
              </w:rPr>
              <w:t>ν</w:t>
            </w:r>
            <w:r w:rsidRPr="0090062F">
              <w:rPr>
                <w:rFonts w:ascii="Arial" w:hAnsi="Arial" w:cs="Arial"/>
                <w:color w:val="000000"/>
                <w:sz w:val="24"/>
                <w:szCs w:val="24"/>
              </w:rPr>
              <w:t xml:space="preserve"> Ευρωπαϊκή Ένωση, εφόσον αυτοί συναινούν, πέραν της χρονικής περιόδου που καθορίζεται στις παραγράφους (1) και (2) του παρόντος Κανονισμού, μέχρι την 31</w:t>
            </w:r>
            <w:r w:rsidRPr="0090062F">
              <w:rPr>
                <w:rFonts w:ascii="Arial" w:hAnsi="Arial" w:cs="Arial"/>
                <w:color w:val="000000"/>
                <w:sz w:val="24"/>
                <w:szCs w:val="24"/>
                <w:vertAlign w:val="superscript"/>
              </w:rPr>
              <w:t>η</w:t>
            </w:r>
            <w:r w:rsidRPr="0090062F">
              <w:rPr>
                <w:rFonts w:ascii="Arial" w:hAnsi="Arial" w:cs="Arial"/>
                <w:color w:val="000000"/>
                <w:sz w:val="24"/>
                <w:szCs w:val="24"/>
              </w:rPr>
              <w:t xml:space="preserve"> Δεκεμβρίου 2026 το αργότερο·</w:t>
            </w:r>
          </w:p>
        </w:tc>
      </w:tr>
      <w:tr w:rsidR="001E566F" w14:paraId="2E183ACE" w14:textId="77777777" w:rsidTr="001E566F">
        <w:tc>
          <w:tcPr>
            <w:tcW w:w="1103" w:type="pct"/>
          </w:tcPr>
          <w:p w14:paraId="43AB169F" w14:textId="77777777" w:rsidR="001E566F" w:rsidRPr="0090062F" w:rsidRDefault="001E566F" w:rsidP="001E566F">
            <w:pPr>
              <w:widowControl w:val="0"/>
              <w:tabs>
                <w:tab w:val="left" w:pos="240"/>
              </w:tabs>
              <w:jc w:val="left"/>
              <w:rPr>
                <w:rFonts w:ascii="Arial" w:hAnsi="Arial" w:cs="Arial"/>
                <w:color w:val="000000"/>
                <w:sz w:val="24"/>
                <w:szCs w:val="24"/>
              </w:rPr>
            </w:pPr>
          </w:p>
        </w:tc>
        <w:tc>
          <w:tcPr>
            <w:tcW w:w="568" w:type="pct"/>
          </w:tcPr>
          <w:p w14:paraId="158FA77C" w14:textId="77777777" w:rsidR="001E566F" w:rsidRDefault="001E566F" w:rsidP="001E566F">
            <w:pPr>
              <w:tabs>
                <w:tab w:val="left" w:pos="567"/>
              </w:tabs>
              <w:jc w:val="right"/>
              <w:rPr>
                <w:rFonts w:ascii="Arial" w:hAnsi="Arial" w:cs="Arial"/>
                <w:color w:val="000000"/>
                <w:sz w:val="24"/>
                <w:szCs w:val="24"/>
              </w:rPr>
            </w:pPr>
          </w:p>
        </w:tc>
        <w:tc>
          <w:tcPr>
            <w:tcW w:w="3330" w:type="pct"/>
          </w:tcPr>
          <w:p w14:paraId="4318EBBB" w14:textId="77777777" w:rsidR="001E566F" w:rsidRPr="0090062F" w:rsidRDefault="001E566F" w:rsidP="001E566F">
            <w:pPr>
              <w:tabs>
                <w:tab w:val="left" w:pos="567"/>
              </w:tabs>
              <w:rPr>
                <w:rFonts w:ascii="Arial" w:hAnsi="Arial" w:cs="Arial"/>
                <w:color w:val="000000"/>
                <w:sz w:val="24"/>
                <w:szCs w:val="24"/>
              </w:rPr>
            </w:pPr>
          </w:p>
        </w:tc>
      </w:tr>
      <w:tr w:rsidR="001E566F" w14:paraId="2C108099" w14:textId="77777777" w:rsidTr="001E566F">
        <w:tc>
          <w:tcPr>
            <w:tcW w:w="1103" w:type="pct"/>
          </w:tcPr>
          <w:p w14:paraId="6FD4A1C9" w14:textId="77777777" w:rsidR="001E566F" w:rsidRPr="0090062F" w:rsidRDefault="001E566F" w:rsidP="001E566F">
            <w:pPr>
              <w:widowControl w:val="0"/>
              <w:tabs>
                <w:tab w:val="left" w:pos="240"/>
              </w:tabs>
              <w:jc w:val="left"/>
              <w:rPr>
                <w:rFonts w:ascii="Arial" w:hAnsi="Arial" w:cs="Arial"/>
                <w:color w:val="000000"/>
                <w:sz w:val="24"/>
                <w:szCs w:val="24"/>
              </w:rPr>
            </w:pPr>
          </w:p>
        </w:tc>
        <w:tc>
          <w:tcPr>
            <w:tcW w:w="568" w:type="pct"/>
          </w:tcPr>
          <w:p w14:paraId="4B4FA045" w14:textId="00BA6618" w:rsidR="001E566F" w:rsidRDefault="001E566F" w:rsidP="001E566F">
            <w:pPr>
              <w:tabs>
                <w:tab w:val="left" w:pos="567"/>
              </w:tabs>
              <w:jc w:val="right"/>
              <w:rPr>
                <w:rFonts w:ascii="Arial" w:hAnsi="Arial" w:cs="Arial"/>
                <w:color w:val="000000"/>
                <w:sz w:val="24"/>
                <w:szCs w:val="24"/>
              </w:rPr>
            </w:pPr>
            <w:r>
              <w:rPr>
                <w:rFonts w:ascii="Arial" w:hAnsi="Arial" w:cs="Arial"/>
                <w:color w:val="000000"/>
                <w:sz w:val="24"/>
                <w:szCs w:val="24"/>
              </w:rPr>
              <w:t>(β)</w:t>
            </w:r>
          </w:p>
        </w:tc>
        <w:tc>
          <w:tcPr>
            <w:tcW w:w="3330" w:type="pct"/>
          </w:tcPr>
          <w:p w14:paraId="48C44178" w14:textId="422C7CFC" w:rsidR="001E566F" w:rsidRPr="0090062F" w:rsidRDefault="001E566F" w:rsidP="001E566F">
            <w:pPr>
              <w:tabs>
                <w:tab w:val="left" w:pos="567"/>
              </w:tabs>
              <w:rPr>
                <w:rFonts w:ascii="Arial" w:hAnsi="Arial" w:cs="Arial"/>
                <w:color w:val="000000"/>
                <w:sz w:val="24"/>
                <w:szCs w:val="24"/>
              </w:rPr>
            </w:pPr>
            <w:r w:rsidRPr="0090062F">
              <w:rPr>
                <w:rFonts w:ascii="Arial" w:hAnsi="Arial" w:cs="Arial"/>
                <w:color w:val="000000"/>
                <w:sz w:val="24"/>
                <w:szCs w:val="24"/>
              </w:rPr>
              <w:t>κατ’ εξαίρεση και με αιτιολογημένη απόφασ</w:t>
            </w:r>
            <w:r w:rsidR="00A176C3">
              <w:rPr>
                <w:rFonts w:ascii="Arial" w:hAnsi="Arial" w:cs="Arial"/>
                <w:color w:val="000000"/>
                <w:sz w:val="24"/>
                <w:szCs w:val="24"/>
              </w:rPr>
              <w:t>ή</w:t>
            </w:r>
            <w:r w:rsidRPr="0090062F">
              <w:rPr>
                <w:rFonts w:ascii="Arial" w:hAnsi="Arial" w:cs="Arial"/>
                <w:color w:val="000000"/>
                <w:sz w:val="24"/>
                <w:szCs w:val="24"/>
              </w:rPr>
              <w:t xml:space="preserve"> του, να παρατείνει τη χρονική διάρκεια </w:t>
            </w:r>
            <w:r>
              <w:rPr>
                <w:rFonts w:ascii="Arial" w:hAnsi="Arial" w:cs="Arial"/>
                <w:color w:val="000000"/>
                <w:sz w:val="24"/>
                <w:szCs w:val="24"/>
              </w:rPr>
              <w:t xml:space="preserve">της </w:t>
            </w:r>
            <w:r w:rsidRPr="0090062F">
              <w:rPr>
                <w:rFonts w:ascii="Arial" w:hAnsi="Arial" w:cs="Arial"/>
                <w:color w:val="000000"/>
                <w:sz w:val="24"/>
                <w:szCs w:val="24"/>
              </w:rPr>
              <w:t>υπηρεσίας</w:t>
            </w:r>
            <w:r w:rsidR="00003A38">
              <w:rPr>
                <w:rFonts w:ascii="Arial" w:hAnsi="Arial" w:cs="Arial"/>
                <w:color w:val="000000"/>
                <w:sz w:val="24"/>
                <w:szCs w:val="24"/>
              </w:rPr>
              <w:t xml:space="preserve"> των</w:t>
            </w:r>
            <w:r w:rsidRPr="0090062F">
              <w:rPr>
                <w:rFonts w:ascii="Arial" w:hAnsi="Arial" w:cs="Arial"/>
                <w:color w:val="000000"/>
                <w:sz w:val="24"/>
                <w:szCs w:val="24"/>
              </w:rPr>
              <w:t xml:space="preserve"> μελών της Εξωτερικής</w:t>
            </w:r>
            <w:r w:rsidR="00003A38">
              <w:rPr>
                <w:rFonts w:ascii="Arial" w:hAnsi="Arial" w:cs="Arial"/>
                <w:color w:val="000000"/>
                <w:sz w:val="24"/>
                <w:szCs w:val="24"/>
              </w:rPr>
              <w:t xml:space="preserve"> Υπηρεσίας</w:t>
            </w:r>
            <w:r w:rsidRPr="0090062F">
              <w:rPr>
                <w:rFonts w:ascii="Arial" w:hAnsi="Arial" w:cs="Arial"/>
                <w:color w:val="000000"/>
                <w:sz w:val="24"/>
                <w:szCs w:val="24"/>
              </w:rPr>
              <w:t xml:space="preserve"> </w:t>
            </w:r>
            <w:r w:rsidR="00003A38" w:rsidRPr="0090062F">
              <w:rPr>
                <w:rFonts w:ascii="Arial" w:hAnsi="Arial" w:cs="Arial"/>
                <w:color w:val="000000"/>
                <w:sz w:val="24"/>
                <w:szCs w:val="24"/>
              </w:rPr>
              <w:t xml:space="preserve">και </w:t>
            </w:r>
            <w:r w:rsidR="00003A38">
              <w:rPr>
                <w:rFonts w:ascii="Arial" w:hAnsi="Arial" w:cs="Arial"/>
                <w:color w:val="000000"/>
                <w:sz w:val="24"/>
                <w:szCs w:val="24"/>
              </w:rPr>
              <w:t xml:space="preserve">άλλων δημοσίων </w:t>
            </w:r>
            <w:r w:rsidR="00003A38" w:rsidRPr="0090062F">
              <w:rPr>
                <w:rFonts w:ascii="Arial" w:hAnsi="Arial" w:cs="Arial"/>
                <w:color w:val="000000"/>
                <w:sz w:val="24"/>
                <w:szCs w:val="24"/>
              </w:rPr>
              <w:t xml:space="preserve">λειτουργών που έχουν </w:t>
            </w:r>
            <w:proofErr w:type="spellStart"/>
            <w:r w:rsidR="00003A38" w:rsidRPr="0090062F">
              <w:rPr>
                <w:rFonts w:ascii="Arial" w:hAnsi="Arial" w:cs="Arial"/>
                <w:color w:val="000000"/>
                <w:sz w:val="24"/>
                <w:szCs w:val="24"/>
              </w:rPr>
              <w:t>αποσπασθεί</w:t>
            </w:r>
            <w:proofErr w:type="spellEnd"/>
            <w:r w:rsidR="00003A38" w:rsidRPr="0090062F">
              <w:rPr>
                <w:rFonts w:ascii="Arial" w:hAnsi="Arial" w:cs="Arial"/>
                <w:color w:val="000000"/>
                <w:sz w:val="24"/>
                <w:szCs w:val="24"/>
              </w:rPr>
              <w:t xml:space="preserve"> </w:t>
            </w:r>
            <w:r w:rsidR="00003A38">
              <w:rPr>
                <w:rFonts w:ascii="Arial" w:hAnsi="Arial" w:cs="Arial"/>
                <w:color w:val="000000"/>
                <w:sz w:val="24"/>
                <w:szCs w:val="24"/>
              </w:rPr>
              <w:t>από υ</w:t>
            </w:r>
            <w:r w:rsidR="00003A38" w:rsidRPr="0090062F">
              <w:rPr>
                <w:rFonts w:ascii="Arial" w:hAnsi="Arial" w:cs="Arial"/>
                <w:color w:val="000000"/>
                <w:sz w:val="24"/>
                <w:szCs w:val="24"/>
              </w:rPr>
              <w:t>πουργεί</w:t>
            </w:r>
            <w:r w:rsidR="00003A38">
              <w:rPr>
                <w:rFonts w:ascii="Arial" w:hAnsi="Arial" w:cs="Arial"/>
                <w:color w:val="000000"/>
                <w:sz w:val="24"/>
                <w:szCs w:val="24"/>
              </w:rPr>
              <w:t>α</w:t>
            </w:r>
            <w:r w:rsidR="00003A38" w:rsidRPr="0090062F">
              <w:rPr>
                <w:rFonts w:ascii="Arial" w:hAnsi="Arial" w:cs="Arial"/>
                <w:color w:val="000000"/>
                <w:sz w:val="24"/>
                <w:szCs w:val="24"/>
              </w:rPr>
              <w:t xml:space="preserve"> και ανεξάρτητ</w:t>
            </w:r>
            <w:r w:rsidR="00003A38">
              <w:rPr>
                <w:rFonts w:ascii="Arial" w:hAnsi="Arial" w:cs="Arial"/>
                <w:color w:val="000000"/>
                <w:sz w:val="24"/>
                <w:szCs w:val="24"/>
              </w:rPr>
              <w:t>ες</w:t>
            </w:r>
            <w:r w:rsidR="00003A38" w:rsidRPr="0090062F">
              <w:rPr>
                <w:rFonts w:ascii="Arial" w:hAnsi="Arial" w:cs="Arial"/>
                <w:color w:val="000000"/>
                <w:sz w:val="24"/>
                <w:szCs w:val="24"/>
              </w:rPr>
              <w:t xml:space="preserve"> υπηρεσί</w:t>
            </w:r>
            <w:r w:rsidR="00003A38">
              <w:rPr>
                <w:rFonts w:ascii="Arial" w:hAnsi="Arial" w:cs="Arial"/>
                <w:color w:val="000000"/>
                <w:sz w:val="24"/>
                <w:szCs w:val="24"/>
              </w:rPr>
              <w:t>ες και</w:t>
            </w:r>
            <w:r w:rsidRPr="0090062F">
              <w:rPr>
                <w:rFonts w:ascii="Arial" w:hAnsi="Arial" w:cs="Arial"/>
                <w:color w:val="000000"/>
                <w:sz w:val="24"/>
                <w:szCs w:val="24"/>
              </w:rPr>
              <w:t xml:space="preserve"> υπηρετούν σε οποιαδήποτε Διπλωματική Αποστολή, στην ίδια έδρα, εφόσον αυτοί συναινούν, πέραν της χρονικής περιόδου που καθορίζεται στις παραγράφους (1) και (2) του παρόντος Κανονισμού, μέχρι την 31</w:t>
            </w:r>
            <w:r w:rsidRPr="0090062F">
              <w:rPr>
                <w:rFonts w:ascii="Arial" w:hAnsi="Arial" w:cs="Arial"/>
                <w:color w:val="000000"/>
                <w:sz w:val="24"/>
                <w:szCs w:val="24"/>
                <w:vertAlign w:val="superscript"/>
              </w:rPr>
              <w:t>η</w:t>
            </w:r>
            <w:r w:rsidRPr="0090062F">
              <w:rPr>
                <w:rFonts w:ascii="Arial" w:hAnsi="Arial" w:cs="Arial"/>
                <w:color w:val="000000"/>
                <w:sz w:val="24"/>
                <w:szCs w:val="24"/>
              </w:rPr>
              <w:t xml:space="preserve"> Δεκεμβρίου 2026 το αργότερο.».</w:t>
            </w:r>
          </w:p>
        </w:tc>
      </w:tr>
      <w:bookmarkEnd w:id="0"/>
    </w:tbl>
    <w:p w14:paraId="4FA474C7" w14:textId="77777777" w:rsidR="001E566F" w:rsidRDefault="001E566F" w:rsidP="001E566F">
      <w:pPr>
        <w:rPr>
          <w:rFonts w:ascii="Arial" w:hAnsi="Arial" w:cs="Arial"/>
          <w:bCs/>
          <w:sz w:val="24"/>
          <w:szCs w:val="24"/>
        </w:rPr>
      </w:pPr>
    </w:p>
    <w:p w14:paraId="03C0365F" w14:textId="77777777" w:rsidR="001E566F" w:rsidRDefault="001E566F" w:rsidP="001E566F">
      <w:pPr>
        <w:rPr>
          <w:rFonts w:ascii="Arial" w:hAnsi="Arial" w:cs="Arial"/>
          <w:bCs/>
          <w:sz w:val="24"/>
          <w:szCs w:val="24"/>
        </w:rPr>
      </w:pPr>
    </w:p>
    <w:p w14:paraId="0676B700" w14:textId="77777777" w:rsidR="001E566F" w:rsidRPr="006736FC" w:rsidRDefault="001E566F" w:rsidP="001E566F">
      <w:pPr>
        <w:widowControl w:val="0"/>
        <w:tabs>
          <w:tab w:val="left" w:pos="709"/>
        </w:tabs>
        <w:overflowPunct w:val="0"/>
        <w:autoSpaceDE w:val="0"/>
        <w:autoSpaceDN w:val="0"/>
        <w:adjustRightInd w:val="0"/>
        <w:ind w:right="-340"/>
        <w:textAlignment w:val="baseline"/>
        <w:rPr>
          <w:rFonts w:ascii="Arial" w:hAnsi="Arial" w:cs="Arial"/>
          <w:bCs/>
          <w:sz w:val="20"/>
          <w:szCs w:val="20"/>
          <w:lang w:val="en-US"/>
        </w:rPr>
      </w:pPr>
      <w:proofErr w:type="spellStart"/>
      <w:r w:rsidRPr="002E7E72">
        <w:rPr>
          <w:rFonts w:ascii="Arial" w:hAnsi="Arial" w:cs="Arial"/>
          <w:bCs/>
          <w:sz w:val="20"/>
          <w:szCs w:val="20"/>
        </w:rPr>
        <w:t>Αρ</w:t>
      </w:r>
      <w:proofErr w:type="spellEnd"/>
      <w:r w:rsidRPr="006736FC">
        <w:rPr>
          <w:rFonts w:ascii="Arial" w:hAnsi="Arial" w:cs="Arial"/>
          <w:bCs/>
          <w:sz w:val="20"/>
          <w:szCs w:val="20"/>
          <w:lang w:val="en-US"/>
        </w:rPr>
        <w:t xml:space="preserve">. </w:t>
      </w:r>
      <w:proofErr w:type="spellStart"/>
      <w:r w:rsidRPr="002E7E72">
        <w:rPr>
          <w:rFonts w:ascii="Arial" w:hAnsi="Arial" w:cs="Arial"/>
          <w:bCs/>
          <w:sz w:val="20"/>
          <w:szCs w:val="20"/>
        </w:rPr>
        <w:t>Φακ</w:t>
      </w:r>
      <w:proofErr w:type="spellEnd"/>
      <w:r w:rsidRPr="006736FC">
        <w:rPr>
          <w:rFonts w:ascii="Arial" w:hAnsi="Arial" w:cs="Arial"/>
          <w:bCs/>
          <w:sz w:val="20"/>
          <w:szCs w:val="20"/>
          <w:lang w:val="en-US"/>
        </w:rPr>
        <w:t>.:  23.03.061.104-2024</w:t>
      </w:r>
    </w:p>
    <w:p w14:paraId="15CCA2F8" w14:textId="3C409ADF" w:rsidR="00776B05" w:rsidRPr="001E566F" w:rsidRDefault="001E566F" w:rsidP="006F66BF">
      <w:pPr>
        <w:widowControl w:val="0"/>
        <w:tabs>
          <w:tab w:val="left" w:pos="709"/>
        </w:tabs>
        <w:overflowPunct w:val="0"/>
        <w:autoSpaceDE w:val="0"/>
        <w:autoSpaceDN w:val="0"/>
        <w:adjustRightInd w:val="0"/>
        <w:ind w:right="-340"/>
        <w:textAlignment w:val="baseline"/>
        <w:rPr>
          <w:lang w:val="en-US"/>
        </w:rPr>
      </w:pPr>
      <w:r>
        <w:rPr>
          <w:rFonts w:ascii="Arial" w:hAnsi="Arial" w:cs="Arial"/>
          <w:bCs/>
          <w:sz w:val="20"/>
          <w:szCs w:val="20"/>
        </w:rPr>
        <w:t>Π</w:t>
      </w:r>
      <w:r w:rsidRPr="002E7E72">
        <w:rPr>
          <w:rFonts w:ascii="Arial" w:hAnsi="Arial" w:cs="Arial"/>
          <w:bCs/>
          <w:sz w:val="20"/>
          <w:szCs w:val="20"/>
        </w:rPr>
        <w:t>Π</w:t>
      </w:r>
      <w:r w:rsidRPr="006736FC">
        <w:rPr>
          <w:rFonts w:ascii="Arial" w:hAnsi="Arial" w:cs="Arial"/>
          <w:bCs/>
          <w:sz w:val="20"/>
          <w:szCs w:val="20"/>
          <w:lang w:val="en-US"/>
        </w:rPr>
        <w:t>/</w:t>
      </w:r>
      <w:r w:rsidRPr="002E7E72">
        <w:rPr>
          <w:rFonts w:ascii="Arial" w:hAnsi="Arial" w:cs="Arial"/>
          <w:bCs/>
          <w:sz w:val="20"/>
          <w:szCs w:val="20"/>
        </w:rPr>
        <w:t>ΧΧΡ</w:t>
      </w:r>
    </w:p>
    <w:sectPr w:rsidR="00776B05" w:rsidRPr="001E566F" w:rsidSect="00BA4289">
      <w:headerReference w:type="default" r:id="rId6"/>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A0B1" w14:textId="77777777" w:rsidR="00BA4289" w:rsidRDefault="00BA4289" w:rsidP="001E566F">
      <w:pPr>
        <w:spacing w:line="240" w:lineRule="auto"/>
      </w:pPr>
      <w:r>
        <w:separator/>
      </w:r>
    </w:p>
  </w:endnote>
  <w:endnote w:type="continuationSeparator" w:id="0">
    <w:p w14:paraId="752B2267" w14:textId="77777777" w:rsidR="00BA4289" w:rsidRDefault="00BA4289" w:rsidP="001E5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7830" w14:textId="77777777" w:rsidR="00BA4289" w:rsidRDefault="00BA4289" w:rsidP="001E566F">
      <w:pPr>
        <w:spacing w:line="240" w:lineRule="auto"/>
      </w:pPr>
      <w:r>
        <w:separator/>
      </w:r>
    </w:p>
  </w:footnote>
  <w:footnote w:type="continuationSeparator" w:id="0">
    <w:p w14:paraId="6F6B6D2F" w14:textId="77777777" w:rsidR="00BA4289" w:rsidRDefault="00BA4289" w:rsidP="001E56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2048"/>
      <w:docPartObj>
        <w:docPartGallery w:val="Page Numbers (Top of Page)"/>
        <w:docPartUnique/>
      </w:docPartObj>
    </w:sdtPr>
    <w:sdtEndPr>
      <w:rPr>
        <w:rFonts w:ascii="Arial" w:hAnsi="Arial" w:cs="Arial"/>
        <w:noProof/>
        <w:sz w:val="24"/>
        <w:szCs w:val="24"/>
      </w:rPr>
    </w:sdtEndPr>
    <w:sdtContent>
      <w:p w14:paraId="19F5FFD6" w14:textId="5FCE2036" w:rsidR="001E566F" w:rsidRPr="001E566F" w:rsidRDefault="001E566F">
        <w:pPr>
          <w:pStyle w:val="Header"/>
          <w:jc w:val="center"/>
          <w:rPr>
            <w:rFonts w:ascii="Arial" w:hAnsi="Arial" w:cs="Arial"/>
            <w:sz w:val="24"/>
            <w:szCs w:val="24"/>
          </w:rPr>
        </w:pPr>
        <w:r w:rsidRPr="001E566F">
          <w:rPr>
            <w:rFonts w:ascii="Arial" w:hAnsi="Arial" w:cs="Arial"/>
            <w:sz w:val="24"/>
            <w:szCs w:val="24"/>
          </w:rPr>
          <w:fldChar w:fldCharType="begin"/>
        </w:r>
        <w:r w:rsidRPr="001E566F">
          <w:rPr>
            <w:rFonts w:ascii="Arial" w:hAnsi="Arial" w:cs="Arial"/>
            <w:sz w:val="24"/>
            <w:szCs w:val="24"/>
          </w:rPr>
          <w:instrText xml:space="preserve"> PAGE   \* MERGEFORMAT </w:instrText>
        </w:r>
        <w:r w:rsidRPr="001E566F">
          <w:rPr>
            <w:rFonts w:ascii="Arial" w:hAnsi="Arial" w:cs="Arial"/>
            <w:sz w:val="24"/>
            <w:szCs w:val="24"/>
          </w:rPr>
          <w:fldChar w:fldCharType="separate"/>
        </w:r>
        <w:r w:rsidRPr="001E566F">
          <w:rPr>
            <w:rFonts w:ascii="Arial" w:hAnsi="Arial" w:cs="Arial"/>
            <w:noProof/>
            <w:sz w:val="24"/>
            <w:szCs w:val="24"/>
          </w:rPr>
          <w:t>2</w:t>
        </w:r>
        <w:r w:rsidRPr="001E566F">
          <w:rPr>
            <w:rFonts w:ascii="Arial" w:hAnsi="Arial" w:cs="Arial"/>
            <w:noProof/>
            <w:sz w:val="24"/>
            <w:szCs w:val="24"/>
          </w:rPr>
          <w:fldChar w:fldCharType="end"/>
        </w:r>
      </w:p>
    </w:sdtContent>
  </w:sdt>
  <w:p w14:paraId="04A4AC48" w14:textId="77777777" w:rsidR="001E566F" w:rsidRDefault="001E5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6F"/>
    <w:rsid w:val="00003A38"/>
    <w:rsid w:val="000A7248"/>
    <w:rsid w:val="001E566F"/>
    <w:rsid w:val="002D2A92"/>
    <w:rsid w:val="003C461E"/>
    <w:rsid w:val="00490C37"/>
    <w:rsid w:val="006F66BF"/>
    <w:rsid w:val="00776B05"/>
    <w:rsid w:val="00932ED5"/>
    <w:rsid w:val="009A05CC"/>
    <w:rsid w:val="009E5A4B"/>
    <w:rsid w:val="00A176C3"/>
    <w:rsid w:val="00B10D77"/>
    <w:rsid w:val="00BA4289"/>
    <w:rsid w:val="00CB5439"/>
    <w:rsid w:val="00D46D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B9A4"/>
  <w15:chartTrackingRefBased/>
  <w15:docId w15:val="{B8FEDE6C-42F9-4B20-B802-00C5FB8E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6F"/>
    <w:pPr>
      <w:spacing w:after="0" w:line="360" w:lineRule="auto"/>
      <w:jc w:val="both"/>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566F"/>
    <w:pPr>
      <w:tabs>
        <w:tab w:val="center" w:pos="4513"/>
        <w:tab w:val="right" w:pos="9026"/>
      </w:tabs>
      <w:spacing w:line="240" w:lineRule="auto"/>
    </w:pPr>
  </w:style>
  <w:style w:type="character" w:customStyle="1" w:styleId="HeaderChar">
    <w:name w:val="Header Char"/>
    <w:basedOn w:val="DefaultParagraphFont"/>
    <w:link w:val="Header"/>
    <w:uiPriority w:val="99"/>
    <w:rsid w:val="001E566F"/>
    <w:rPr>
      <w:kern w:val="0"/>
      <w:lang w:val="el-GR"/>
      <w14:ligatures w14:val="none"/>
    </w:rPr>
  </w:style>
  <w:style w:type="paragraph" w:styleId="Footer">
    <w:name w:val="footer"/>
    <w:basedOn w:val="Normal"/>
    <w:link w:val="FooterChar"/>
    <w:uiPriority w:val="99"/>
    <w:unhideWhenUsed/>
    <w:rsid w:val="001E566F"/>
    <w:pPr>
      <w:tabs>
        <w:tab w:val="center" w:pos="4513"/>
        <w:tab w:val="right" w:pos="9026"/>
      </w:tabs>
      <w:spacing w:line="240" w:lineRule="auto"/>
    </w:pPr>
  </w:style>
  <w:style w:type="character" w:customStyle="1" w:styleId="FooterChar">
    <w:name w:val="Footer Char"/>
    <w:basedOn w:val="DefaultParagraphFont"/>
    <w:link w:val="Footer"/>
    <w:uiPriority w:val="99"/>
    <w:rsid w:val="001E566F"/>
    <w:rPr>
      <w:kern w:val="0"/>
      <w:lang w:val="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ASSIOTOU CHRYSTALLA</dc:creator>
  <cp:keywords/>
  <dc:description/>
  <cp:lastModifiedBy>Pieris Kleitou</cp:lastModifiedBy>
  <cp:revision>2</cp:revision>
  <cp:lastPrinted>2024-04-17T08:09:00Z</cp:lastPrinted>
  <dcterms:created xsi:type="dcterms:W3CDTF">2024-04-24T06:32:00Z</dcterms:created>
  <dcterms:modified xsi:type="dcterms:W3CDTF">2024-04-24T06:32:00Z</dcterms:modified>
</cp:coreProperties>
</file>