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2E28" w14:textId="16EA6456" w:rsidR="00152B96" w:rsidRPr="009F0445" w:rsidRDefault="009F0445" w:rsidP="00152B96">
      <w:pPr>
        <w:tabs>
          <w:tab w:val="left" w:pos="2127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  <w:r w:rsidRPr="009F0445">
        <w:rPr>
          <w:rFonts w:ascii="Arial" w:hAnsi="Arial" w:cs="Arial"/>
          <w:bCs/>
          <w:sz w:val="24"/>
          <w:szCs w:val="24"/>
          <w:lang w:val="el-GR"/>
        </w:rPr>
        <w:t>ΝΟΜΟΣ</w:t>
      </w:r>
      <w:r w:rsidR="00152B96" w:rsidRPr="009F0445">
        <w:rPr>
          <w:rFonts w:ascii="Arial" w:hAnsi="Arial" w:cs="Arial"/>
          <w:bCs/>
          <w:sz w:val="24"/>
          <w:szCs w:val="24"/>
          <w:lang w:val="el-GR"/>
        </w:rPr>
        <w:t xml:space="preserve"> ΠΟΥ ΤΡΟΠΟΠΟΙΕΙ ΤΟΥΣ ΠΕΡΙ </w:t>
      </w:r>
      <w:r w:rsidR="00152B96" w:rsidRPr="009F0445">
        <w:rPr>
          <w:rFonts w:ascii="Arial" w:hAnsi="Arial" w:cs="Arial"/>
          <w:bCs/>
          <w:sz w:val="24"/>
          <w:szCs w:val="24"/>
        </w:rPr>
        <w:t>KOINOTHT</w:t>
      </w:r>
      <w:r w:rsidR="00152B96" w:rsidRPr="009F0445">
        <w:rPr>
          <w:rFonts w:ascii="Arial" w:hAnsi="Arial" w:cs="Arial"/>
          <w:bCs/>
          <w:sz w:val="24"/>
          <w:szCs w:val="24"/>
          <w:lang w:val="el-GR"/>
        </w:rPr>
        <w:t>ΩΝ ΝΟΜΟΥΣ</w:t>
      </w:r>
    </w:p>
    <w:p w14:paraId="1D296324" w14:textId="2B572EFC" w:rsidR="00152B96" w:rsidRPr="009F0445" w:rsidRDefault="00152B96" w:rsidP="00152B9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  <w:r w:rsidRPr="009F0445">
        <w:rPr>
          <w:rFonts w:ascii="Arial" w:hAnsi="Arial" w:cs="Arial"/>
          <w:bCs/>
          <w:sz w:val="24"/>
          <w:szCs w:val="24"/>
          <w:lang w:val="el-GR"/>
        </w:rPr>
        <w:t>ΤΟΥ 1999 ΕΩΣ 202</w:t>
      </w:r>
      <w:r w:rsidR="00E617B1" w:rsidRPr="009F0445">
        <w:rPr>
          <w:rFonts w:ascii="Arial" w:hAnsi="Arial" w:cs="Arial"/>
          <w:bCs/>
          <w:sz w:val="24"/>
          <w:szCs w:val="24"/>
          <w:lang w:val="el-GR"/>
        </w:rPr>
        <w:t>4</w:t>
      </w:r>
    </w:p>
    <w:p w14:paraId="57CD0ECE" w14:textId="77777777" w:rsidR="00152B96" w:rsidRPr="00944D2B" w:rsidRDefault="00152B96" w:rsidP="00152B96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876"/>
        <w:gridCol w:w="5756"/>
        <w:gridCol w:w="14"/>
      </w:tblGrid>
      <w:tr w:rsidR="009F0445" w:rsidRPr="000603D0" w14:paraId="7B483938" w14:textId="77777777" w:rsidTr="009F0445">
        <w:trPr>
          <w:gridAfter w:val="1"/>
          <w:wAfter w:w="7" w:type="pct"/>
          <w:trHeight w:val="278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BFA7" w14:textId="77777777" w:rsidR="009F0445" w:rsidRPr="00944D2B" w:rsidRDefault="009F0445" w:rsidP="0012161C">
            <w:pPr>
              <w:tabs>
                <w:tab w:val="left" w:pos="299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D5C3D" w14:textId="1247F851" w:rsidR="009F0445" w:rsidRPr="009F0445" w:rsidRDefault="009F0445" w:rsidP="00B12C9E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9F0445"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9F0445" w:rsidRPr="000603D0" w14:paraId="207E431E" w14:textId="77777777" w:rsidTr="009F0445">
        <w:trPr>
          <w:gridAfter w:val="1"/>
          <w:wAfter w:w="7" w:type="pct"/>
          <w:trHeight w:val="124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3978" w14:textId="77777777" w:rsidR="009F0445" w:rsidRPr="00944D2B" w:rsidRDefault="009F0445" w:rsidP="0012161C">
            <w:pPr>
              <w:tabs>
                <w:tab w:val="left" w:pos="299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B955F" w14:textId="77777777" w:rsidR="009F0445" w:rsidRPr="00906512" w:rsidRDefault="009F0445" w:rsidP="00B12C9E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52B96" w:rsidRPr="000603D0" w14:paraId="56C0A46B" w14:textId="77777777" w:rsidTr="00B6585C">
        <w:trPr>
          <w:gridAfter w:val="1"/>
          <w:wAfter w:w="7" w:type="pct"/>
          <w:trHeight w:val="1644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35C31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Συνοπτικός τίτλος.</w:t>
            </w:r>
          </w:p>
          <w:p w14:paraId="1A44A5A9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86(</w:t>
            </w:r>
            <w:r w:rsidRPr="00944D2B">
              <w:rPr>
                <w:rFonts w:ascii="Arial" w:hAnsi="Arial" w:cs="Arial"/>
                <w:sz w:val="24"/>
                <w:szCs w:val="24"/>
              </w:rPr>
              <w:t>I</w:t>
            </w: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1999 </w:t>
            </w:r>
          </w:p>
          <w:p w14:paraId="56940090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51(Ι) του 2000</w:t>
            </w:r>
          </w:p>
          <w:p w14:paraId="06E668B0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5(Ι) του 2001 </w:t>
            </w:r>
          </w:p>
          <w:p w14:paraId="504AC948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131(Ι) του 2001 </w:t>
            </w:r>
          </w:p>
          <w:p w14:paraId="6018A27A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199(Ι) του 2002 </w:t>
            </w:r>
          </w:p>
          <w:p w14:paraId="2C1DFB90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228(Ι) του 2002 </w:t>
            </w:r>
          </w:p>
          <w:p w14:paraId="1548839B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52(Ι) του 2005 </w:t>
            </w:r>
          </w:p>
          <w:p w14:paraId="19ED7EF1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128(Ι) του 2005 </w:t>
            </w:r>
          </w:p>
          <w:p w14:paraId="472BAEC7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148(Ι) του 2006 </w:t>
            </w:r>
          </w:p>
          <w:p w14:paraId="71DCF037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156(Ι) του 2006 </w:t>
            </w:r>
          </w:p>
          <w:p w14:paraId="43F86BB6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27(Ι) του 2007 </w:t>
            </w:r>
          </w:p>
          <w:p w14:paraId="2C48F72A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154(Ι) του 2007 </w:t>
            </w:r>
          </w:p>
          <w:p w14:paraId="063EDC21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166(Ι) του 2007 </w:t>
            </w:r>
          </w:p>
          <w:p w14:paraId="348F979C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2(Ι) του 2009 </w:t>
            </w:r>
          </w:p>
          <w:p w14:paraId="03B8094D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50(Ι) του 2009 </w:t>
            </w:r>
          </w:p>
          <w:p w14:paraId="46498957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98(Ι) του 2009 </w:t>
            </w:r>
          </w:p>
          <w:p w14:paraId="0E26BB8E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47(</w:t>
            </w:r>
            <w:r w:rsidRPr="00944D2B">
              <w:rPr>
                <w:rFonts w:ascii="Arial" w:hAnsi="Arial" w:cs="Arial"/>
                <w:sz w:val="24"/>
                <w:szCs w:val="24"/>
              </w:rPr>
              <w:t>I</w:t>
            </w: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2010 </w:t>
            </w:r>
          </w:p>
          <w:p w14:paraId="7EF5EE1B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120(Ι) του 2010 </w:t>
            </w:r>
          </w:p>
          <w:p w14:paraId="3BBC7280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29(Ι) του 2011 </w:t>
            </w:r>
          </w:p>
          <w:p w14:paraId="47817988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136(Ι) του 2011 </w:t>
            </w:r>
          </w:p>
          <w:p w14:paraId="4D2038DD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218(</w:t>
            </w:r>
            <w:r w:rsidRPr="00944D2B">
              <w:rPr>
                <w:rFonts w:ascii="Arial" w:hAnsi="Arial" w:cs="Arial"/>
                <w:sz w:val="24"/>
                <w:szCs w:val="24"/>
              </w:rPr>
              <w:t>I</w:t>
            </w: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2012 </w:t>
            </w:r>
          </w:p>
          <w:p w14:paraId="683243AF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94(</w:t>
            </w:r>
            <w:r w:rsidRPr="00944D2B">
              <w:rPr>
                <w:rFonts w:ascii="Arial" w:hAnsi="Arial" w:cs="Arial"/>
                <w:sz w:val="24"/>
                <w:szCs w:val="24"/>
              </w:rPr>
              <w:t>I</w:t>
            </w: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2013 </w:t>
            </w:r>
          </w:p>
          <w:p w14:paraId="6B5B82C3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142(Ι) του 2013 </w:t>
            </w:r>
          </w:p>
          <w:p w14:paraId="30B46C26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172(Ι) του 2013</w:t>
            </w:r>
          </w:p>
          <w:p w14:paraId="14A5CAA5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50(Ι) του 2015 </w:t>
            </w:r>
          </w:p>
          <w:p w14:paraId="375BD171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79(Ι) του 2015 </w:t>
            </w:r>
          </w:p>
          <w:p w14:paraId="587EAA0D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104(Ι) του 2015 </w:t>
            </w:r>
          </w:p>
          <w:p w14:paraId="0E4E91F0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129(Ι) του 2016 </w:t>
            </w:r>
          </w:p>
          <w:p w14:paraId="77415629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162(Ι) του 2017 </w:t>
            </w:r>
          </w:p>
          <w:p w14:paraId="20936905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22(Ι) του 2018 </w:t>
            </w:r>
          </w:p>
          <w:p w14:paraId="52309DB0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45(Ι) του 2018</w:t>
            </w:r>
          </w:p>
          <w:p w14:paraId="2E1E3D9C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18(</w:t>
            </w:r>
            <w:r w:rsidRPr="00944D2B">
              <w:rPr>
                <w:rFonts w:ascii="Arial" w:hAnsi="Arial" w:cs="Arial"/>
                <w:sz w:val="24"/>
                <w:szCs w:val="24"/>
              </w:rPr>
              <w:t>I</w:t>
            </w: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2019 </w:t>
            </w:r>
          </w:p>
          <w:p w14:paraId="592E46E3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19(</w:t>
            </w:r>
            <w:r w:rsidRPr="00944D2B">
              <w:rPr>
                <w:rFonts w:ascii="Arial" w:hAnsi="Arial" w:cs="Arial"/>
                <w:sz w:val="24"/>
                <w:szCs w:val="24"/>
              </w:rPr>
              <w:t>I</w:t>
            </w: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) του 2019</w:t>
            </w:r>
          </w:p>
          <w:p w14:paraId="5F625BAA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137(Ι) του 2019</w:t>
            </w:r>
          </w:p>
          <w:p w14:paraId="5B63637F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172(Ι) του 2020</w:t>
            </w:r>
          </w:p>
          <w:p w14:paraId="0EECD7B5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17(Ι) του 2021</w:t>
            </w:r>
          </w:p>
          <w:p w14:paraId="2F1BE2B1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123(Ι) του 2021</w:t>
            </w:r>
          </w:p>
          <w:p w14:paraId="5BD47305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5(Ι) του 2022</w:t>
            </w:r>
          </w:p>
          <w:p w14:paraId="004D750A" w14:textId="77777777" w:rsidR="00152B96" w:rsidRPr="00944D2B" w:rsidRDefault="00152B96" w:rsidP="0012161C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51(Ι) του 2022</w:t>
            </w:r>
          </w:p>
          <w:p w14:paraId="702B4B67" w14:textId="77777777" w:rsidR="002B5266" w:rsidRDefault="00152B96" w:rsidP="002B5266">
            <w:pPr>
              <w:tabs>
                <w:tab w:val="left" w:pos="299"/>
              </w:tabs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44D2B">
              <w:rPr>
                <w:rFonts w:ascii="Arial" w:hAnsi="Arial" w:cs="Arial"/>
                <w:sz w:val="24"/>
                <w:szCs w:val="24"/>
                <w:lang w:val="el-GR"/>
              </w:rPr>
              <w:t>73(Ι) του 2023</w:t>
            </w:r>
          </w:p>
          <w:p w14:paraId="368FBB87" w14:textId="780283D6" w:rsidR="00152B96" w:rsidRPr="00944D2B" w:rsidRDefault="002B5266" w:rsidP="0012161C">
            <w:pPr>
              <w:tabs>
                <w:tab w:val="left" w:pos="299"/>
              </w:tabs>
              <w:spacing w:after="0"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33(Ι) του 2024</w:t>
            </w:r>
            <w:r w:rsidR="00152B96" w:rsidRPr="00944D2B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FB0B" w14:textId="59DFAB0F" w:rsidR="00152B96" w:rsidRPr="0015459B" w:rsidRDefault="00152B96" w:rsidP="00B12C9E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06512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1.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906512">
              <w:rPr>
                <w:rFonts w:ascii="Arial" w:hAnsi="Arial" w:cs="Arial"/>
                <w:sz w:val="24"/>
                <w:szCs w:val="24"/>
                <w:lang w:val="el-GR"/>
              </w:rPr>
              <w:t xml:space="preserve">Ο παρών Νόμος θα αναφέρεται ως ο περί Κοινοτήτων (Τροποποιητικός) </w:t>
            </w:r>
            <w:r w:rsidR="002B5266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 w:rsidR="002B5266">
              <w:rPr>
                <w:rFonts w:ascii="Arial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="002B5266">
              <w:rPr>
                <w:rFonts w:ascii="Arial" w:hAnsi="Arial" w:cs="Arial"/>
                <w:sz w:val="24"/>
                <w:szCs w:val="24"/>
                <w:lang w:val="el-GR"/>
              </w:rPr>
              <w:t xml:space="preserve">. 2) </w:t>
            </w:r>
            <w:r w:rsidRPr="00906512">
              <w:rPr>
                <w:rFonts w:ascii="Arial" w:hAnsi="Arial" w:cs="Arial"/>
                <w:sz w:val="24"/>
                <w:szCs w:val="24"/>
                <w:lang w:val="el-GR"/>
              </w:rPr>
              <w:t xml:space="preserve">Νόμος του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2024</w:t>
            </w:r>
            <w:r w:rsidRPr="00906512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θα διαβάζεται μαζί με τους περί Κοινοτήτων Νόμους του 1999 έως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202</w:t>
            </w:r>
            <w:r w:rsidR="002B5266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906512">
              <w:rPr>
                <w:rFonts w:ascii="Arial" w:hAnsi="Arial" w:cs="Arial"/>
                <w:sz w:val="24"/>
                <w:szCs w:val="24"/>
                <w:lang w:val="el-GR"/>
              </w:rPr>
              <w:t xml:space="preserve"> (που στο εξής θα αναφέρονται ως «ο βασικός νόμος») και ο βασικός νόμος και ο παρών Νόμος θα αναφέρονται μαζί ως οι περί Κοινοτήτων Νόμοι του 1999 έως</w:t>
            </w:r>
            <w:r w:rsidR="002B5266"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proofErr w:type="spellStart"/>
            <w:r w:rsidR="002B5266">
              <w:rPr>
                <w:rFonts w:ascii="Arial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="002B5266">
              <w:rPr>
                <w:rFonts w:ascii="Arial" w:hAnsi="Arial" w:cs="Arial"/>
                <w:sz w:val="24"/>
                <w:szCs w:val="24"/>
                <w:lang w:val="el-GR"/>
              </w:rPr>
              <w:t>. 2) του</w:t>
            </w:r>
            <w:r w:rsidRPr="0090651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2024</w:t>
            </w:r>
            <w:r w:rsidRPr="00906512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152B96" w:rsidRPr="000603D0" w14:paraId="687A4998" w14:textId="77777777" w:rsidTr="00B6585C">
        <w:trPr>
          <w:gridAfter w:val="1"/>
          <w:wAfter w:w="7" w:type="pct"/>
          <w:trHeight w:val="445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8B64" w14:textId="77777777" w:rsidR="00152B96" w:rsidRPr="00944D2B" w:rsidRDefault="00152B96" w:rsidP="001216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5218" w14:textId="77777777" w:rsidR="00152B96" w:rsidRPr="00906512" w:rsidRDefault="00152B96" w:rsidP="0012161C">
            <w:pPr>
              <w:tabs>
                <w:tab w:val="left" w:pos="276"/>
                <w:tab w:val="left" w:pos="488"/>
                <w:tab w:val="left" w:pos="70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6585C" w:rsidRPr="000603D0" w14:paraId="5A3E9B58" w14:textId="77777777" w:rsidTr="00B6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039" w:type="pct"/>
            <w:shd w:val="clear" w:color="auto" w:fill="auto"/>
          </w:tcPr>
          <w:p w14:paraId="0FBA3019" w14:textId="77777777" w:rsidR="00B6585C" w:rsidRPr="00B6585C" w:rsidRDefault="00B6585C" w:rsidP="00B6585C">
            <w:pPr>
              <w:tabs>
                <w:tab w:val="left" w:pos="386"/>
              </w:tabs>
              <w:spacing w:after="0" w:line="360" w:lineRule="auto"/>
              <w:rPr>
                <w:rFonts w:ascii="Arial" w:eastAsiaTheme="minorHAnsi" w:hAnsi="Arial" w:cs="Arial"/>
                <w:sz w:val="24"/>
                <w:lang w:val="el-GR"/>
              </w:rPr>
            </w:pP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 xml:space="preserve">Τροποποίηση </w:t>
            </w:r>
          </w:p>
          <w:p w14:paraId="74D3F86F" w14:textId="24515271" w:rsidR="00B6585C" w:rsidRPr="00B6585C" w:rsidRDefault="00B6585C" w:rsidP="00B6585C">
            <w:pPr>
              <w:tabs>
                <w:tab w:val="left" w:pos="386"/>
              </w:tabs>
              <w:spacing w:after="0" w:line="360" w:lineRule="auto"/>
              <w:rPr>
                <w:rFonts w:ascii="Arial" w:eastAsiaTheme="minorHAnsi" w:hAnsi="Arial" w:cs="Arial"/>
                <w:sz w:val="24"/>
                <w:lang w:val="el-GR"/>
              </w:rPr>
            </w:pP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>του άρθρου 2</w:t>
            </w:r>
            <w:r>
              <w:rPr>
                <w:rFonts w:ascii="Arial" w:eastAsiaTheme="minorHAnsi" w:hAnsi="Arial" w:cs="Arial"/>
                <w:sz w:val="24"/>
                <w:lang w:val="el-GR"/>
              </w:rPr>
              <w:t>5</w:t>
            </w:r>
          </w:p>
          <w:p w14:paraId="02EEB3DD" w14:textId="77777777" w:rsidR="00B6585C" w:rsidRPr="00B6585C" w:rsidRDefault="00B6585C" w:rsidP="00B6585C">
            <w:pPr>
              <w:tabs>
                <w:tab w:val="left" w:pos="386"/>
              </w:tabs>
              <w:spacing w:after="0" w:line="360" w:lineRule="auto"/>
              <w:rPr>
                <w:rFonts w:ascii="Arial" w:eastAsiaTheme="minorHAnsi" w:hAnsi="Arial" w:cs="Arial"/>
                <w:sz w:val="24"/>
                <w:lang w:val="el-GR"/>
              </w:rPr>
            </w:pP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>του βασικού νόμου.</w:t>
            </w:r>
          </w:p>
        </w:tc>
        <w:tc>
          <w:tcPr>
            <w:tcW w:w="3961" w:type="pct"/>
            <w:gridSpan w:val="3"/>
            <w:shd w:val="clear" w:color="auto" w:fill="auto"/>
          </w:tcPr>
          <w:p w14:paraId="1A76CA61" w14:textId="119628D4" w:rsidR="00B6585C" w:rsidRPr="00B6585C" w:rsidRDefault="00B6585C" w:rsidP="00B12C9E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lang w:val="el-GR"/>
              </w:rPr>
            </w:pP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>2.</w:t>
            </w: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ab/>
              <w:t>Το άρθρο 2</w:t>
            </w:r>
            <w:r>
              <w:rPr>
                <w:rFonts w:ascii="Arial" w:eastAsiaTheme="minorHAnsi" w:hAnsi="Arial" w:cs="Arial"/>
                <w:sz w:val="24"/>
                <w:lang w:val="el-GR"/>
              </w:rPr>
              <w:t>5</w:t>
            </w: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 xml:space="preserve"> του βασικού νόμου τροποποιείται με την προσθήκη, αμέσως μετά το εδάφιο (</w:t>
            </w:r>
            <w:r w:rsidR="00B12C9E">
              <w:rPr>
                <w:rFonts w:ascii="Arial" w:eastAsiaTheme="minorHAnsi" w:hAnsi="Arial" w:cs="Arial"/>
                <w:sz w:val="24"/>
                <w:lang w:val="el-GR"/>
              </w:rPr>
              <w:t>4</w:t>
            </w: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>), του ακόλουθου νέου εδαφίου:</w:t>
            </w:r>
          </w:p>
        </w:tc>
      </w:tr>
      <w:tr w:rsidR="00B6585C" w:rsidRPr="000603D0" w14:paraId="1441307D" w14:textId="77777777" w:rsidTr="002B0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39" w:type="pct"/>
            <w:shd w:val="clear" w:color="auto" w:fill="auto"/>
          </w:tcPr>
          <w:p w14:paraId="2EDA60FA" w14:textId="77777777" w:rsidR="00B6585C" w:rsidRPr="00B6585C" w:rsidRDefault="00B6585C" w:rsidP="0018513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lang w:val="el-GR"/>
              </w:rPr>
            </w:pPr>
          </w:p>
        </w:tc>
        <w:tc>
          <w:tcPr>
            <w:tcW w:w="3961" w:type="pct"/>
            <w:gridSpan w:val="3"/>
            <w:shd w:val="clear" w:color="auto" w:fill="auto"/>
          </w:tcPr>
          <w:p w14:paraId="0AC720C7" w14:textId="77777777" w:rsidR="00B6585C" w:rsidRPr="00B6585C" w:rsidRDefault="00B6585C" w:rsidP="0018513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lang w:val="el-GR"/>
              </w:rPr>
            </w:pPr>
          </w:p>
        </w:tc>
      </w:tr>
      <w:tr w:rsidR="00B6585C" w:rsidRPr="000603D0" w14:paraId="37E0CB9E" w14:textId="77777777" w:rsidTr="00B6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039" w:type="pct"/>
            <w:shd w:val="clear" w:color="auto" w:fill="auto"/>
          </w:tcPr>
          <w:p w14:paraId="23EDD5BF" w14:textId="77777777" w:rsidR="00B6585C" w:rsidRPr="00B6585C" w:rsidRDefault="00B6585C" w:rsidP="00B6585C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lang w:val="el-GR"/>
              </w:rPr>
            </w:pPr>
          </w:p>
        </w:tc>
        <w:tc>
          <w:tcPr>
            <w:tcW w:w="972" w:type="pct"/>
            <w:shd w:val="clear" w:color="auto" w:fill="auto"/>
          </w:tcPr>
          <w:p w14:paraId="762DCBE9" w14:textId="77777777" w:rsidR="00B6585C" w:rsidRPr="00B6585C" w:rsidRDefault="00B6585C" w:rsidP="00B6585C">
            <w:pPr>
              <w:spacing w:after="0" w:line="360" w:lineRule="auto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</w:p>
          <w:p w14:paraId="55F4AD71" w14:textId="77777777" w:rsidR="00B6585C" w:rsidRPr="00B6585C" w:rsidRDefault="00B6585C" w:rsidP="00B6585C">
            <w:pPr>
              <w:spacing w:after="0" w:line="360" w:lineRule="auto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</w:p>
          <w:p w14:paraId="26AEB55F" w14:textId="77777777" w:rsidR="00B6585C" w:rsidRPr="00B6585C" w:rsidRDefault="00B6585C" w:rsidP="00B6585C">
            <w:pPr>
              <w:spacing w:after="0" w:line="360" w:lineRule="auto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</w:p>
          <w:p w14:paraId="1770D7E1" w14:textId="77777777" w:rsidR="00B6585C" w:rsidRPr="00B6585C" w:rsidRDefault="00B6585C" w:rsidP="00B6585C">
            <w:pPr>
              <w:spacing w:after="0" w:line="360" w:lineRule="auto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</w:p>
          <w:p w14:paraId="5F168876" w14:textId="77777777" w:rsidR="00B6585C" w:rsidRPr="00B6585C" w:rsidRDefault="00B6585C" w:rsidP="00B6585C">
            <w:pPr>
              <w:spacing w:after="0" w:line="360" w:lineRule="auto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</w:p>
          <w:p w14:paraId="7E7DF9C5" w14:textId="77777777" w:rsidR="00B6585C" w:rsidRPr="00B6585C" w:rsidRDefault="00B6585C" w:rsidP="00B6585C">
            <w:pPr>
              <w:spacing w:after="0" w:line="360" w:lineRule="auto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</w:p>
          <w:p w14:paraId="41E3F1C7" w14:textId="77777777" w:rsidR="00B6585C" w:rsidRPr="00B6585C" w:rsidRDefault="00B6585C" w:rsidP="00B6585C">
            <w:pPr>
              <w:spacing w:after="0" w:line="360" w:lineRule="auto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</w:p>
          <w:p w14:paraId="60BF38D5" w14:textId="77777777" w:rsidR="00B6585C" w:rsidRPr="00B6585C" w:rsidRDefault="00B6585C" w:rsidP="00B6585C">
            <w:pPr>
              <w:spacing w:after="0" w:line="360" w:lineRule="auto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>175(Ι) του 2012</w:t>
            </w:r>
          </w:p>
          <w:p w14:paraId="22F41F8B" w14:textId="77777777" w:rsidR="00B6585C" w:rsidRPr="00B6585C" w:rsidRDefault="00B6585C" w:rsidP="00B6585C">
            <w:pPr>
              <w:spacing w:after="0" w:line="360" w:lineRule="auto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>12(Ι) του 2015</w:t>
            </w:r>
          </w:p>
          <w:p w14:paraId="0A6ADB03" w14:textId="77777777" w:rsidR="00B6585C" w:rsidRPr="00B6585C" w:rsidRDefault="00B6585C" w:rsidP="00B6585C">
            <w:pPr>
              <w:spacing w:after="0" w:line="360" w:lineRule="auto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>129(Ι) του 2015</w:t>
            </w:r>
          </w:p>
          <w:p w14:paraId="4060A874" w14:textId="77777777" w:rsidR="00B6585C" w:rsidRPr="00B6585C" w:rsidRDefault="00B6585C" w:rsidP="00B6585C">
            <w:pPr>
              <w:spacing w:after="0" w:line="360" w:lineRule="auto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>171(I) του 2015</w:t>
            </w:r>
          </w:p>
          <w:p w14:paraId="572B43FB" w14:textId="77777777" w:rsidR="00B6585C" w:rsidRPr="00B6585C" w:rsidRDefault="00B6585C" w:rsidP="00B6585C">
            <w:pPr>
              <w:spacing w:after="0" w:line="360" w:lineRule="auto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>35(I) του 2018</w:t>
            </w:r>
          </w:p>
          <w:p w14:paraId="31DBC5DB" w14:textId="77777777" w:rsidR="00B6585C" w:rsidRPr="00B6585C" w:rsidRDefault="00B6585C" w:rsidP="00B6585C">
            <w:pPr>
              <w:spacing w:after="0" w:line="360" w:lineRule="auto"/>
              <w:ind w:right="-96"/>
              <w:jc w:val="right"/>
              <w:rPr>
                <w:rFonts w:ascii="Arial" w:eastAsiaTheme="minorHAnsi" w:hAnsi="Arial" w:cs="Arial"/>
                <w:sz w:val="24"/>
                <w:lang w:val="el-GR"/>
              </w:rPr>
            </w:pPr>
            <w:r w:rsidRPr="00B6585C">
              <w:rPr>
                <w:rFonts w:ascii="Arial" w:eastAsiaTheme="minorHAnsi" w:hAnsi="Arial" w:cs="Arial"/>
                <w:sz w:val="24"/>
                <w:lang w:val="el-GR"/>
              </w:rPr>
              <w:t>187(Ι) του 2021.</w:t>
            </w:r>
          </w:p>
        </w:tc>
        <w:tc>
          <w:tcPr>
            <w:tcW w:w="2989" w:type="pct"/>
            <w:gridSpan w:val="2"/>
            <w:shd w:val="clear" w:color="auto" w:fill="auto"/>
          </w:tcPr>
          <w:p w14:paraId="2302A781" w14:textId="11A1FC2C" w:rsidR="00B6585C" w:rsidRPr="00B6585C" w:rsidRDefault="00B6585C" w:rsidP="00F964F2">
            <w:pPr>
              <w:tabs>
                <w:tab w:val="left" w:pos="788"/>
              </w:tabs>
              <w:spacing w:after="0" w:line="360" w:lineRule="auto"/>
              <w:ind w:left="62" w:hanging="25"/>
              <w:jc w:val="both"/>
              <w:rPr>
                <w:rFonts w:ascii="Arial" w:eastAsiaTheme="minorHAnsi" w:hAnsi="Arial" w:cs="Arial"/>
                <w:sz w:val="24"/>
                <w:lang w:val="el-GR"/>
              </w:rPr>
            </w:pPr>
            <w:r w:rsidRPr="00B6585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val="el-GR" w:eastAsia="el-GR"/>
              </w:rPr>
              <w:t>«(</w:t>
            </w:r>
            <w:r w:rsidR="00B12C9E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val="el-GR" w:eastAsia="el-GR"/>
              </w:rPr>
              <w:t>4</w:t>
            </w:r>
            <w:r w:rsidRPr="00B6585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el-GR"/>
              </w:rPr>
              <w:t>A</w:t>
            </w:r>
            <w:r w:rsidRPr="00B6585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val="el-GR" w:eastAsia="el-GR"/>
              </w:rPr>
              <w:t xml:space="preserve">) </w:t>
            </w:r>
            <w:r w:rsidRPr="00B6585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val="el-GR" w:eastAsia="el-GR"/>
              </w:rPr>
              <w:tab/>
            </w:r>
            <w:r w:rsidRPr="00B6585C">
              <w:rPr>
                <w:rFonts w:ascii="Arial" w:hAnsi="Arial" w:cs="Arial"/>
                <w:sz w:val="24"/>
                <w:szCs w:val="24"/>
                <w:lang w:val="el-GR" w:eastAsia="el-GR"/>
              </w:rPr>
              <w:t>Η αναφερόμενη στο εδάφιο (</w:t>
            </w:r>
            <w:r w:rsidR="00B12C9E">
              <w:rPr>
                <w:rFonts w:ascii="Arial" w:hAnsi="Arial" w:cs="Arial"/>
                <w:sz w:val="24"/>
                <w:szCs w:val="24"/>
                <w:lang w:val="el-GR" w:eastAsia="el-GR"/>
              </w:rPr>
              <w:t>4</w:t>
            </w:r>
            <w:r w:rsidRPr="00B6585C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) δήλωση, εάν πρόκειται περί συνδυασμού ενός μόνο κόμματος, δύναται να περιλαμβάνει, πέραν του ονόματος του κόμματος, αναφορά σε πρόσθετο κείμενο, νοουμένου ότι αυτό δεν παραπέμπει σε ομάδα ή ένωση προσώπων η οποία συνιστά </w:t>
            </w:r>
            <w:r w:rsidR="000603D0" w:rsidRPr="000603D0">
              <w:rPr>
                <w:rFonts w:ascii="Arial" w:hAnsi="Arial" w:cs="Arial"/>
                <w:sz w:val="24"/>
                <w:szCs w:val="24"/>
                <w:lang w:val="el-GR" w:eastAsia="el-GR"/>
              </w:rPr>
              <w:t>“</w:t>
            </w:r>
            <w:r w:rsidRPr="00B6585C">
              <w:rPr>
                <w:rFonts w:ascii="Arial" w:hAnsi="Arial" w:cs="Arial"/>
                <w:sz w:val="24"/>
                <w:szCs w:val="24"/>
                <w:lang w:val="el-GR" w:eastAsia="el-GR"/>
              </w:rPr>
              <w:t>πολιτικό κόμμα</w:t>
            </w:r>
            <w:r w:rsidR="000603D0">
              <w:rPr>
                <w:rFonts w:ascii="Arial" w:hAnsi="Arial" w:cs="Arial"/>
                <w:sz w:val="24"/>
                <w:szCs w:val="24"/>
                <w:lang w:eastAsia="el-GR"/>
              </w:rPr>
              <w:t>”</w:t>
            </w:r>
            <w:r w:rsidRPr="00B6585C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κατά την έννοια που αποδίδεται στον όρο αυτό στον περί Πολιτικών Κομμάτων Νόμο.».</w:t>
            </w:r>
          </w:p>
        </w:tc>
      </w:tr>
    </w:tbl>
    <w:p w14:paraId="3C3E8AAE" w14:textId="77777777" w:rsidR="00F964F2" w:rsidRDefault="00F964F2" w:rsidP="00185131">
      <w:pPr>
        <w:spacing w:line="240" w:lineRule="auto"/>
        <w:rPr>
          <w:rFonts w:ascii="Arial" w:hAnsi="Arial" w:cs="Arial"/>
          <w:sz w:val="24"/>
          <w:szCs w:val="24"/>
          <w:lang w:val="el-GR"/>
        </w:rPr>
      </w:pPr>
    </w:p>
    <w:p w14:paraId="1CC924D5" w14:textId="24DC8DF4" w:rsidR="00152B96" w:rsidRPr="009E7D79" w:rsidRDefault="00152B96" w:rsidP="009E7D79">
      <w:pPr>
        <w:spacing w:after="40" w:line="240" w:lineRule="auto"/>
        <w:rPr>
          <w:rFonts w:ascii="Arial" w:hAnsi="Arial" w:cs="Arial"/>
          <w:lang w:val="el-GR"/>
        </w:rPr>
      </w:pPr>
      <w:proofErr w:type="spellStart"/>
      <w:r w:rsidRPr="009E7D79">
        <w:rPr>
          <w:rFonts w:ascii="Arial" w:hAnsi="Arial" w:cs="Arial"/>
          <w:lang w:val="el-GR"/>
        </w:rPr>
        <w:t>Αρ</w:t>
      </w:r>
      <w:proofErr w:type="spellEnd"/>
      <w:r w:rsidRPr="009E7D79">
        <w:rPr>
          <w:rFonts w:ascii="Arial" w:hAnsi="Arial" w:cs="Arial"/>
          <w:lang w:val="el-GR"/>
        </w:rPr>
        <w:t xml:space="preserve">. Φακ.:  23.02.065.045-2024 </w:t>
      </w:r>
    </w:p>
    <w:p w14:paraId="68FF8C9B" w14:textId="68627983" w:rsidR="00B12C9E" w:rsidRPr="00F964F2" w:rsidRDefault="002D1222" w:rsidP="009C2F37">
      <w:pPr>
        <w:spacing w:after="0" w:line="240" w:lineRule="auto"/>
        <w:rPr>
          <w:rFonts w:ascii="Arial" w:hAnsi="Arial" w:cs="Arial"/>
          <w:sz w:val="16"/>
          <w:szCs w:val="16"/>
          <w:lang w:val="el-GR"/>
        </w:rPr>
      </w:pPr>
      <w:r w:rsidRPr="00F964F2">
        <w:rPr>
          <w:rFonts w:ascii="Arial" w:eastAsia="Times New Roman" w:hAnsi="Arial" w:cs="Arial"/>
          <w:bCs/>
          <w:color w:val="000000"/>
          <w:sz w:val="16"/>
          <w:szCs w:val="16"/>
          <w:lang w:val="el-GR" w:eastAsia="en-GB"/>
        </w:rPr>
        <w:t>Δ</w:t>
      </w:r>
      <w:r w:rsidR="00C461FB" w:rsidRPr="00F964F2">
        <w:rPr>
          <w:rFonts w:ascii="Arial" w:eastAsia="Times New Roman" w:hAnsi="Arial" w:cs="Arial"/>
          <w:bCs/>
          <w:color w:val="000000"/>
          <w:sz w:val="16"/>
          <w:szCs w:val="16"/>
          <w:lang w:val="el-GR" w:eastAsia="en-GB"/>
        </w:rPr>
        <w:t>Π</w:t>
      </w:r>
      <w:r w:rsidRPr="00F964F2">
        <w:rPr>
          <w:rFonts w:ascii="Arial" w:eastAsia="Times New Roman" w:hAnsi="Arial" w:cs="Arial"/>
          <w:bCs/>
          <w:color w:val="000000"/>
          <w:sz w:val="16"/>
          <w:szCs w:val="16"/>
          <w:lang w:val="el-GR" w:eastAsia="en-GB"/>
        </w:rPr>
        <w:t>/</w:t>
      </w:r>
      <w:r w:rsidRPr="00F964F2">
        <w:rPr>
          <w:rFonts w:ascii="Arial" w:eastAsia="Times New Roman" w:hAnsi="Arial" w:cs="Arial"/>
          <w:bCs/>
          <w:color w:val="000000"/>
          <w:sz w:val="16"/>
          <w:szCs w:val="16"/>
          <w:lang w:eastAsia="en-GB"/>
        </w:rPr>
        <w:t>MV</w:t>
      </w:r>
    </w:p>
    <w:sectPr w:rsidR="00B12C9E" w:rsidRPr="00F964F2" w:rsidSect="00831448">
      <w:headerReference w:type="default" r:id="rId9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B409" w14:textId="77777777" w:rsidR="00831448" w:rsidRDefault="00831448" w:rsidP="002B09FE">
      <w:pPr>
        <w:spacing w:after="0" w:line="240" w:lineRule="auto"/>
      </w:pPr>
      <w:r>
        <w:separator/>
      </w:r>
    </w:p>
  </w:endnote>
  <w:endnote w:type="continuationSeparator" w:id="0">
    <w:p w14:paraId="602F1E11" w14:textId="77777777" w:rsidR="00831448" w:rsidRDefault="00831448" w:rsidP="002B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3D53" w14:textId="77777777" w:rsidR="00831448" w:rsidRDefault="00831448" w:rsidP="002B09FE">
      <w:pPr>
        <w:spacing w:after="0" w:line="240" w:lineRule="auto"/>
      </w:pPr>
      <w:r>
        <w:separator/>
      </w:r>
    </w:p>
  </w:footnote>
  <w:footnote w:type="continuationSeparator" w:id="0">
    <w:p w14:paraId="41CF45BD" w14:textId="77777777" w:rsidR="00831448" w:rsidRDefault="00831448" w:rsidP="002B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8588813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B4748A" w14:textId="5D8E12C7" w:rsidR="002B09FE" w:rsidRPr="00853EA4" w:rsidRDefault="002B09FE" w:rsidP="00853EA4">
        <w:pPr>
          <w:pStyle w:val="Header"/>
          <w:spacing w:line="480" w:lineRule="auto"/>
          <w:jc w:val="center"/>
          <w:rPr>
            <w:rFonts w:ascii="Arial" w:hAnsi="Arial" w:cs="Arial"/>
            <w:sz w:val="24"/>
            <w:szCs w:val="24"/>
          </w:rPr>
        </w:pPr>
        <w:r w:rsidRPr="00853EA4">
          <w:rPr>
            <w:rFonts w:ascii="Arial" w:hAnsi="Arial" w:cs="Arial"/>
            <w:sz w:val="24"/>
            <w:szCs w:val="24"/>
          </w:rPr>
          <w:fldChar w:fldCharType="begin"/>
        </w:r>
        <w:r w:rsidRPr="00853EA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53EA4">
          <w:rPr>
            <w:rFonts w:ascii="Arial" w:hAnsi="Arial" w:cs="Arial"/>
            <w:sz w:val="24"/>
            <w:szCs w:val="24"/>
          </w:rPr>
          <w:fldChar w:fldCharType="separate"/>
        </w:r>
        <w:r w:rsidRPr="00853EA4">
          <w:rPr>
            <w:rFonts w:ascii="Arial" w:hAnsi="Arial" w:cs="Arial"/>
            <w:noProof/>
            <w:sz w:val="24"/>
            <w:szCs w:val="24"/>
          </w:rPr>
          <w:t>2</w:t>
        </w:r>
        <w:r w:rsidRPr="00853EA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00CC6ED" w14:textId="77777777" w:rsidR="002B09FE" w:rsidRDefault="002B0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96"/>
    <w:rsid w:val="000537F4"/>
    <w:rsid w:val="000603D0"/>
    <w:rsid w:val="000F750D"/>
    <w:rsid w:val="00147C23"/>
    <w:rsid w:val="00152B96"/>
    <w:rsid w:val="00185131"/>
    <w:rsid w:val="002B09FE"/>
    <w:rsid w:val="002B5266"/>
    <w:rsid w:val="002D1222"/>
    <w:rsid w:val="004340D2"/>
    <w:rsid w:val="00505842"/>
    <w:rsid w:val="005D544B"/>
    <w:rsid w:val="007B67DC"/>
    <w:rsid w:val="00831448"/>
    <w:rsid w:val="00853EA4"/>
    <w:rsid w:val="009249E5"/>
    <w:rsid w:val="009C2F37"/>
    <w:rsid w:val="009E7D79"/>
    <w:rsid w:val="009F0445"/>
    <w:rsid w:val="00A90EDD"/>
    <w:rsid w:val="00A912A7"/>
    <w:rsid w:val="00B12C9E"/>
    <w:rsid w:val="00B258F7"/>
    <w:rsid w:val="00B6585C"/>
    <w:rsid w:val="00C461FB"/>
    <w:rsid w:val="00E617B1"/>
    <w:rsid w:val="00F54AAE"/>
    <w:rsid w:val="00F84B8B"/>
    <w:rsid w:val="00F964F2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1FCC"/>
  <w15:chartTrackingRefBased/>
  <w15:docId w15:val="{E173466D-3B4E-4367-A109-4E0192E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B96"/>
    <w:pPr>
      <w:spacing w:after="160" w:line="259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96"/>
    <w:pPr>
      <w:ind w:left="720"/>
      <w:contextualSpacing/>
    </w:pPr>
  </w:style>
  <w:style w:type="paragraph" w:customStyle="1" w:styleId="toc-instrument">
    <w:name w:val="toc-instrument"/>
    <w:basedOn w:val="Normal"/>
    <w:rsid w:val="00152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toc-instrument-enum">
    <w:name w:val="toc-instrument-enum"/>
    <w:basedOn w:val="DefaultParagraphFont"/>
    <w:rsid w:val="00152B96"/>
  </w:style>
  <w:style w:type="paragraph" w:styleId="Header">
    <w:name w:val="header"/>
    <w:basedOn w:val="Normal"/>
    <w:link w:val="HeaderChar"/>
    <w:uiPriority w:val="99"/>
    <w:unhideWhenUsed/>
    <w:rsid w:val="002B0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FE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0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FE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C6D4FEE961E438C34C9D82FF34315" ma:contentTypeVersion="4" ma:contentTypeDescription="Create a new document." ma:contentTypeScope="" ma:versionID="047bed1b0fdea1650aac487f7e2b46c4">
  <xsd:schema xmlns:xsd="http://www.w3.org/2001/XMLSchema" xmlns:xs="http://www.w3.org/2001/XMLSchema" xmlns:p="http://schemas.microsoft.com/office/2006/metadata/properties" xmlns:ns3="24d12891-783c-4915-b246-78fc867aa980" targetNamespace="http://schemas.microsoft.com/office/2006/metadata/properties" ma:root="true" ma:fieldsID="5d21b982933c873df677d19b28c8a8dc" ns3:_="">
    <xsd:import namespace="24d12891-783c-4915-b246-78fc867aa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2891-783c-4915-b246-78fc867aa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85C94-DEDE-4198-981F-FBCB3A4D9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539AE-3E01-4294-AAED-63ABCD99F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12891-783c-4915-b246-78fc867a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A2400-7908-4F98-AAA5-71CC029EE0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dpantelidou@parliament.cy</dc:creator>
  <cp:keywords/>
  <dc:description/>
  <cp:lastModifiedBy>Maria Vakana</cp:lastModifiedBy>
  <cp:revision>10</cp:revision>
  <cp:lastPrinted>2024-04-04T08:14:00Z</cp:lastPrinted>
  <dcterms:created xsi:type="dcterms:W3CDTF">2024-04-04T08:16:00Z</dcterms:created>
  <dcterms:modified xsi:type="dcterms:W3CDTF">2024-04-08T10:28:00Z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0x010100588C6D4FEE961E438C34C9D82FF34315</vt:lpwstr>
  </property>
</Properties>
</file>