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32E49F" w14:textId="0F071E4A" w:rsidR="00E31B87" w:rsidRDefault="00E31B87" w:rsidP="00A25B50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  <w:lang w:val="el-GR"/>
        </w:rPr>
      </w:pPr>
      <w:r w:rsidRPr="00A25B50">
        <w:rPr>
          <w:rFonts w:ascii="Arial" w:eastAsia="Calibri" w:hAnsi="Arial" w:cs="Arial"/>
          <w:bCs/>
          <w:sz w:val="24"/>
          <w:szCs w:val="24"/>
          <w:lang w:val="el-GR"/>
        </w:rPr>
        <w:t>ΟΙ ΠΕΡΙ ΑΝΑΠΤΥΞΗΣ ΑΝΘΡΩΠΙΝΟΥ ΔΥΝΑΜΙΚΟΥ ΝΟΜΟΙ ΤΟΥ 199</w:t>
      </w:r>
      <w:r w:rsidR="00F4474B" w:rsidRPr="00A25B50">
        <w:rPr>
          <w:rFonts w:ascii="Arial" w:eastAsia="Calibri" w:hAnsi="Arial" w:cs="Arial"/>
          <w:bCs/>
          <w:sz w:val="24"/>
          <w:szCs w:val="24"/>
          <w:lang w:val="el-GR"/>
        </w:rPr>
        <w:t>9</w:t>
      </w:r>
      <w:r w:rsidRPr="00A25B50">
        <w:rPr>
          <w:rFonts w:ascii="Arial" w:eastAsia="Calibri" w:hAnsi="Arial" w:cs="Arial"/>
          <w:bCs/>
          <w:sz w:val="24"/>
          <w:szCs w:val="24"/>
          <w:lang w:val="el-GR"/>
        </w:rPr>
        <w:t xml:space="preserve"> ΕΩΣ 2007</w:t>
      </w:r>
    </w:p>
    <w:p w14:paraId="4D2625E8" w14:textId="77777777" w:rsidR="00A25B50" w:rsidRPr="00A25B50" w:rsidRDefault="00A25B50" w:rsidP="00A25B50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  <w:lang w:val="el-GR"/>
        </w:rPr>
      </w:pPr>
    </w:p>
    <w:p w14:paraId="177964E8" w14:textId="2011496B" w:rsidR="00E31B87" w:rsidRDefault="00155D78" w:rsidP="00A25B50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  <w:lang w:val="el-GR"/>
        </w:rPr>
      </w:pPr>
      <w:r>
        <w:rPr>
          <w:rFonts w:ascii="Arial" w:eastAsia="Calibri" w:hAnsi="Arial" w:cs="Arial"/>
          <w:bCs/>
          <w:sz w:val="24"/>
          <w:szCs w:val="24"/>
          <w:lang w:val="el-GR"/>
        </w:rPr>
        <w:tab/>
      </w:r>
      <w:r w:rsidR="00E31B87" w:rsidRPr="00A25B50">
        <w:rPr>
          <w:rFonts w:ascii="Arial" w:eastAsia="Calibri" w:hAnsi="Arial" w:cs="Arial"/>
          <w:bCs/>
          <w:sz w:val="24"/>
          <w:szCs w:val="24"/>
          <w:lang w:val="el-GR"/>
        </w:rPr>
        <w:t>Κανονισμοί δυνάμει τ</w:t>
      </w:r>
      <w:r w:rsidR="00F4474B" w:rsidRPr="00A25B50">
        <w:rPr>
          <w:rFonts w:ascii="Arial" w:eastAsia="Calibri" w:hAnsi="Arial" w:cs="Arial"/>
          <w:bCs/>
          <w:sz w:val="24"/>
          <w:szCs w:val="24"/>
          <w:lang w:val="en-US"/>
        </w:rPr>
        <w:t>o</w:t>
      </w:r>
      <w:r w:rsidR="00F4474B" w:rsidRPr="00A25B50">
        <w:rPr>
          <w:rFonts w:ascii="Arial" w:eastAsia="Calibri" w:hAnsi="Arial" w:cs="Arial"/>
          <w:bCs/>
          <w:sz w:val="24"/>
          <w:szCs w:val="24"/>
          <w:lang w:val="el-GR"/>
        </w:rPr>
        <w:t>υ</w:t>
      </w:r>
      <w:r w:rsidR="00A25B50">
        <w:rPr>
          <w:rFonts w:ascii="Arial" w:eastAsia="Calibri" w:hAnsi="Arial" w:cs="Arial"/>
          <w:bCs/>
          <w:sz w:val="24"/>
          <w:szCs w:val="24"/>
          <w:lang w:val="el-GR"/>
        </w:rPr>
        <w:t xml:space="preserve"> εδαφίου (3)</w:t>
      </w:r>
      <w:r w:rsidR="001B18EF" w:rsidRPr="001B18EF">
        <w:rPr>
          <w:rFonts w:ascii="Arial" w:eastAsia="Calibri" w:hAnsi="Arial" w:cs="Arial"/>
          <w:bCs/>
          <w:sz w:val="24"/>
          <w:szCs w:val="24"/>
          <w:lang w:val="el-GR"/>
        </w:rPr>
        <w:t xml:space="preserve"> </w:t>
      </w:r>
      <w:r w:rsidR="001B18EF">
        <w:rPr>
          <w:rFonts w:ascii="Arial" w:eastAsia="Calibri" w:hAnsi="Arial" w:cs="Arial"/>
          <w:bCs/>
          <w:sz w:val="24"/>
          <w:szCs w:val="24"/>
          <w:lang w:val="el-GR"/>
        </w:rPr>
        <w:t>του</w:t>
      </w:r>
      <w:r w:rsidR="00E31B87" w:rsidRPr="00A25B50">
        <w:rPr>
          <w:rFonts w:ascii="Arial" w:eastAsia="Calibri" w:hAnsi="Arial" w:cs="Arial"/>
          <w:bCs/>
          <w:sz w:val="24"/>
          <w:szCs w:val="24"/>
          <w:lang w:val="el-GR"/>
        </w:rPr>
        <w:t xml:space="preserve"> άρθρ</w:t>
      </w:r>
      <w:r w:rsidR="000903A8" w:rsidRPr="00A25B50">
        <w:rPr>
          <w:rFonts w:ascii="Arial" w:eastAsia="Calibri" w:hAnsi="Arial" w:cs="Arial"/>
          <w:bCs/>
          <w:sz w:val="24"/>
          <w:szCs w:val="24"/>
          <w:lang w:val="el-GR"/>
        </w:rPr>
        <w:t>ου</w:t>
      </w:r>
      <w:r w:rsidR="00E31B87" w:rsidRPr="00A25B50">
        <w:rPr>
          <w:rFonts w:ascii="Arial" w:eastAsia="Calibri" w:hAnsi="Arial" w:cs="Arial"/>
          <w:bCs/>
          <w:sz w:val="24"/>
          <w:szCs w:val="24"/>
          <w:lang w:val="el-GR"/>
        </w:rPr>
        <w:t xml:space="preserve"> 14</w:t>
      </w:r>
    </w:p>
    <w:p w14:paraId="7CDAE0B1" w14:textId="77777777" w:rsidR="00A25B50" w:rsidRPr="00A25B50" w:rsidRDefault="00A25B50" w:rsidP="00A25B50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  <w:lang w:val="el-GR"/>
        </w:rPr>
      </w:pPr>
    </w:p>
    <w:tbl>
      <w:tblPr>
        <w:tblW w:w="10049" w:type="dxa"/>
        <w:tblLayout w:type="fixed"/>
        <w:tblLook w:val="0000" w:firstRow="0" w:lastRow="0" w:firstColumn="0" w:lastColumn="0" w:noHBand="0" w:noVBand="0"/>
      </w:tblPr>
      <w:tblGrid>
        <w:gridCol w:w="2198"/>
        <w:gridCol w:w="905"/>
        <w:gridCol w:w="992"/>
        <w:gridCol w:w="709"/>
        <w:gridCol w:w="5245"/>
      </w:tblGrid>
      <w:tr w:rsidR="00A632FB" w:rsidRPr="00086329" w14:paraId="197A181F" w14:textId="77777777" w:rsidTr="00F55499"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56232AFD" w14:textId="77777777" w:rsidR="00A25B50" w:rsidRPr="001B18EF" w:rsidRDefault="00A25B50" w:rsidP="00A25B50">
            <w:pPr>
              <w:tabs>
                <w:tab w:val="left" w:pos="284"/>
                <w:tab w:val="left" w:pos="567"/>
              </w:tabs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</w:pPr>
          </w:p>
          <w:p w14:paraId="7401FEB8" w14:textId="77777777" w:rsidR="00A25B50" w:rsidRPr="001B18EF" w:rsidRDefault="00A25B50" w:rsidP="00A25B50">
            <w:pPr>
              <w:tabs>
                <w:tab w:val="left" w:pos="284"/>
                <w:tab w:val="left" w:pos="567"/>
              </w:tabs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</w:pPr>
          </w:p>
          <w:p w14:paraId="534FF838" w14:textId="1E350B5F" w:rsidR="00E31B87" w:rsidRPr="00A25B50" w:rsidRDefault="00E31B87" w:rsidP="00A25B50">
            <w:pPr>
              <w:tabs>
                <w:tab w:val="left" w:pos="284"/>
                <w:tab w:val="left" w:pos="567"/>
              </w:tabs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B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</w:t>
            </w:r>
            <w:r w:rsidRPr="00A25B50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(</w:t>
            </w:r>
            <w:r w:rsidRPr="00A25B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I)</w:t>
            </w:r>
            <w:r w:rsidRPr="00A25B50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 xml:space="preserve"> του </w:t>
            </w:r>
            <w:r w:rsidRPr="00A25B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1999</w:t>
            </w:r>
          </w:p>
          <w:p w14:paraId="3DF25BBA" w14:textId="77777777" w:rsidR="00E31B87" w:rsidRPr="00A25B50" w:rsidRDefault="00E31B87" w:rsidP="00A25B50">
            <w:pPr>
              <w:tabs>
                <w:tab w:val="left" w:pos="284"/>
                <w:tab w:val="left" w:pos="567"/>
              </w:tabs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B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136(I)</w:t>
            </w:r>
            <w:r w:rsidRPr="00A25B50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 xml:space="preserve"> του </w:t>
            </w:r>
            <w:r w:rsidRPr="00A25B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2002</w:t>
            </w:r>
          </w:p>
          <w:p w14:paraId="15B5D12E" w14:textId="77777777" w:rsidR="00E31B87" w:rsidRPr="00A25B50" w:rsidRDefault="00E31B87" w:rsidP="00A25B50">
            <w:pPr>
              <w:tabs>
                <w:tab w:val="left" w:pos="284"/>
                <w:tab w:val="left" w:pos="567"/>
              </w:tabs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B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52(I)</w:t>
            </w:r>
            <w:r w:rsidRPr="00A25B50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 xml:space="preserve"> του </w:t>
            </w:r>
            <w:r w:rsidRPr="00A25B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2006</w:t>
            </w:r>
          </w:p>
          <w:p w14:paraId="11671DFB" w14:textId="7B2686AF" w:rsidR="00A632FB" w:rsidRPr="00A25B50" w:rsidRDefault="00E31B87" w:rsidP="00A25B5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A25B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21(I)</w:t>
            </w:r>
            <w:r w:rsidRPr="00A25B50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 xml:space="preserve"> του </w:t>
            </w:r>
            <w:r w:rsidRPr="00A25B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2007</w:t>
            </w:r>
            <w:r w:rsidRPr="00A25B5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>.</w:t>
            </w:r>
          </w:p>
        </w:tc>
        <w:tc>
          <w:tcPr>
            <w:tcW w:w="7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0D8A28" w14:textId="32ACB216" w:rsidR="00873A38" w:rsidRPr="00A25B50" w:rsidRDefault="00A632FB" w:rsidP="00155D78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Η Αρχή Ανάπτυξης Ανθρώπινου Δυναμικού Κύπρου, ασκώντας τις εξουσίες που της χορηγούνται δυνάμει </w:t>
            </w:r>
            <w:r w:rsid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των διατάξεων </w:t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του</w:t>
            </w:r>
            <w:r w:rsidR="00687E26"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εδαφίου (3) του</w:t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άρθρου 14</w:t>
            </w:r>
            <w:r w:rsidR="00F4474B"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</w:t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τ</w:t>
            </w:r>
            <w:r w:rsid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ου</w:t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περί Ανάπτυξης Ανθρώπινου Δυναμικού Νό</w:t>
            </w:r>
            <w:r w:rsid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μου, εκδίδει, με την έγκριση </w:t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του Υπουργικού Συμβουλίου, τους ακόλουθους Κανονισμούς: </w:t>
            </w:r>
          </w:p>
        </w:tc>
      </w:tr>
      <w:tr w:rsidR="00873A38" w:rsidRPr="00086329" w14:paraId="691CFA16" w14:textId="77777777" w:rsidTr="00F55499"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351C811A" w14:textId="77777777" w:rsidR="00873A38" w:rsidRPr="00A25B50" w:rsidRDefault="00873A38" w:rsidP="00A25B50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7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919565" w14:textId="77777777" w:rsidR="00873A38" w:rsidRPr="00A25B50" w:rsidRDefault="00873A38" w:rsidP="00A25B5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</w:tr>
      <w:tr w:rsidR="00A632FB" w:rsidRPr="00086329" w14:paraId="45389002" w14:textId="77777777" w:rsidTr="00F55499"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35312E36" w14:textId="77777777" w:rsidR="000E7B3E" w:rsidRPr="00A25B50" w:rsidRDefault="00A632FB" w:rsidP="00A25B5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Συνοπτικός </w:t>
            </w:r>
          </w:p>
          <w:p w14:paraId="70A315BA" w14:textId="77777777" w:rsidR="000E7B3E" w:rsidRPr="00A25B50" w:rsidRDefault="00A632FB" w:rsidP="00A25B5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τίτλος.  </w:t>
            </w:r>
          </w:p>
          <w:p w14:paraId="0A28CF02" w14:textId="77777777" w:rsidR="000E7B3E" w:rsidRPr="00A25B50" w:rsidRDefault="00A632FB" w:rsidP="00A25B5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Επίσημη Εφημερίδα, Παράρτημα </w:t>
            </w:r>
          </w:p>
          <w:p w14:paraId="6FD64D53" w14:textId="77777777" w:rsidR="00E10021" w:rsidRDefault="00A632FB" w:rsidP="00E1002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ind w:right="284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Τρίτο (Ι): </w:t>
            </w:r>
          </w:p>
          <w:p w14:paraId="7BFC0CD6" w14:textId="0B616BFB" w:rsidR="00A632FB" w:rsidRPr="00A25B50" w:rsidRDefault="00A632FB" w:rsidP="00E1002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ind w:right="340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16.11.1990.</w:t>
            </w:r>
          </w:p>
          <w:p w14:paraId="320000BA" w14:textId="060094DC" w:rsidR="00A632FB" w:rsidRPr="00A25B50" w:rsidRDefault="00A632FB" w:rsidP="00A25B5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28B1C4" w14:textId="0FEC6321" w:rsidR="00873A38" w:rsidRPr="00A25B50" w:rsidRDefault="00A632FB" w:rsidP="00A25B5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1.</w:t>
            </w:r>
            <w:r w:rsid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ab/>
            </w:r>
            <w:r w:rsid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ab/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Οι παρόντες Κανονισμοί θα αναφέρονται ως οι περί Αρχής Ανάπτυξης Ανθρώπινου Δυναμικού </w:t>
            </w:r>
            <w:r w:rsidR="00D96DEF"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Κύπρου </w:t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(Ταμείο Ευημερίας Υπαλλήλων) (Τροποποιητικοί) Κανονισμοί του 202</w:t>
            </w:r>
            <w:r w:rsidR="00E1002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4</w:t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και θα διαβάζονται μαζί με τους περί Αρχής </w:t>
            </w:r>
            <w:r w:rsidR="00E31B87"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Βιομηχανικής Κατάρτισης (</w:t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Ταμείο Ευημερίας Υπαλλήλων) Κανονισμούς του 1990</w:t>
            </w:r>
            <w:r w:rsidR="00124593"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</w:t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(που στη συνέχεια θα αναφέρονται ως «οι βασικοί κανονισμοί») και οι βασικοί κανονισμοί και οι παρόντες Κανονισμοί θα αναφέρονται μαζί ως οι περί Αρχής Ανάπτυξης Ανθρώπινου Δυναμικού</w:t>
            </w:r>
            <w:r w:rsidR="00D96DEF"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Κύπρου</w:t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(Ταμείο Ευημερίας Υπαλλήλων) Κανονισμοί του 199</w:t>
            </w:r>
            <w:r w:rsidR="00F4474B"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0</w:t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</w:t>
            </w:r>
            <w:r w:rsidR="00E1002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και </w:t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202</w:t>
            </w:r>
            <w:r w:rsidR="00E1002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4</w:t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.</w:t>
            </w:r>
          </w:p>
        </w:tc>
      </w:tr>
      <w:tr w:rsidR="00A632FB" w:rsidRPr="00086329" w14:paraId="21D80ED5" w14:textId="77777777" w:rsidTr="00F55499">
        <w:trPr>
          <w:trHeight w:val="242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6DF5EDF7" w14:textId="77777777" w:rsidR="00A632FB" w:rsidRPr="00A25B50" w:rsidRDefault="00A632FB" w:rsidP="00A25B5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B71CC9" w14:textId="77777777" w:rsidR="00A632FB" w:rsidRPr="00A25B50" w:rsidRDefault="00A632FB" w:rsidP="00A25B5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</w:tr>
      <w:tr w:rsidR="00515332" w:rsidRPr="00086329" w14:paraId="3108F5ED" w14:textId="77777777" w:rsidTr="00F55499">
        <w:trPr>
          <w:trHeight w:val="242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6E5B4DBC" w14:textId="32F259F8" w:rsidR="00515332" w:rsidRPr="00A25B50" w:rsidRDefault="00515332" w:rsidP="0051533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Τροποποίηση </w:t>
            </w:r>
            <w:r w:rsidR="002A7EEF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τ</w:t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ου Κανονισμού 2</w:t>
            </w:r>
          </w:p>
          <w:p w14:paraId="0F99D732" w14:textId="7EC6215C" w:rsidR="00515332" w:rsidRPr="00A25B50" w:rsidRDefault="00515332" w:rsidP="0051533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των βασικών κανονισμών.</w:t>
            </w:r>
          </w:p>
        </w:tc>
        <w:tc>
          <w:tcPr>
            <w:tcW w:w="7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E165BE" w14:textId="2A517C6F" w:rsidR="00515332" w:rsidRPr="00A25B50" w:rsidRDefault="00515332" w:rsidP="0051533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2.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ab/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</w:t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Κανονισμός 2 των βασικών 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κ</w:t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ανονισμών τροποποιείται με την αντικατάσταση του ορισμού του όρου «υπάλληλος» με τον ακόλουθο ορισμό:</w:t>
            </w:r>
          </w:p>
        </w:tc>
      </w:tr>
      <w:tr w:rsidR="00515332" w:rsidRPr="00086329" w14:paraId="04743815" w14:textId="77777777" w:rsidTr="00F55499">
        <w:trPr>
          <w:trHeight w:val="242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7C13B133" w14:textId="77777777" w:rsidR="00515332" w:rsidRPr="00A25B50" w:rsidRDefault="00515332" w:rsidP="00A25B5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81E67E" w14:textId="77777777" w:rsidR="00515332" w:rsidRPr="00A25B50" w:rsidRDefault="00515332" w:rsidP="00A25B5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</w:tr>
      <w:tr w:rsidR="000E7B3E" w:rsidRPr="00086329" w14:paraId="6694035A" w14:textId="77777777" w:rsidTr="00F55499"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7C5407FC" w14:textId="77777777" w:rsidR="000E7B3E" w:rsidRPr="00A25B50" w:rsidRDefault="000E7B3E" w:rsidP="0051533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C354AB" w14:textId="6D76A706" w:rsidR="000E7B3E" w:rsidRPr="00A25B50" w:rsidRDefault="000E7B3E" w:rsidP="00A25B5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«</w:t>
            </w:r>
            <w:r w:rsidR="00515332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“</w:t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υπάλληλο</w:t>
            </w:r>
            <w:r w:rsidR="00515332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ς”</w:t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σημαίνει πρόσωπο διορισμένο σε οργανική θέση στην Αρχή και πρόσωπο </w:t>
            </w:r>
            <w:r w:rsidR="00515332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το οποίο δεν </w:t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είναι διορισμένο σε οργανική θέση,</w:t>
            </w:r>
            <w:r w:rsidR="00515332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αλλά</w:t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εργοδοτείται</w:t>
            </w:r>
            <w:proofErr w:type="spellEnd"/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από την Αρχή με σύμβαση αορίστου χρόνου και περιλαμβάνει και τακτικό εργατικό προσωπικό.</w:t>
            </w:r>
            <w:r w:rsidR="00B82FEA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».</w:t>
            </w:r>
          </w:p>
        </w:tc>
      </w:tr>
      <w:tr w:rsidR="000E7B3E" w:rsidRPr="00086329" w14:paraId="3A38F040" w14:textId="77777777" w:rsidTr="00F55499"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3D084FC4" w14:textId="77777777" w:rsidR="000E7B3E" w:rsidRPr="00A25B50" w:rsidRDefault="000E7B3E" w:rsidP="00A25B5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E8DB7D" w14:textId="77777777" w:rsidR="000E7B3E" w:rsidRPr="00A25B50" w:rsidRDefault="000E7B3E" w:rsidP="00A25B5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</w:tr>
      <w:tr w:rsidR="00C67F80" w:rsidRPr="00086329" w14:paraId="1D098526" w14:textId="77777777" w:rsidTr="00F55499"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1161FFEC" w14:textId="77777777" w:rsidR="00C67F80" w:rsidRDefault="00C67F80" w:rsidP="00A25B5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Τροποποίηση του Κανονισμού 5 </w:t>
            </w:r>
          </w:p>
          <w:p w14:paraId="16F80434" w14:textId="295DDFDE" w:rsidR="00C67F80" w:rsidRPr="00A25B50" w:rsidRDefault="00C67F80" w:rsidP="00A25B5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των βασικών κανονισμών.</w:t>
            </w:r>
          </w:p>
        </w:tc>
        <w:tc>
          <w:tcPr>
            <w:tcW w:w="7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C5F9B6" w14:textId="265BC33E" w:rsidR="00C67F80" w:rsidRPr="00A25B50" w:rsidRDefault="00C67F80" w:rsidP="00A25B5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3.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ab/>
              <w:t>Ο Κανονισμός 5 των βασικών κανονισμών τροποποιείται με την προσθήκη, αμέσως μετά την παράγραφο (β), των ακόλουθων νέων παραγράφων:</w:t>
            </w:r>
          </w:p>
        </w:tc>
      </w:tr>
      <w:tr w:rsidR="00B82FEA" w:rsidRPr="00086329" w14:paraId="76EC64A0" w14:textId="77777777" w:rsidTr="00F55499"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30608B77" w14:textId="77777777" w:rsidR="00B82FEA" w:rsidRPr="00A25B50" w:rsidRDefault="00B82FEA" w:rsidP="00A25B5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F4322" w14:textId="77777777" w:rsidR="002A7EEF" w:rsidRDefault="002A7EEF" w:rsidP="00B82FE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  <w:p w14:paraId="69CAF8C9" w14:textId="33A30EE5" w:rsidR="00B82FEA" w:rsidRDefault="00B82FEA" w:rsidP="00B82FE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Επίσημη Εφημερίδα, Παράρτημα </w:t>
            </w:r>
          </w:p>
          <w:p w14:paraId="2AB7158B" w14:textId="77777777" w:rsidR="00B82FEA" w:rsidRDefault="00B82FEA" w:rsidP="00B82FE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Τρίτο (Ι):</w:t>
            </w:r>
          </w:p>
          <w:p w14:paraId="38361C7B" w14:textId="4CC24179" w:rsidR="00B82FEA" w:rsidRPr="00A25B50" w:rsidRDefault="00B82FEA" w:rsidP="00F55499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ind w:right="170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...2024.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05A6C3" w14:textId="2FA41093" w:rsidR="00B82FEA" w:rsidRPr="00A25B50" w:rsidRDefault="00B82FEA" w:rsidP="00B82FE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«(γ)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2D3157F" w14:textId="0D6DA967" w:rsidR="00B82FEA" w:rsidRPr="00A25B50" w:rsidRDefault="00B82FEA" w:rsidP="00A25B5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κ</w:t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ατά την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ημερομηνία</w:t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έναρξη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ς</w:t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της ισχύος των περί Αρχής Ανάπτυξης Ανθρώπινου Δυναμικού Κύπρου (Ταμείο Ευημερίας Υπαλλήλων) (Τροποποιητικών) Κανονισμών του 202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4</w:t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έχουν ήδη καταστεί </w:t>
            </w:r>
            <w:proofErr w:type="spellStart"/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εργοδοτούμενοι</w:t>
            </w:r>
            <w:proofErr w:type="spellEnd"/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της Αρχής με σύμβαση αορίστου χρόνου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·</w:t>
            </w:r>
          </w:p>
        </w:tc>
      </w:tr>
      <w:tr w:rsidR="00B82FEA" w:rsidRPr="00086329" w14:paraId="24884D7C" w14:textId="77777777" w:rsidTr="00F55499"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0DCAF002" w14:textId="77777777" w:rsidR="00B82FEA" w:rsidRPr="00A25B50" w:rsidRDefault="00B82FEA" w:rsidP="00A25B5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64243" w14:textId="77777777" w:rsidR="00B82FEA" w:rsidRDefault="00B82FEA" w:rsidP="00B82FE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708CD66" w14:textId="77777777" w:rsidR="00B82FEA" w:rsidRPr="00A25B50" w:rsidRDefault="00B82FEA" w:rsidP="00B82FE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7BC795A" w14:textId="77777777" w:rsidR="00B82FEA" w:rsidRDefault="00B82FEA" w:rsidP="00A25B5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</w:tr>
      <w:tr w:rsidR="00B82FEA" w:rsidRPr="00086329" w14:paraId="7C7A52ED" w14:textId="77777777" w:rsidTr="00F55499"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41834A68" w14:textId="77777777" w:rsidR="00B82FEA" w:rsidRPr="00A25B50" w:rsidRDefault="00B82FEA" w:rsidP="00A25B5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A3CA3" w14:textId="77777777" w:rsidR="00B82FEA" w:rsidRDefault="00B82FEA" w:rsidP="00B82FE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D8536A5" w14:textId="27CD9AA0" w:rsidR="00B82FEA" w:rsidRPr="00A25B50" w:rsidRDefault="00B82FEA" w:rsidP="00B82FE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(δ)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A8E3454" w14:textId="66978ABB" w:rsidR="00B82FEA" w:rsidRDefault="00B82FEA" w:rsidP="00A25B5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μ</w:t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ετά την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ημερομηνία</w:t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έναρξη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ς</w:t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της ισχύος των περί Αρχής Ανάπτυξης Ανθρώπινου Δυναμικού Κύπρου (Ταμείο Ευημερίας Υπαλλήλων) (Τροποποιητικών) Κανονισμών του 202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4</w:t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καθίστανται </w:t>
            </w:r>
            <w:proofErr w:type="spellStart"/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εργοδοτούμενοι</w:t>
            </w:r>
            <w:proofErr w:type="spellEnd"/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της Αρχής με σύμβαση αορίστου χρόνου.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».</w:t>
            </w:r>
          </w:p>
        </w:tc>
      </w:tr>
      <w:tr w:rsidR="00B95730" w:rsidRPr="00086329" w14:paraId="67FB8BDA" w14:textId="77777777" w:rsidTr="00F55499">
        <w:trPr>
          <w:trHeight w:val="267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450AD740" w14:textId="77777777" w:rsidR="00B95730" w:rsidRDefault="00B95730" w:rsidP="00B9573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F097C7" w14:textId="77777777" w:rsidR="00B95730" w:rsidRDefault="00B95730" w:rsidP="00A25B5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</w:tr>
      <w:tr w:rsidR="00B82FEA" w:rsidRPr="00086329" w14:paraId="3FBA8A5E" w14:textId="77777777" w:rsidTr="00F55499">
        <w:trPr>
          <w:trHeight w:val="267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3E0669FD" w14:textId="77777777" w:rsidR="00B82FEA" w:rsidRPr="00A25B50" w:rsidRDefault="00B82FEA" w:rsidP="00B82FE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Τροποποίηση του Κανονισμού 21 </w:t>
            </w:r>
          </w:p>
          <w:p w14:paraId="171CE4EE" w14:textId="77777777" w:rsidR="00B82FEA" w:rsidRPr="00A25B50" w:rsidRDefault="00B82FEA" w:rsidP="00B82FE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των βασικών</w:t>
            </w:r>
          </w:p>
          <w:p w14:paraId="7C0730AD" w14:textId="4A874604" w:rsidR="00B82FEA" w:rsidRPr="00A25B50" w:rsidRDefault="00B82FEA" w:rsidP="00B82FE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ind w:right="397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κανονισμών.</w:t>
            </w:r>
          </w:p>
        </w:tc>
        <w:tc>
          <w:tcPr>
            <w:tcW w:w="7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9FED94" w14:textId="1BB04B25" w:rsidR="008C1FB2" w:rsidRPr="00A25B50" w:rsidRDefault="008C1FB2" w:rsidP="008C1FB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4.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ab/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Ο Κανονισμός 21 των βασικών κανονισμών τροποποιείται με την προσθήκη, αμέσως μετά την παράγραφο (2), των ακόλουθων νέων παραγράφων:</w:t>
            </w:r>
          </w:p>
          <w:p w14:paraId="3AE35ED9" w14:textId="77777777" w:rsidR="00B82FEA" w:rsidRPr="00A25B50" w:rsidRDefault="00B82FEA" w:rsidP="00A25B5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</w:tr>
      <w:tr w:rsidR="00B82FEA" w:rsidRPr="00086329" w14:paraId="1C015F06" w14:textId="77777777" w:rsidTr="00F55499">
        <w:trPr>
          <w:trHeight w:val="267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30E40272" w14:textId="77777777" w:rsidR="00B82FEA" w:rsidRPr="00A25B50" w:rsidRDefault="00B82FEA" w:rsidP="00B82FE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ind w:right="397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3EA309" w14:textId="77777777" w:rsidR="00B82FEA" w:rsidRPr="00A25B50" w:rsidRDefault="00B82FEA" w:rsidP="00A25B5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</w:tr>
      <w:tr w:rsidR="008C1FB2" w:rsidRPr="00086329" w14:paraId="22C77CAB" w14:textId="77777777" w:rsidTr="00F55499">
        <w:trPr>
          <w:trHeight w:val="267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5A0FD036" w14:textId="77777777" w:rsidR="008C1FB2" w:rsidRPr="00A25B50" w:rsidRDefault="008C1FB2" w:rsidP="00B82FE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ind w:right="397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9C3C1D3" w14:textId="18641B46" w:rsidR="008C1FB2" w:rsidRPr="00A25B50" w:rsidRDefault="008C1FB2" w:rsidP="008C1FB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B390D1" w14:textId="77A3C404" w:rsidR="008C1FB2" w:rsidRPr="00A25B50" w:rsidRDefault="00B46543" w:rsidP="008C1FB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«(3)</w:t>
            </w:r>
            <w:r w:rsidR="00255E5F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ab/>
            </w:r>
            <w:r w:rsidR="008C1FB2"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Επιπρόσθετα </w:t>
            </w:r>
            <w:r w:rsidR="008C1FB2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από </w:t>
            </w:r>
            <w:r w:rsidR="008C1FB2"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τον οικονομικό έλεγχο του Ταμείου που διεξάγεται δυνάμει των </w:t>
            </w:r>
            <w:r w:rsidR="008C1FB2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προνοιών </w:t>
            </w:r>
            <w:r w:rsidR="008C1FB2"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της παραγράφου (2), διεξάγεται</w:t>
            </w:r>
            <w:r w:rsidR="008C1FB2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</w:t>
            </w:r>
            <w:r w:rsidR="008C1FB2"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διαχειριστικός έλεγχος του Ταμείου</w:t>
            </w:r>
            <w:r w:rsidR="008C1FB2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από τον </w:t>
            </w:r>
            <w:r w:rsidR="008C1FB2"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Εσωτερικό Ελεγκτή της Αρχής</w:t>
            </w:r>
            <w:r w:rsidR="00255E5F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,</w:t>
            </w:r>
            <w:r w:rsidR="008C1FB2"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ο οποίος αποσκοπεί στη διαπίστωση του κατά πόσο το Ταμείο λειτουργεί και χρησιμοποιεί τους πόρους του, με οικονομικό, αποδοτικό και αποτελεσματικό τρόπο</w:t>
            </w:r>
            <w:r w:rsidR="002A7EEF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:</w:t>
            </w:r>
          </w:p>
        </w:tc>
      </w:tr>
      <w:tr w:rsidR="008C1FB2" w:rsidRPr="00086329" w14:paraId="044D110D" w14:textId="77777777" w:rsidTr="00F55499">
        <w:trPr>
          <w:trHeight w:val="267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7B6684BD" w14:textId="77777777" w:rsidR="008C1FB2" w:rsidRPr="00A25B50" w:rsidRDefault="008C1FB2" w:rsidP="00B82FE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ind w:right="397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6FF351B" w14:textId="77777777" w:rsidR="008C1FB2" w:rsidRDefault="008C1FB2" w:rsidP="008C1FB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A51CC2" w14:textId="77777777" w:rsidR="008C1FB2" w:rsidRPr="00A25B50" w:rsidRDefault="008C1FB2" w:rsidP="008C1FB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</w:tr>
      <w:tr w:rsidR="008C1FB2" w:rsidRPr="00086329" w14:paraId="2F568562" w14:textId="77777777" w:rsidTr="00F55499">
        <w:trPr>
          <w:trHeight w:val="267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6FBC2508" w14:textId="77777777" w:rsidR="008C1FB2" w:rsidRPr="00A25B50" w:rsidRDefault="008C1FB2" w:rsidP="00B82FE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ind w:right="397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FE59A12" w14:textId="77777777" w:rsidR="008C1FB2" w:rsidRDefault="008C1FB2" w:rsidP="008C1FB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546940" w14:textId="082DE7F7" w:rsidR="008C1FB2" w:rsidRPr="00A25B50" w:rsidRDefault="008C1FB2" w:rsidP="008C1FB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ab/>
              <w:t xml:space="preserve">Νοείται ότι, ο </w:t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διαχειριστικός έλεγχος περιλαμβάνει κανονιστικό έλεγχο, προς αξιολόγηση του κατά πόσο οι ενέργειες του Ταμείου, συνάδουν με τις 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πρόνοιες</w:t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των παρόντων Κανονισμών.</w:t>
            </w:r>
          </w:p>
        </w:tc>
      </w:tr>
      <w:tr w:rsidR="00B46543" w:rsidRPr="00086329" w14:paraId="5C585E55" w14:textId="77777777" w:rsidTr="00F55499">
        <w:trPr>
          <w:trHeight w:val="267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6ABDDE25" w14:textId="77777777" w:rsidR="00B46543" w:rsidRPr="00A25B50" w:rsidRDefault="00B46543" w:rsidP="00B82FE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ind w:right="397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100164C" w14:textId="77777777" w:rsidR="00B46543" w:rsidRDefault="00B46543" w:rsidP="008C1FB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6427D1" w14:textId="77777777" w:rsidR="00B46543" w:rsidRDefault="00B46543" w:rsidP="008C1FB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</w:tr>
      <w:tr w:rsidR="00B46543" w:rsidRPr="00086329" w14:paraId="132500B8" w14:textId="77777777" w:rsidTr="00F55499">
        <w:trPr>
          <w:trHeight w:val="267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4750F8FB" w14:textId="77777777" w:rsidR="00B46543" w:rsidRPr="00A25B50" w:rsidRDefault="00B46543" w:rsidP="00B82FE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ind w:right="397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86C9E03" w14:textId="12FA49E9" w:rsidR="00B46543" w:rsidRDefault="00B46543" w:rsidP="008C1FB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F690FC" w14:textId="4760627C" w:rsidR="00B46543" w:rsidRDefault="00B46543" w:rsidP="008C1FB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ab/>
              <w:t>(4)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ab/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Για τους σκοπούς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εφαρμογής των προνοιών</w:t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της παραγράφου (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3</w:t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), οι ετήσιοι λογαριασμοί του Ταμείου, </w:t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lastRenderedPageBreak/>
              <w:t>περιλαμβανομένου του λογαριασμού εσόδων και εξόδων και του ισολογισμού, μαζί με την ετήσια έκθεση που ετοιμάζει η Επιτροπή και την έκθεση των Ελεγκτών, τα βιβλία, τις αποδείξεις και λοιπά έγγραφα, παραδίδονται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σ</w:t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τον Εσωτερικό Ελεγκτή, όχι αργότερα από 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την 30</w:t>
            </w:r>
            <w:r w:rsidRPr="00B46543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l-GR"/>
              </w:rPr>
              <w:t>η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Ιουνίου μετά το τέλος του έτους στο οποίο αναφέρονται.</w:t>
            </w:r>
          </w:p>
        </w:tc>
      </w:tr>
      <w:tr w:rsidR="00B46543" w:rsidRPr="00086329" w14:paraId="18CD331C" w14:textId="77777777" w:rsidTr="00F55499">
        <w:trPr>
          <w:trHeight w:val="267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2568ED88" w14:textId="77777777" w:rsidR="00B46543" w:rsidRPr="00A25B50" w:rsidRDefault="00B46543" w:rsidP="00B82FE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ind w:right="397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56D379F" w14:textId="77777777" w:rsidR="00B46543" w:rsidRDefault="00B46543" w:rsidP="008C1FB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FBB7F7" w14:textId="77777777" w:rsidR="00B46543" w:rsidRDefault="00B46543" w:rsidP="008C1FB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</w:tr>
      <w:tr w:rsidR="00B46543" w:rsidRPr="00086329" w14:paraId="517FC1E8" w14:textId="77777777" w:rsidTr="00F55499">
        <w:trPr>
          <w:trHeight w:val="267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17B7B766" w14:textId="77777777" w:rsidR="00B46543" w:rsidRPr="00A25B50" w:rsidRDefault="00B46543" w:rsidP="00B82FE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ind w:right="397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E037EF2" w14:textId="77777777" w:rsidR="00B46543" w:rsidRDefault="00B46543" w:rsidP="008C1FB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2A0146" w14:textId="73BE2594" w:rsidR="00B46543" w:rsidRDefault="00B46543" w:rsidP="00B4654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ab/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5</w:t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ab/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Ο Εσωτερικός Ελεγκτής, στο πλαίσιο άσκησης των καθηκόντων του, έχει την εξουσία να ζητά, πέραν των αναφερόμενων στην παράγραφο (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4</w:t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) στοιχείων, 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όποια</w:t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άλλα επιπρόσθετα στοιχεία, σε οποιαδήποτε μορφή, περιλαμβανομένης και της ηλεκτρονικής μορφής, επεξηγήσεις και πληροφορίες, τα οποία ήθελε κρίνει αναγκαία για τη διεξαγωγή του ασκούμενου ελέγχου, από τον Πρόεδρο ή τα Μέλη της Επιτροπής ή από τα μέλη του Ταμείου ή από οποιοδήποτε άλλο πρόσωπο το οποίο κατέχει τα στοιχεία, τις επεξηγήσεις ή τις πληροφορίες αυτές.</w:t>
            </w:r>
          </w:p>
        </w:tc>
      </w:tr>
      <w:tr w:rsidR="00B46543" w:rsidRPr="00086329" w14:paraId="7EB03211" w14:textId="77777777" w:rsidTr="00F55499">
        <w:trPr>
          <w:trHeight w:val="267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64975B2F" w14:textId="77777777" w:rsidR="00B46543" w:rsidRPr="00A25B50" w:rsidRDefault="00B46543" w:rsidP="00B82FE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ind w:right="397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D9215DC" w14:textId="77777777" w:rsidR="00B46543" w:rsidRDefault="00B46543" w:rsidP="008C1FB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5D4F19" w14:textId="77777777" w:rsidR="00B46543" w:rsidRDefault="00B46543" w:rsidP="008C1FB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</w:tr>
      <w:tr w:rsidR="00B46543" w:rsidRPr="00086329" w14:paraId="081A7434" w14:textId="77777777" w:rsidTr="00F55499">
        <w:trPr>
          <w:trHeight w:val="267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0FD269F6" w14:textId="77777777" w:rsidR="00B46543" w:rsidRPr="00A25B50" w:rsidRDefault="00B46543" w:rsidP="00B82FE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ind w:right="397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637B3F9" w14:textId="77777777" w:rsidR="00B46543" w:rsidRDefault="00B46543" w:rsidP="008C1FB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00145F" w14:textId="6428A01B" w:rsidR="00B46543" w:rsidRDefault="00B46543" w:rsidP="00F8015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ab/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6</w:t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ab/>
              <w:t xml:space="preserve">Αναφερόμενο στην </w:t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παράγραφο (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5</w:t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πρόσωπο</w:t>
            </w:r>
            <w:r w:rsidR="00F80152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δεν αμελεί, </w:t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παραλείπει ή αρνείται την προσκόμιση στον Εσωτερικό Ελεγκτή</w:t>
            </w:r>
            <w:r w:rsidR="00F80152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, δεν εμποδίζει την πλήρη ή ελεύθερη </w:t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πρόσβαση σε οποιοδήποτε υπηρεσιακό φάκελο, βιβλίο ή στοιχείο αποθηκευμένο σε ηλεκτρονικό υπολογιστή ή άλλο αναγκαίο, κατά την κρίση του, έγγραφο για τους σκοπούς του ασκούμενου ελέγχου, </w:t>
            </w:r>
            <w:r w:rsidR="00F80152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δεν δίδει </w:t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στον Εσωτερικό Ελεγκτή πληροφορίες, στοιχεία ή επεξηγήσεις, τα οποία εν γνώσει του προσώπου αυτού είναι ψευδή, εσφαλμένα ή αναληθή και </w:t>
            </w:r>
            <w:r w:rsidR="00F80152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δεν αποκρύπτει </w:t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οποιεσδήποτε πληροφορίες ή στοιχεία.</w:t>
            </w:r>
          </w:p>
        </w:tc>
      </w:tr>
      <w:tr w:rsidR="00F80152" w:rsidRPr="00086329" w14:paraId="7215AD7A" w14:textId="77777777" w:rsidTr="00F55499">
        <w:trPr>
          <w:trHeight w:val="267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746FD512" w14:textId="77777777" w:rsidR="00F80152" w:rsidRPr="00A25B50" w:rsidRDefault="00F80152" w:rsidP="00B82FE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ind w:right="397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14E0270" w14:textId="77777777" w:rsidR="00F80152" w:rsidRDefault="00F80152" w:rsidP="008C1FB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C03DF5" w14:textId="77777777" w:rsidR="00F80152" w:rsidRDefault="00F80152" w:rsidP="00F8015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</w:tr>
      <w:tr w:rsidR="00F80152" w:rsidRPr="00086329" w14:paraId="468252E2" w14:textId="77777777" w:rsidTr="00F55499">
        <w:trPr>
          <w:trHeight w:val="267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02D7D61F" w14:textId="77777777" w:rsidR="00F80152" w:rsidRPr="00A25B50" w:rsidRDefault="00F80152" w:rsidP="00B82FE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ind w:right="397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D3E1DDB" w14:textId="77777777" w:rsidR="00F80152" w:rsidRDefault="00F80152" w:rsidP="008C1FB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0C360C" w14:textId="7854748C" w:rsidR="00F80152" w:rsidRDefault="00F80152" w:rsidP="00F8015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ab/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7</w:t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ab/>
              <w:t xml:space="preserve">Αναφερόμενο στην </w:t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παράγραφο (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5</w:t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) π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ρόσωπο</w:t>
            </w:r>
            <w:r w:rsidR="00255E5F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το οποίο αρνείται ή εν γνώσει του </w:t>
            </w:r>
            <w:r w:rsidRPr="00A25B5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αποκρύπτει ή παραλείπει να συμμορφωθεί με 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τις πρόνοιες της παραγράφου (6), είναι ένοχο αδικήματος και, σε περίπτωση καταδίκης του, υπόκειται σε ποινή φυλάκισης που δεν υπερβαίνει τους έξι (6) μήνες ή σε 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lastRenderedPageBreak/>
              <w:t>χρηματική ποινή που δεν υπερβαίνει τα οκτακόσια πενήντα τέσσερα ευρώ (€854) ή και στις δύο (2) αυτές ποινές.».</w:t>
            </w:r>
          </w:p>
        </w:tc>
      </w:tr>
    </w:tbl>
    <w:p w14:paraId="12CA8E4E" w14:textId="0D8C37FE" w:rsidR="00084DF8" w:rsidRDefault="00084DF8" w:rsidP="00A25B50">
      <w:pPr>
        <w:tabs>
          <w:tab w:val="left" w:pos="284"/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4AF27E7" w14:textId="51A74F0C" w:rsidR="00F80152" w:rsidRPr="00F80152" w:rsidRDefault="00F80152" w:rsidP="00A25B50">
      <w:pPr>
        <w:tabs>
          <w:tab w:val="left" w:pos="284"/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proofErr w:type="spellStart"/>
      <w:r w:rsidRPr="00F80152">
        <w:rPr>
          <w:rFonts w:ascii="Arial" w:hAnsi="Arial" w:cs="Arial"/>
          <w:sz w:val="20"/>
          <w:szCs w:val="20"/>
          <w:lang w:val="el-GR"/>
        </w:rPr>
        <w:t>Αρ</w:t>
      </w:r>
      <w:proofErr w:type="spellEnd"/>
      <w:r w:rsidRPr="00F80152">
        <w:rPr>
          <w:rFonts w:ascii="Arial" w:hAnsi="Arial" w:cs="Arial"/>
          <w:sz w:val="20"/>
          <w:szCs w:val="20"/>
          <w:lang w:val="el-GR"/>
        </w:rPr>
        <w:t xml:space="preserve">. </w:t>
      </w:r>
      <w:proofErr w:type="spellStart"/>
      <w:r w:rsidRPr="00F80152">
        <w:rPr>
          <w:rFonts w:ascii="Arial" w:hAnsi="Arial" w:cs="Arial"/>
          <w:sz w:val="20"/>
          <w:szCs w:val="20"/>
          <w:lang w:val="el-GR"/>
        </w:rPr>
        <w:t>Φακ</w:t>
      </w:r>
      <w:proofErr w:type="spellEnd"/>
      <w:r w:rsidRPr="00F80152">
        <w:rPr>
          <w:rFonts w:ascii="Arial" w:hAnsi="Arial" w:cs="Arial"/>
          <w:sz w:val="20"/>
          <w:szCs w:val="20"/>
          <w:lang w:val="el-GR"/>
        </w:rPr>
        <w:t>.:  23.03.061.011-2024</w:t>
      </w:r>
    </w:p>
    <w:p w14:paraId="6F2A174F" w14:textId="1B2D227D" w:rsidR="00F80152" w:rsidRPr="00F80152" w:rsidRDefault="00F80152" w:rsidP="00A25B50">
      <w:pPr>
        <w:tabs>
          <w:tab w:val="left" w:pos="284"/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F80152">
        <w:rPr>
          <w:rFonts w:ascii="Arial" w:hAnsi="Arial" w:cs="Arial"/>
          <w:sz w:val="20"/>
          <w:szCs w:val="20"/>
          <w:lang w:val="el-GR"/>
        </w:rPr>
        <w:t>ΧΚ/ΜΑΧ</w:t>
      </w:r>
    </w:p>
    <w:sectPr w:rsidR="00F80152" w:rsidRPr="00F80152" w:rsidSect="004602C6">
      <w:headerReference w:type="even" r:id="rId8"/>
      <w:headerReference w:type="default" r:id="rId9"/>
      <w:pgSz w:w="11906" w:h="16838" w:code="9"/>
      <w:pgMar w:top="1134" w:right="1134" w:bottom="1134" w:left="1134" w:header="720" w:footer="720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9C20BE" w14:textId="77777777" w:rsidR="004602C6" w:rsidRDefault="004602C6" w:rsidP="00EE1B65">
      <w:pPr>
        <w:spacing w:after="0" w:line="240" w:lineRule="auto"/>
      </w:pPr>
      <w:r>
        <w:separator/>
      </w:r>
    </w:p>
  </w:endnote>
  <w:endnote w:type="continuationSeparator" w:id="0">
    <w:p w14:paraId="51F3EC94" w14:textId="77777777" w:rsidR="004602C6" w:rsidRDefault="004602C6" w:rsidP="00EE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41C118" w14:textId="77777777" w:rsidR="004602C6" w:rsidRDefault="004602C6" w:rsidP="00EE1B65">
      <w:pPr>
        <w:spacing w:after="0" w:line="240" w:lineRule="auto"/>
      </w:pPr>
      <w:r>
        <w:separator/>
      </w:r>
    </w:p>
  </w:footnote>
  <w:footnote w:type="continuationSeparator" w:id="0">
    <w:p w14:paraId="72C130AD" w14:textId="77777777" w:rsidR="004602C6" w:rsidRDefault="004602C6" w:rsidP="00EE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6BDAC" w14:textId="77777777" w:rsidR="00FE1F5B" w:rsidRDefault="003370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A727FB" w14:textId="77777777" w:rsidR="00FE1F5B" w:rsidRDefault="00FE1F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80174217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54A6B386" w14:textId="60DAF4EA" w:rsidR="006A4610" w:rsidRPr="006A4610" w:rsidRDefault="006A4610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6A4610">
          <w:rPr>
            <w:rFonts w:ascii="Arial" w:hAnsi="Arial" w:cs="Arial"/>
            <w:sz w:val="24"/>
            <w:szCs w:val="24"/>
          </w:rPr>
          <w:fldChar w:fldCharType="begin"/>
        </w:r>
        <w:r w:rsidRPr="006A461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6A4610">
          <w:rPr>
            <w:rFonts w:ascii="Arial" w:hAnsi="Arial" w:cs="Arial"/>
            <w:sz w:val="24"/>
            <w:szCs w:val="24"/>
          </w:rPr>
          <w:fldChar w:fldCharType="separate"/>
        </w:r>
        <w:r w:rsidRPr="006A4610">
          <w:rPr>
            <w:rFonts w:ascii="Arial" w:hAnsi="Arial" w:cs="Arial"/>
            <w:noProof/>
            <w:sz w:val="24"/>
            <w:szCs w:val="24"/>
          </w:rPr>
          <w:t>2</w:t>
        </w:r>
        <w:r w:rsidRPr="006A4610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59F578B5" w14:textId="77777777" w:rsidR="006A4610" w:rsidRDefault="006A46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6F26E6"/>
    <w:multiLevelType w:val="multilevel"/>
    <w:tmpl w:val="1BC6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5D6EB7"/>
    <w:multiLevelType w:val="multilevel"/>
    <w:tmpl w:val="51E8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1D5733"/>
    <w:multiLevelType w:val="multilevel"/>
    <w:tmpl w:val="E9CA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138713">
    <w:abstractNumId w:val="1"/>
  </w:num>
  <w:num w:numId="2" w16cid:durableId="222371702">
    <w:abstractNumId w:val="2"/>
  </w:num>
  <w:num w:numId="3" w16cid:durableId="913511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2FB"/>
    <w:rsid w:val="0001094F"/>
    <w:rsid w:val="00037202"/>
    <w:rsid w:val="000372EE"/>
    <w:rsid w:val="0005656B"/>
    <w:rsid w:val="00065A2E"/>
    <w:rsid w:val="00084DF8"/>
    <w:rsid w:val="00086329"/>
    <w:rsid w:val="000903A8"/>
    <w:rsid w:val="00096EC7"/>
    <w:rsid w:val="000D0C87"/>
    <w:rsid w:val="000D6E18"/>
    <w:rsid w:val="000E1E8F"/>
    <w:rsid w:val="000E7B3E"/>
    <w:rsid w:val="000F259F"/>
    <w:rsid w:val="00120BF5"/>
    <w:rsid w:val="00124593"/>
    <w:rsid w:val="00155D78"/>
    <w:rsid w:val="00163193"/>
    <w:rsid w:val="00181968"/>
    <w:rsid w:val="001B18EF"/>
    <w:rsid w:val="001B28C9"/>
    <w:rsid w:val="001D2C6C"/>
    <w:rsid w:val="002411E8"/>
    <w:rsid w:val="0024615A"/>
    <w:rsid w:val="00255E5F"/>
    <w:rsid w:val="0028276D"/>
    <w:rsid w:val="002A2BDC"/>
    <w:rsid w:val="002A7EEF"/>
    <w:rsid w:val="002F7DCF"/>
    <w:rsid w:val="00310B4F"/>
    <w:rsid w:val="003266D3"/>
    <w:rsid w:val="00337024"/>
    <w:rsid w:val="00364E22"/>
    <w:rsid w:val="003A2B31"/>
    <w:rsid w:val="00414E81"/>
    <w:rsid w:val="00420C2F"/>
    <w:rsid w:val="00423894"/>
    <w:rsid w:val="004544EA"/>
    <w:rsid w:val="0045656A"/>
    <w:rsid w:val="004602C6"/>
    <w:rsid w:val="00465645"/>
    <w:rsid w:val="00511859"/>
    <w:rsid w:val="00511F35"/>
    <w:rsid w:val="00515332"/>
    <w:rsid w:val="0052516F"/>
    <w:rsid w:val="00586723"/>
    <w:rsid w:val="00592F37"/>
    <w:rsid w:val="005B4ECE"/>
    <w:rsid w:val="00655238"/>
    <w:rsid w:val="00660EEE"/>
    <w:rsid w:val="00687E26"/>
    <w:rsid w:val="006A4610"/>
    <w:rsid w:val="006C580E"/>
    <w:rsid w:val="006D23E5"/>
    <w:rsid w:val="006E7556"/>
    <w:rsid w:val="006F6AF2"/>
    <w:rsid w:val="007112D2"/>
    <w:rsid w:val="00743189"/>
    <w:rsid w:val="0074345B"/>
    <w:rsid w:val="00753D36"/>
    <w:rsid w:val="007772A7"/>
    <w:rsid w:val="007B443A"/>
    <w:rsid w:val="007D6B31"/>
    <w:rsid w:val="007F3ED2"/>
    <w:rsid w:val="007F76BD"/>
    <w:rsid w:val="00810140"/>
    <w:rsid w:val="008300D7"/>
    <w:rsid w:val="008346DD"/>
    <w:rsid w:val="00863EA0"/>
    <w:rsid w:val="008640C9"/>
    <w:rsid w:val="00873A38"/>
    <w:rsid w:val="00877C03"/>
    <w:rsid w:val="008A5A73"/>
    <w:rsid w:val="008B74EF"/>
    <w:rsid w:val="008C1FB2"/>
    <w:rsid w:val="008F1C6D"/>
    <w:rsid w:val="00943F3E"/>
    <w:rsid w:val="00946428"/>
    <w:rsid w:val="009845FC"/>
    <w:rsid w:val="009C4C3C"/>
    <w:rsid w:val="009E0ACD"/>
    <w:rsid w:val="00A25B50"/>
    <w:rsid w:val="00A51489"/>
    <w:rsid w:val="00A632FB"/>
    <w:rsid w:val="00AC4063"/>
    <w:rsid w:val="00AD652E"/>
    <w:rsid w:val="00B01B37"/>
    <w:rsid w:val="00B46543"/>
    <w:rsid w:val="00B82FEA"/>
    <w:rsid w:val="00B95730"/>
    <w:rsid w:val="00BC36A9"/>
    <w:rsid w:val="00C13115"/>
    <w:rsid w:val="00C67F80"/>
    <w:rsid w:val="00C87E37"/>
    <w:rsid w:val="00D12AC1"/>
    <w:rsid w:val="00D43A19"/>
    <w:rsid w:val="00D6579A"/>
    <w:rsid w:val="00D96DEF"/>
    <w:rsid w:val="00DC4930"/>
    <w:rsid w:val="00E10021"/>
    <w:rsid w:val="00E300B4"/>
    <w:rsid w:val="00E31B87"/>
    <w:rsid w:val="00E3279D"/>
    <w:rsid w:val="00E44075"/>
    <w:rsid w:val="00E54F08"/>
    <w:rsid w:val="00E63C56"/>
    <w:rsid w:val="00EB1C45"/>
    <w:rsid w:val="00EE1B65"/>
    <w:rsid w:val="00F4474B"/>
    <w:rsid w:val="00F55499"/>
    <w:rsid w:val="00F70BAD"/>
    <w:rsid w:val="00F80152"/>
    <w:rsid w:val="00F878B6"/>
    <w:rsid w:val="00FD4210"/>
    <w:rsid w:val="00FE1F5B"/>
    <w:rsid w:val="00FF4638"/>
    <w:rsid w:val="00FF622E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2ACA"/>
  <w15:chartTrackingRefBased/>
  <w15:docId w15:val="{A5AD4541-9FAC-4A4E-8C7A-38D1A97E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2FB"/>
  </w:style>
  <w:style w:type="character" w:styleId="PageNumber">
    <w:name w:val="page number"/>
    <w:basedOn w:val="DefaultParagraphFont"/>
    <w:semiHidden/>
    <w:rsid w:val="00A632FB"/>
  </w:style>
  <w:style w:type="paragraph" w:styleId="Footer">
    <w:name w:val="footer"/>
    <w:basedOn w:val="Normal"/>
    <w:link w:val="FooterChar"/>
    <w:uiPriority w:val="99"/>
    <w:unhideWhenUsed/>
    <w:rsid w:val="00EE1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B65"/>
  </w:style>
  <w:style w:type="character" w:styleId="CommentReference">
    <w:name w:val="annotation reference"/>
    <w:basedOn w:val="DefaultParagraphFont"/>
    <w:uiPriority w:val="99"/>
    <w:semiHidden/>
    <w:unhideWhenUsed/>
    <w:rsid w:val="008A5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A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A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A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66D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8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1"/>
    <w:basedOn w:val="Normal"/>
    <w:rsid w:val="0028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3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3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59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21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52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1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9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4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F7739-BF38-428B-8591-51FCF690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761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Christodoulides</dc:creator>
  <cp:keywords/>
  <dc:description/>
  <cp:lastModifiedBy>Maria Achilleos</cp:lastModifiedBy>
  <cp:revision>34</cp:revision>
  <cp:lastPrinted>2024-04-17T09:52:00Z</cp:lastPrinted>
  <dcterms:created xsi:type="dcterms:W3CDTF">2023-01-24T11:12:00Z</dcterms:created>
  <dcterms:modified xsi:type="dcterms:W3CDTF">2024-04-24T06:14:00Z</dcterms:modified>
</cp:coreProperties>
</file>