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0916" w14:textId="13F35BB9" w:rsidR="0098359F" w:rsidRPr="00C516FA" w:rsidRDefault="0098359F" w:rsidP="002A43FE">
      <w:pPr>
        <w:tabs>
          <w:tab w:val="left" w:pos="567"/>
          <w:tab w:val="left" w:pos="851"/>
          <w:tab w:val="left" w:pos="1134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16FA">
        <w:rPr>
          <w:rFonts w:ascii="Arial" w:hAnsi="Arial" w:cs="Arial"/>
          <w:sz w:val="24"/>
          <w:szCs w:val="24"/>
        </w:rPr>
        <w:t>ΝΟΜΟ</w:t>
      </w:r>
      <w:r w:rsidR="00C516FA" w:rsidRPr="00C516FA">
        <w:rPr>
          <w:rFonts w:ascii="Arial" w:hAnsi="Arial" w:cs="Arial"/>
          <w:sz w:val="24"/>
          <w:szCs w:val="24"/>
        </w:rPr>
        <w:t>Σ</w:t>
      </w:r>
      <w:r w:rsidRPr="00C516FA">
        <w:rPr>
          <w:rFonts w:ascii="Arial" w:hAnsi="Arial" w:cs="Arial"/>
          <w:sz w:val="24"/>
          <w:szCs w:val="24"/>
        </w:rPr>
        <w:t xml:space="preserve"> ΠΟΥ ΤΡΟΠΟΠΟΙΕΙ ΤΟΥΣ ΠΕΡΙ ΙΔΙΩΤΙΚΩΝ ΣΧΟΛΕΙΩΝ ΝΟΜΟΥΣ ΤΟΥ 2019 ΚΑΙ 2020</w:t>
      </w:r>
    </w:p>
    <w:p w14:paraId="79796EE0" w14:textId="77777777" w:rsidR="0098359F" w:rsidRDefault="0098359F" w:rsidP="00C369CF">
      <w:pPr>
        <w:tabs>
          <w:tab w:val="left" w:pos="567"/>
          <w:tab w:val="left" w:pos="851"/>
          <w:tab w:val="left" w:pos="1134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5C8717D" w14:textId="1B3E358D" w:rsidR="00B33FF3" w:rsidRDefault="00B33FF3" w:rsidP="00B33FF3">
      <w:pPr>
        <w:tabs>
          <w:tab w:val="left" w:pos="567"/>
          <w:tab w:val="left" w:pos="851"/>
          <w:tab w:val="left" w:pos="1134"/>
          <w:tab w:val="left" w:pos="297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Η Βουλή των Αντιπροσώπων ψηφίζει ως ακολούθως:</w:t>
      </w:r>
    </w:p>
    <w:p w14:paraId="580D63C2" w14:textId="77777777" w:rsidR="00B33FF3" w:rsidRDefault="00B33FF3" w:rsidP="00B33FF3">
      <w:pPr>
        <w:tabs>
          <w:tab w:val="left" w:pos="567"/>
          <w:tab w:val="left" w:pos="851"/>
          <w:tab w:val="left" w:pos="1134"/>
          <w:tab w:val="left" w:pos="297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1276"/>
        <w:gridCol w:w="1984"/>
        <w:gridCol w:w="4110"/>
      </w:tblGrid>
      <w:tr w:rsidR="0098359F" w:rsidRPr="00C5569B" w14:paraId="3F11E32B" w14:textId="77777777" w:rsidTr="0003163E">
        <w:tc>
          <w:tcPr>
            <w:tcW w:w="1177" w:type="pct"/>
            <w:shd w:val="clear" w:color="auto" w:fill="auto"/>
          </w:tcPr>
          <w:p w14:paraId="6539310B" w14:textId="77777777" w:rsidR="001C7303" w:rsidRDefault="0098359F" w:rsidP="00C369C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5569B">
              <w:rPr>
                <w:rFonts w:ascii="Arial" w:hAnsi="Arial" w:cs="Arial"/>
                <w:sz w:val="24"/>
                <w:szCs w:val="24"/>
              </w:rPr>
              <w:t xml:space="preserve">Συνοπτικός </w:t>
            </w:r>
          </w:p>
          <w:p w14:paraId="2DEB37B9" w14:textId="253B0B9C" w:rsidR="00C369CF" w:rsidRDefault="0098359F" w:rsidP="00C369C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5569B">
              <w:rPr>
                <w:rFonts w:ascii="Arial" w:hAnsi="Arial" w:cs="Arial"/>
                <w:sz w:val="24"/>
                <w:szCs w:val="24"/>
              </w:rPr>
              <w:t>τίτλος.</w:t>
            </w:r>
          </w:p>
          <w:p w14:paraId="171121D5" w14:textId="79FB0491" w:rsidR="0098359F" w:rsidRDefault="0098359F" w:rsidP="00C369CF">
            <w:pPr>
              <w:tabs>
                <w:tab w:val="left" w:pos="1593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147(Ι) του 2019</w:t>
            </w:r>
          </w:p>
          <w:p w14:paraId="497DA7AB" w14:textId="4F9BB0FF" w:rsidR="0098359F" w:rsidRPr="00C5569B" w:rsidRDefault="0098359F" w:rsidP="00C369C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168(Ι) του 2020</w:t>
            </w:r>
            <w:r w:rsidRPr="00C5569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823" w:type="pct"/>
            <w:gridSpan w:val="3"/>
            <w:shd w:val="clear" w:color="auto" w:fill="auto"/>
          </w:tcPr>
          <w:p w14:paraId="749624E2" w14:textId="26A862EC" w:rsidR="0098359F" w:rsidRPr="00C5569B" w:rsidRDefault="0098359F" w:rsidP="00772B5B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69B">
              <w:rPr>
                <w:rFonts w:ascii="Arial" w:hAnsi="Arial" w:cs="Arial"/>
                <w:sz w:val="24"/>
                <w:szCs w:val="24"/>
              </w:rPr>
              <w:t xml:space="preserve">Ο παρών Νόμος θα αναφέρεται ως ο περί </w:t>
            </w:r>
            <w:r>
              <w:rPr>
                <w:rFonts w:ascii="Arial" w:hAnsi="Arial" w:cs="Arial"/>
                <w:sz w:val="24"/>
                <w:szCs w:val="24"/>
              </w:rPr>
              <w:t xml:space="preserve">Ιδιωτικών Σχολείων </w:t>
            </w:r>
            <w:r w:rsidRPr="00C5569B">
              <w:rPr>
                <w:rFonts w:ascii="Arial" w:hAnsi="Arial" w:cs="Arial"/>
                <w:sz w:val="24"/>
                <w:szCs w:val="24"/>
              </w:rPr>
              <w:t>(Τροποποιητικός)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9B">
              <w:rPr>
                <w:rFonts w:ascii="Arial" w:hAnsi="Arial" w:cs="Arial"/>
                <w:sz w:val="24"/>
                <w:szCs w:val="24"/>
              </w:rPr>
              <w:t>Νόμος του 202</w:t>
            </w:r>
            <w:r w:rsidR="00C516FA">
              <w:rPr>
                <w:rFonts w:ascii="Arial" w:hAnsi="Arial" w:cs="Arial"/>
                <w:sz w:val="24"/>
                <w:szCs w:val="24"/>
              </w:rPr>
              <w:t>4</w:t>
            </w:r>
            <w:r w:rsidRPr="00C5569B">
              <w:rPr>
                <w:rFonts w:ascii="Arial" w:hAnsi="Arial" w:cs="Arial"/>
                <w:sz w:val="24"/>
                <w:szCs w:val="24"/>
              </w:rPr>
              <w:t xml:space="preserve"> και θα διαβάζεται μαζί µε </w:t>
            </w:r>
            <w:r>
              <w:rPr>
                <w:rFonts w:ascii="Arial" w:hAnsi="Arial" w:cs="Arial"/>
                <w:sz w:val="24"/>
                <w:szCs w:val="24"/>
              </w:rPr>
              <w:t xml:space="preserve">τους </w:t>
            </w:r>
            <w:r w:rsidRPr="00C5569B">
              <w:rPr>
                <w:rFonts w:ascii="Arial" w:hAnsi="Arial" w:cs="Arial"/>
                <w:sz w:val="24"/>
                <w:szCs w:val="24"/>
              </w:rPr>
              <w:t xml:space="preserve">περί </w:t>
            </w:r>
            <w:r>
              <w:rPr>
                <w:rFonts w:ascii="Arial" w:hAnsi="Arial" w:cs="Arial"/>
                <w:sz w:val="24"/>
                <w:szCs w:val="24"/>
              </w:rPr>
              <w:t xml:space="preserve">Ιδιωτικών Σχολείων </w:t>
            </w:r>
            <w:r w:rsidRPr="00C5569B">
              <w:rPr>
                <w:rFonts w:ascii="Arial" w:hAnsi="Arial" w:cs="Arial"/>
                <w:sz w:val="24"/>
                <w:szCs w:val="24"/>
              </w:rPr>
              <w:t>Νόμο</w:t>
            </w:r>
            <w:r>
              <w:rPr>
                <w:rFonts w:ascii="Arial" w:hAnsi="Arial" w:cs="Arial"/>
                <w:sz w:val="24"/>
                <w:szCs w:val="24"/>
              </w:rPr>
              <w:t>υς</w:t>
            </w:r>
            <w:r w:rsidRPr="00C5569B">
              <w:rPr>
                <w:rFonts w:ascii="Arial" w:hAnsi="Arial" w:cs="Arial"/>
                <w:sz w:val="24"/>
                <w:szCs w:val="24"/>
              </w:rPr>
              <w:t xml:space="preserve"> του</w:t>
            </w:r>
            <w:r>
              <w:rPr>
                <w:rFonts w:ascii="Arial" w:hAnsi="Arial" w:cs="Arial"/>
                <w:sz w:val="24"/>
                <w:szCs w:val="24"/>
              </w:rPr>
              <w:t xml:space="preserve"> 2019 και 2020</w:t>
            </w:r>
            <w:r w:rsidRPr="00C5569B">
              <w:rPr>
                <w:rFonts w:ascii="Arial" w:hAnsi="Arial" w:cs="Arial"/>
                <w:sz w:val="24"/>
                <w:szCs w:val="24"/>
              </w:rPr>
              <w:t xml:space="preserve"> (που στο εξής θα αναφέρ</w:t>
            </w:r>
            <w:r>
              <w:rPr>
                <w:rFonts w:ascii="Arial" w:hAnsi="Arial" w:cs="Arial"/>
                <w:sz w:val="24"/>
                <w:szCs w:val="24"/>
              </w:rPr>
              <w:t>ον</w:t>
            </w:r>
            <w:r w:rsidRPr="00C5569B">
              <w:rPr>
                <w:rFonts w:ascii="Arial" w:hAnsi="Arial" w:cs="Arial"/>
                <w:sz w:val="24"/>
                <w:szCs w:val="24"/>
              </w:rPr>
              <w:t xml:space="preserve">ται ως «ο βασικός νόμος») και ο βασικός νόμος και ο παρών Νόμος θα αναφέρονται μαζί ως οι περί </w:t>
            </w:r>
            <w:r>
              <w:rPr>
                <w:rFonts w:ascii="Arial" w:hAnsi="Arial" w:cs="Arial"/>
                <w:sz w:val="24"/>
                <w:szCs w:val="24"/>
              </w:rPr>
              <w:t xml:space="preserve">Ιδιωτικών Σχολείων </w:t>
            </w:r>
            <w:r w:rsidRPr="00C5569B">
              <w:rPr>
                <w:rFonts w:ascii="Arial" w:hAnsi="Arial" w:cs="Arial"/>
                <w:sz w:val="24"/>
                <w:szCs w:val="24"/>
              </w:rPr>
              <w:t>Νόμο</w:t>
            </w:r>
            <w:r>
              <w:rPr>
                <w:rFonts w:ascii="Arial" w:hAnsi="Arial" w:cs="Arial"/>
                <w:sz w:val="24"/>
                <w:szCs w:val="24"/>
              </w:rPr>
              <w:t>ι</w:t>
            </w:r>
            <w:r w:rsidRPr="00C5569B">
              <w:rPr>
                <w:rFonts w:ascii="Arial" w:hAnsi="Arial" w:cs="Arial"/>
                <w:sz w:val="24"/>
                <w:szCs w:val="24"/>
              </w:rPr>
              <w:t xml:space="preserve"> του </w:t>
            </w: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C5569B">
              <w:rPr>
                <w:rFonts w:ascii="Arial" w:hAnsi="Arial" w:cs="Arial"/>
                <w:sz w:val="24"/>
                <w:szCs w:val="24"/>
              </w:rPr>
              <w:t>έως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9B">
              <w:rPr>
                <w:rFonts w:ascii="Arial" w:hAnsi="Arial" w:cs="Arial"/>
                <w:sz w:val="24"/>
                <w:szCs w:val="24"/>
              </w:rPr>
              <w:t>202</w:t>
            </w:r>
            <w:r w:rsidR="00C516FA">
              <w:rPr>
                <w:rFonts w:ascii="Arial" w:hAnsi="Arial" w:cs="Arial"/>
                <w:sz w:val="24"/>
                <w:szCs w:val="24"/>
              </w:rPr>
              <w:t>4</w:t>
            </w:r>
            <w:r w:rsidRPr="00C556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8359F" w:rsidRPr="00C5569B" w14:paraId="2F81B19E" w14:textId="77777777" w:rsidTr="0003163E">
        <w:tc>
          <w:tcPr>
            <w:tcW w:w="1177" w:type="pct"/>
            <w:shd w:val="clear" w:color="auto" w:fill="auto"/>
          </w:tcPr>
          <w:p w14:paraId="571D68A2" w14:textId="77777777" w:rsidR="0098359F" w:rsidRPr="00C5569B" w:rsidRDefault="0098359F" w:rsidP="00C369C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3" w:type="pct"/>
            <w:gridSpan w:val="3"/>
            <w:shd w:val="clear" w:color="auto" w:fill="auto"/>
          </w:tcPr>
          <w:p w14:paraId="1E43F103" w14:textId="77777777" w:rsidR="0098359F" w:rsidRPr="00C5569B" w:rsidRDefault="0098359F" w:rsidP="00772B5B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59F" w:rsidRPr="00C5569B" w14:paraId="06F697D6" w14:textId="77777777" w:rsidTr="0003163E">
        <w:tc>
          <w:tcPr>
            <w:tcW w:w="1177" w:type="pct"/>
            <w:shd w:val="clear" w:color="auto" w:fill="auto"/>
          </w:tcPr>
          <w:p w14:paraId="03AE418D" w14:textId="693918A2" w:rsidR="0098359F" w:rsidRPr="00C5569B" w:rsidRDefault="0098359F" w:rsidP="00C369C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5569B">
              <w:rPr>
                <w:rFonts w:ascii="Arial" w:hAnsi="Arial" w:cs="Arial"/>
                <w:sz w:val="24"/>
                <w:szCs w:val="24"/>
              </w:rPr>
              <w:t xml:space="preserve">Τροποποίηση του </w:t>
            </w:r>
            <w:r>
              <w:rPr>
                <w:rFonts w:ascii="Arial" w:hAnsi="Arial" w:cs="Arial"/>
                <w:sz w:val="24"/>
                <w:szCs w:val="24"/>
              </w:rPr>
              <w:t xml:space="preserve">άρθρου </w:t>
            </w:r>
            <w:r w:rsidR="0003163E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βασικού νόμου</w:t>
            </w:r>
            <w:r w:rsidRPr="00C556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3" w:type="pct"/>
            <w:gridSpan w:val="3"/>
            <w:shd w:val="clear" w:color="auto" w:fill="auto"/>
          </w:tcPr>
          <w:p w14:paraId="4F1580AF" w14:textId="7CC62522" w:rsidR="0098359F" w:rsidRPr="0003163E" w:rsidRDefault="0098359F" w:rsidP="001C7303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</w:t>
            </w:r>
            <w:r w:rsidR="0003163E">
              <w:rPr>
                <w:rFonts w:ascii="Arial" w:hAnsi="Arial" w:cs="Arial"/>
                <w:sz w:val="24"/>
                <w:szCs w:val="24"/>
              </w:rPr>
              <w:t>εδάφιο (1) του άρθρου 22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βασικού νόμου τροποποιείται </w:t>
            </w:r>
            <w:r w:rsidR="0003163E">
              <w:rPr>
                <w:rFonts w:ascii="Arial" w:hAnsi="Arial" w:cs="Arial"/>
                <w:sz w:val="24"/>
                <w:szCs w:val="24"/>
              </w:rPr>
              <w:t xml:space="preserve">ως ακολούθως: </w:t>
            </w:r>
          </w:p>
        </w:tc>
      </w:tr>
      <w:tr w:rsidR="0036003C" w:rsidRPr="00C5569B" w14:paraId="49840875" w14:textId="77777777" w:rsidTr="0003163E">
        <w:tc>
          <w:tcPr>
            <w:tcW w:w="1177" w:type="pct"/>
            <w:shd w:val="clear" w:color="auto" w:fill="auto"/>
          </w:tcPr>
          <w:p w14:paraId="2544981D" w14:textId="77777777" w:rsidR="0036003C" w:rsidRPr="00C5569B" w:rsidRDefault="0036003C" w:rsidP="00C369C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3" w:type="pct"/>
            <w:gridSpan w:val="3"/>
            <w:shd w:val="clear" w:color="auto" w:fill="auto"/>
          </w:tcPr>
          <w:p w14:paraId="538C541F" w14:textId="107491A8" w:rsidR="0036003C" w:rsidRDefault="0036003C" w:rsidP="0003163E">
            <w:pPr>
              <w:pStyle w:val="ListParagraph"/>
              <w:tabs>
                <w:tab w:val="left" w:pos="567"/>
                <w:tab w:val="left" w:pos="74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5B" w:rsidRPr="00C5569B" w14:paraId="493F97B3" w14:textId="77777777" w:rsidTr="001C7303">
        <w:tc>
          <w:tcPr>
            <w:tcW w:w="1177" w:type="pct"/>
            <w:shd w:val="clear" w:color="auto" w:fill="auto"/>
          </w:tcPr>
          <w:p w14:paraId="19500644" w14:textId="77777777" w:rsidR="00772B5B" w:rsidRPr="00C5569B" w:rsidRDefault="00772B5B" w:rsidP="00C369C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68A93BB3" w14:textId="1064BB08" w:rsidR="00772B5B" w:rsidRDefault="00772B5B" w:rsidP="00772B5B">
            <w:pPr>
              <w:pStyle w:val="ListParagraph"/>
              <w:tabs>
                <w:tab w:val="left" w:pos="560"/>
              </w:tabs>
              <w:spacing w:after="0" w:line="360" w:lineRule="auto"/>
              <w:ind w:left="2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(α)</w:t>
            </w:r>
          </w:p>
        </w:tc>
        <w:tc>
          <w:tcPr>
            <w:tcW w:w="3161" w:type="pct"/>
            <w:gridSpan w:val="2"/>
            <w:shd w:val="clear" w:color="auto" w:fill="auto"/>
          </w:tcPr>
          <w:p w14:paraId="2E0D248A" w14:textId="3070C0A3" w:rsidR="00772B5B" w:rsidRDefault="00772B5B" w:rsidP="007243BD">
            <w:pPr>
              <w:pStyle w:val="ListParagraph"/>
              <w:tabs>
                <w:tab w:val="left" w:pos="74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 την αντικατάσταση στο τέλος της παραγράφου (α) του σημείου της τελείας με το σημείο της άνω και κάτω τελείας και την προσθήκη αμέσως μετά της ακόλουθης επιφύλαξης:</w:t>
            </w:r>
          </w:p>
        </w:tc>
      </w:tr>
      <w:tr w:rsidR="0003163E" w:rsidRPr="00C5569B" w14:paraId="014630CF" w14:textId="77777777" w:rsidTr="0003163E">
        <w:tc>
          <w:tcPr>
            <w:tcW w:w="1177" w:type="pct"/>
            <w:shd w:val="clear" w:color="auto" w:fill="auto"/>
          </w:tcPr>
          <w:p w14:paraId="7482F3E7" w14:textId="77777777" w:rsidR="0003163E" w:rsidRPr="00C5569B" w:rsidRDefault="0003163E" w:rsidP="00C369C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3" w:type="pct"/>
            <w:gridSpan w:val="3"/>
            <w:shd w:val="clear" w:color="auto" w:fill="auto"/>
          </w:tcPr>
          <w:p w14:paraId="5ED3E006" w14:textId="77777777" w:rsidR="0003163E" w:rsidRDefault="0003163E" w:rsidP="0003163E">
            <w:pPr>
              <w:pStyle w:val="ListParagraph"/>
              <w:tabs>
                <w:tab w:val="left" w:pos="567"/>
                <w:tab w:val="left" w:pos="74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303" w:rsidRPr="00C5569B" w14:paraId="67A3C2C9" w14:textId="77777777" w:rsidTr="001C7303">
        <w:tc>
          <w:tcPr>
            <w:tcW w:w="1177" w:type="pct"/>
            <w:shd w:val="clear" w:color="auto" w:fill="auto"/>
          </w:tcPr>
          <w:p w14:paraId="75680A8A" w14:textId="77777777" w:rsidR="001C7303" w:rsidRPr="00C5569B" w:rsidRDefault="001C7303" w:rsidP="00C369C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0FF1CD77" w14:textId="77777777" w:rsidR="001C7303" w:rsidRDefault="001C7303" w:rsidP="0003163E">
            <w:pPr>
              <w:pStyle w:val="ListParagraph"/>
              <w:tabs>
                <w:tab w:val="left" w:pos="567"/>
                <w:tab w:val="left" w:pos="745"/>
              </w:tabs>
              <w:spacing w:after="0" w:line="360" w:lineRule="auto"/>
              <w:ind w:lef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CFF555" w14:textId="77777777" w:rsidR="001C7303" w:rsidRDefault="001C7303" w:rsidP="0003163E">
            <w:pPr>
              <w:pStyle w:val="ListParagraph"/>
              <w:tabs>
                <w:tab w:val="left" w:pos="567"/>
                <w:tab w:val="left" w:pos="745"/>
              </w:tabs>
              <w:spacing w:after="0" w:line="360" w:lineRule="auto"/>
              <w:ind w:lef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7A738C" w14:textId="77777777" w:rsidR="001C7303" w:rsidRDefault="001C7303" w:rsidP="0003163E">
            <w:pPr>
              <w:pStyle w:val="ListParagraph"/>
              <w:tabs>
                <w:tab w:val="left" w:pos="567"/>
                <w:tab w:val="left" w:pos="745"/>
              </w:tabs>
              <w:spacing w:after="0" w:line="360" w:lineRule="auto"/>
              <w:ind w:lef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89E380" w14:textId="1E3A4775" w:rsidR="001C7303" w:rsidRDefault="001C7303" w:rsidP="007243BD">
            <w:pPr>
              <w:pStyle w:val="ListParagraph"/>
              <w:spacing w:after="0" w:line="360" w:lineRule="auto"/>
              <w:ind w:left="60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5179AAFE" w14:textId="77777777" w:rsidR="001C7303" w:rsidRDefault="001C7303" w:rsidP="001C730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FA77FEE" w14:textId="77777777" w:rsidR="001C7303" w:rsidRDefault="001C7303" w:rsidP="001C730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EEFFC2F" w14:textId="77777777" w:rsidR="001C7303" w:rsidRDefault="001C7303" w:rsidP="001C730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360F43C" w14:textId="77777777" w:rsidR="001C7303" w:rsidRDefault="001C7303" w:rsidP="001C730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937AC79" w14:textId="57AA8298" w:rsidR="001C7303" w:rsidRDefault="001C7303" w:rsidP="001C730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147(Ι) του 2019.</w:t>
            </w:r>
          </w:p>
        </w:tc>
        <w:tc>
          <w:tcPr>
            <w:tcW w:w="2132" w:type="pct"/>
            <w:shd w:val="clear" w:color="auto" w:fill="auto"/>
          </w:tcPr>
          <w:p w14:paraId="33693F07" w14:textId="52E8E622" w:rsidR="001C7303" w:rsidRDefault="001C7303" w:rsidP="001C7303">
            <w:pPr>
              <w:pStyle w:val="ListParagraph"/>
              <w:tabs>
                <w:tab w:val="left" w:pos="74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«Νοείται ότι</w:t>
            </w:r>
            <w:r w:rsidR="002E35F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το διδακτικό προσωπικό που εργοδοτείτ</w:t>
            </w:r>
            <w:r w:rsidR="005664DE">
              <w:rPr>
                <w:rFonts w:ascii="Arial" w:hAnsi="Arial" w:cs="Arial"/>
                <w:sz w:val="24"/>
                <w:szCs w:val="24"/>
              </w:rPr>
              <w:t>ο</w:t>
            </w:r>
            <w:r>
              <w:rPr>
                <w:rFonts w:ascii="Arial" w:hAnsi="Arial" w:cs="Arial"/>
                <w:sz w:val="24"/>
                <w:szCs w:val="24"/>
              </w:rPr>
              <w:t xml:space="preserve"> σε ιδιωτικά σχολεία όλων των βαθμίδων πριν από την ημερομηνία έναρξης της ισχύος του περί Ιδιωτικών Σχολείων Νόμου του 2019 </w:t>
            </w:r>
            <w:r w:rsidR="00B33FF3">
              <w:rPr>
                <w:rFonts w:ascii="Arial" w:hAnsi="Arial" w:cs="Arial"/>
                <w:sz w:val="24"/>
                <w:szCs w:val="24"/>
              </w:rPr>
              <w:t xml:space="preserve">και το οποίο </w:t>
            </w:r>
            <w:r w:rsidR="005F08A2">
              <w:rPr>
                <w:rFonts w:ascii="Arial" w:hAnsi="Arial" w:cs="Arial"/>
                <w:sz w:val="24"/>
                <w:szCs w:val="24"/>
              </w:rPr>
              <w:t xml:space="preserve">συνεχίζει να εργοδοτείται σε ιδιωτικά σχολεία, </w:t>
            </w:r>
            <w:r w:rsidR="00C516FA">
              <w:rPr>
                <w:rFonts w:ascii="Arial" w:hAnsi="Arial" w:cs="Arial"/>
                <w:sz w:val="24"/>
                <w:szCs w:val="24"/>
              </w:rPr>
              <w:t>δύναται</w:t>
            </w:r>
            <w:r>
              <w:rPr>
                <w:rFonts w:ascii="Arial" w:hAnsi="Arial" w:cs="Arial"/>
                <w:sz w:val="24"/>
                <w:szCs w:val="24"/>
              </w:rPr>
              <w:t xml:space="preserve"> να μην κατέχ</w:t>
            </w:r>
            <w:r w:rsidR="00B96F2D">
              <w:rPr>
                <w:rFonts w:ascii="Arial" w:hAnsi="Arial" w:cs="Arial"/>
                <w:sz w:val="24"/>
                <w:szCs w:val="24"/>
              </w:rPr>
              <w:t>ει</w:t>
            </w:r>
            <w:r>
              <w:rPr>
                <w:rFonts w:ascii="Arial" w:hAnsi="Arial" w:cs="Arial"/>
                <w:sz w:val="24"/>
                <w:szCs w:val="24"/>
              </w:rPr>
              <w:t xml:space="preserve"> τα ίδια ακαδημαϊκά προσόντα με το διδακτικό προσωπικό των δημόσιων σχολείων για τη διδασκαλία στο γνωστικό αντικείμενο που διδάσκ</w:t>
            </w:r>
            <w:r w:rsidR="004127EA">
              <w:rPr>
                <w:rFonts w:ascii="Arial" w:hAnsi="Arial" w:cs="Arial"/>
                <w:sz w:val="24"/>
                <w:szCs w:val="24"/>
              </w:rPr>
              <w:t>ει</w:t>
            </w:r>
            <w:r>
              <w:rPr>
                <w:rFonts w:ascii="Arial" w:hAnsi="Arial" w:cs="Arial"/>
                <w:sz w:val="24"/>
                <w:szCs w:val="24"/>
              </w:rPr>
              <w:t>.»· και</w:t>
            </w:r>
          </w:p>
        </w:tc>
      </w:tr>
      <w:tr w:rsidR="0003163E" w:rsidRPr="00C5569B" w14:paraId="16B44C45" w14:textId="77777777" w:rsidTr="0003163E">
        <w:tc>
          <w:tcPr>
            <w:tcW w:w="1177" w:type="pct"/>
            <w:shd w:val="clear" w:color="auto" w:fill="auto"/>
          </w:tcPr>
          <w:p w14:paraId="4CF566E1" w14:textId="77777777" w:rsidR="0003163E" w:rsidRPr="00C5569B" w:rsidRDefault="0003163E" w:rsidP="00C369C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3" w:type="pct"/>
            <w:gridSpan w:val="3"/>
            <w:shd w:val="clear" w:color="auto" w:fill="auto"/>
          </w:tcPr>
          <w:p w14:paraId="7D7899E1" w14:textId="35468341" w:rsidR="0003163E" w:rsidRDefault="0003163E" w:rsidP="0003163E">
            <w:pPr>
              <w:pStyle w:val="ListParagraph"/>
              <w:tabs>
                <w:tab w:val="left" w:pos="567"/>
                <w:tab w:val="left" w:pos="74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3BD" w:rsidRPr="00C5569B" w14:paraId="19AD07E2" w14:textId="77777777" w:rsidTr="007243BD">
        <w:tc>
          <w:tcPr>
            <w:tcW w:w="1177" w:type="pct"/>
            <w:shd w:val="clear" w:color="auto" w:fill="auto"/>
          </w:tcPr>
          <w:p w14:paraId="7DA6513D" w14:textId="77777777" w:rsidR="007243BD" w:rsidRPr="00C5569B" w:rsidRDefault="007243BD" w:rsidP="00C369C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1EF74762" w14:textId="2E7FE19F" w:rsidR="007243BD" w:rsidRPr="00C5569B" w:rsidRDefault="007243BD" w:rsidP="007243BD">
            <w:pPr>
              <w:pStyle w:val="ListParagraph"/>
              <w:tabs>
                <w:tab w:val="left" w:pos="571"/>
              </w:tabs>
              <w:spacing w:after="0" w:line="360" w:lineRule="auto"/>
              <w:ind w:left="3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(β)</w:t>
            </w:r>
          </w:p>
        </w:tc>
        <w:tc>
          <w:tcPr>
            <w:tcW w:w="3161" w:type="pct"/>
            <w:gridSpan w:val="2"/>
            <w:shd w:val="clear" w:color="auto" w:fill="auto"/>
          </w:tcPr>
          <w:p w14:paraId="708782AD" w14:textId="2FA9EECD" w:rsidR="007243BD" w:rsidRPr="007243BD" w:rsidRDefault="007243BD" w:rsidP="007243BD">
            <w:pPr>
              <w:tabs>
                <w:tab w:val="left" w:pos="745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3BD">
              <w:rPr>
                <w:rFonts w:ascii="Arial" w:hAnsi="Arial" w:cs="Arial"/>
                <w:sz w:val="24"/>
                <w:szCs w:val="24"/>
              </w:rPr>
              <w:t>με τη διαγραφή της παραγράφου (δ).</w:t>
            </w:r>
          </w:p>
        </w:tc>
      </w:tr>
    </w:tbl>
    <w:p w14:paraId="6864E65C" w14:textId="77777777" w:rsidR="00E62BC0" w:rsidRDefault="00E62BC0" w:rsidP="001C7303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</w:rPr>
      </w:pPr>
    </w:p>
    <w:p w14:paraId="79A5EA5C" w14:textId="77777777" w:rsidR="00E62BC0" w:rsidRDefault="00E62BC0" w:rsidP="001C7303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</w:rPr>
      </w:pPr>
    </w:p>
    <w:p w14:paraId="0207E10C" w14:textId="77777777" w:rsidR="00E62BC0" w:rsidRDefault="00E62BC0" w:rsidP="001C7303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</w:rPr>
      </w:pPr>
    </w:p>
    <w:p w14:paraId="5D94FB0E" w14:textId="77777777" w:rsidR="00E62BC0" w:rsidRDefault="00E62BC0" w:rsidP="001C7303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</w:rPr>
      </w:pPr>
    </w:p>
    <w:p w14:paraId="654AB3D2" w14:textId="77777777" w:rsidR="00E62BC0" w:rsidRDefault="00E62BC0" w:rsidP="001C7303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</w:rPr>
      </w:pPr>
    </w:p>
    <w:p w14:paraId="4B611EED" w14:textId="77777777" w:rsidR="00E62BC0" w:rsidRDefault="00E62BC0" w:rsidP="001C7303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</w:rPr>
      </w:pPr>
    </w:p>
    <w:p w14:paraId="6BBDF977" w14:textId="77777777" w:rsidR="00E62BC0" w:rsidRDefault="00E62BC0" w:rsidP="001C7303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</w:rPr>
      </w:pPr>
    </w:p>
    <w:p w14:paraId="24A80738" w14:textId="77777777" w:rsidR="00E62BC0" w:rsidRDefault="00E62BC0" w:rsidP="001C7303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</w:rPr>
      </w:pPr>
    </w:p>
    <w:p w14:paraId="214CA47B" w14:textId="77777777" w:rsidR="00E62BC0" w:rsidRDefault="00E62BC0" w:rsidP="001C7303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</w:rPr>
      </w:pPr>
    </w:p>
    <w:p w14:paraId="2D1638E4" w14:textId="77777777" w:rsidR="00E62BC0" w:rsidRDefault="00E62BC0" w:rsidP="001C7303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</w:rPr>
      </w:pPr>
    </w:p>
    <w:p w14:paraId="0B9CDDCC" w14:textId="77777777" w:rsidR="00E62BC0" w:rsidRDefault="00E62BC0" w:rsidP="001C7303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</w:rPr>
      </w:pPr>
    </w:p>
    <w:p w14:paraId="365AA2F1" w14:textId="77777777" w:rsidR="00E62BC0" w:rsidRDefault="00E62BC0" w:rsidP="001C7303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</w:rPr>
      </w:pPr>
    </w:p>
    <w:p w14:paraId="592130BF" w14:textId="1BF58E23" w:rsidR="00B96F2D" w:rsidRPr="001C7303" w:rsidRDefault="00B96F2D" w:rsidP="001C7303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Αρ. Φακ.: 23.02.064.127-2023</w:t>
      </w:r>
    </w:p>
    <w:p w14:paraId="65073D86" w14:textId="77777777" w:rsidR="00BB6319" w:rsidRDefault="00485055" w:rsidP="004D792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7303">
        <w:rPr>
          <w:rFonts w:ascii="Arial" w:hAnsi="Arial" w:cs="Arial"/>
          <w:sz w:val="16"/>
          <w:szCs w:val="16"/>
        </w:rPr>
        <w:t>ΘΚΒ</w:t>
      </w:r>
      <w:r w:rsidR="004D792E">
        <w:rPr>
          <w:rFonts w:ascii="Arial" w:hAnsi="Arial" w:cs="Arial"/>
          <w:sz w:val="16"/>
          <w:szCs w:val="16"/>
        </w:rPr>
        <w:t>/ΓΧ</w:t>
      </w:r>
    </w:p>
    <w:sectPr w:rsidR="00BB6319" w:rsidSect="00E87E0D">
      <w:head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4D59" w14:textId="77777777" w:rsidR="00E87E0D" w:rsidRDefault="00E87E0D">
      <w:pPr>
        <w:spacing w:after="0" w:line="240" w:lineRule="auto"/>
      </w:pPr>
      <w:r>
        <w:separator/>
      </w:r>
    </w:p>
  </w:endnote>
  <w:endnote w:type="continuationSeparator" w:id="0">
    <w:p w14:paraId="56AC7701" w14:textId="77777777" w:rsidR="00E87E0D" w:rsidRDefault="00E8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F123" w14:textId="77777777" w:rsidR="00E87E0D" w:rsidRDefault="00E87E0D">
      <w:pPr>
        <w:spacing w:after="0" w:line="240" w:lineRule="auto"/>
      </w:pPr>
      <w:r>
        <w:separator/>
      </w:r>
    </w:p>
  </w:footnote>
  <w:footnote w:type="continuationSeparator" w:id="0">
    <w:p w14:paraId="54EAC3AD" w14:textId="77777777" w:rsidR="00E87E0D" w:rsidRDefault="00E8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3A02" w14:textId="77777777" w:rsidR="00825D65" w:rsidRDefault="007E79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0A04322" w14:textId="77777777" w:rsidR="00825D65" w:rsidRDefault="00825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6F0F"/>
    <w:multiLevelType w:val="hybridMultilevel"/>
    <w:tmpl w:val="155E3F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8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9F"/>
    <w:rsid w:val="0003163E"/>
    <w:rsid w:val="000F0B41"/>
    <w:rsid w:val="0016426D"/>
    <w:rsid w:val="001C7303"/>
    <w:rsid w:val="00211077"/>
    <w:rsid w:val="002821B3"/>
    <w:rsid w:val="002A43FE"/>
    <w:rsid w:val="002B2557"/>
    <w:rsid w:val="002C5749"/>
    <w:rsid w:val="002E35FA"/>
    <w:rsid w:val="002E64E3"/>
    <w:rsid w:val="003318C1"/>
    <w:rsid w:val="00340CC1"/>
    <w:rsid w:val="0036003C"/>
    <w:rsid w:val="00391526"/>
    <w:rsid w:val="004127EA"/>
    <w:rsid w:val="00485055"/>
    <w:rsid w:val="004D792E"/>
    <w:rsid w:val="00523D72"/>
    <w:rsid w:val="005664DE"/>
    <w:rsid w:val="005F08A2"/>
    <w:rsid w:val="007243BD"/>
    <w:rsid w:val="00772B5B"/>
    <w:rsid w:val="007E7928"/>
    <w:rsid w:val="00825D65"/>
    <w:rsid w:val="0098359F"/>
    <w:rsid w:val="00A16D6A"/>
    <w:rsid w:val="00AA7F4C"/>
    <w:rsid w:val="00B3021E"/>
    <w:rsid w:val="00B33FF3"/>
    <w:rsid w:val="00B96F2D"/>
    <w:rsid w:val="00BB1216"/>
    <w:rsid w:val="00BB6319"/>
    <w:rsid w:val="00BF4178"/>
    <w:rsid w:val="00C369CF"/>
    <w:rsid w:val="00C516FA"/>
    <w:rsid w:val="00CA0F79"/>
    <w:rsid w:val="00DA3F38"/>
    <w:rsid w:val="00E62BC0"/>
    <w:rsid w:val="00E87E0D"/>
    <w:rsid w:val="00F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8AB0"/>
  <w15:chartTrackingRefBased/>
  <w15:docId w15:val="{276B8ECB-BAFE-4AF6-8AF1-BB513A97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9F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5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9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Gianna Christoforou</cp:lastModifiedBy>
  <cp:revision>11</cp:revision>
  <cp:lastPrinted>2023-11-16T14:09:00Z</cp:lastPrinted>
  <dcterms:created xsi:type="dcterms:W3CDTF">2024-02-02T06:23:00Z</dcterms:created>
  <dcterms:modified xsi:type="dcterms:W3CDTF">2024-02-12T12:08:00Z</dcterms:modified>
</cp:coreProperties>
</file>