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59B4" w14:textId="2D1288A1" w:rsidR="00E85170" w:rsidRDefault="00E85170" w:rsidP="00BF68C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</w:t>
      </w:r>
      <w:r w:rsidR="00723313">
        <w:rPr>
          <w:rFonts w:ascii="Arial" w:hAnsi="Arial" w:cs="Arial"/>
          <w:b/>
          <w:bCs/>
          <w:sz w:val="24"/>
          <w:szCs w:val="24"/>
        </w:rPr>
        <w:t>Σ</w:t>
      </w:r>
      <w:r>
        <w:rPr>
          <w:rFonts w:ascii="Arial" w:hAnsi="Arial" w:cs="Arial"/>
          <w:b/>
          <w:bCs/>
          <w:sz w:val="24"/>
          <w:szCs w:val="24"/>
        </w:rPr>
        <w:t xml:space="preserve"> ΠΟΥ ΤΡΟΠΟΠΟΙΕΙ ΤΟΝ ΠΕΡΙ ΤΗΣ ΕΦΑΡΜΟΓΗΣ </w:t>
      </w:r>
    </w:p>
    <w:p w14:paraId="1DFA44A1" w14:textId="77777777" w:rsidR="00E85170" w:rsidRDefault="00E85170" w:rsidP="00BF68C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ΤΗΣ ΕΘΝΙΚΗΣ ΣΤΡΑΤΗΓΙΚΗΣ ΓΙΑ ΤΗΝ ΚΑΤΑΠΟΛΕΜΗΣΗ ΤΗΣ ΣΕΞΟΥΑΛΙΚΗΣ ΚΑΚΟΠΟΙΗΣΗΣ ΚΑΙ ΕΚΜΕΤΑΛΛΕΥΣΗΣ ΠΑΙΔΙΩΝ ΚΑΙ ΤΗΣ ΠΑΙΔΙΚΗΣ ΠΟΡΝΟΓΡΑΦΙΑΣ ΝΟΜΟ ΤΟΥ 2017</w:t>
      </w:r>
    </w:p>
    <w:p w14:paraId="7C3B367F" w14:textId="77777777" w:rsidR="00B56E2B" w:rsidRDefault="00B56E2B" w:rsidP="00C10CC7">
      <w:pPr>
        <w:spacing w:line="240" w:lineRule="auto"/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0"/>
        <w:gridCol w:w="1746"/>
        <w:gridCol w:w="5669"/>
      </w:tblGrid>
      <w:tr w:rsidR="00B56E2B" w14:paraId="2C0A819D" w14:textId="77777777" w:rsidTr="00381F65">
        <w:tc>
          <w:tcPr>
            <w:tcW w:w="1940" w:type="dxa"/>
            <w:hideMark/>
          </w:tcPr>
          <w:p w14:paraId="06A6AD63" w14:textId="77777777" w:rsidR="00B56E2B" w:rsidRDefault="00B56E2B" w:rsidP="00980478">
            <w:pPr>
              <w:spacing w:line="360" w:lineRule="auto"/>
              <w:jc w:val="left"/>
            </w:pPr>
            <w:r>
              <w:t>Συνοπτικός τίτλος.</w:t>
            </w:r>
          </w:p>
          <w:p w14:paraId="0FD1E8CD" w14:textId="77777777" w:rsidR="00940E36" w:rsidRDefault="00940E36" w:rsidP="00980478">
            <w:pPr>
              <w:spacing w:line="360" w:lineRule="auto"/>
              <w:jc w:val="right"/>
            </w:pPr>
          </w:p>
          <w:p w14:paraId="6DA455B1" w14:textId="77777777" w:rsidR="00BF68C3" w:rsidRDefault="00BF68C3" w:rsidP="00980478">
            <w:pPr>
              <w:spacing w:line="360" w:lineRule="auto"/>
              <w:jc w:val="right"/>
            </w:pPr>
          </w:p>
          <w:p w14:paraId="43565D32" w14:textId="136752A0" w:rsidR="00C45A99" w:rsidRDefault="00E85170" w:rsidP="00980478">
            <w:pPr>
              <w:spacing w:line="360" w:lineRule="auto"/>
              <w:jc w:val="right"/>
            </w:pPr>
            <w:r>
              <w:t>112</w:t>
            </w:r>
            <w:r w:rsidR="00C45A99">
              <w:t>(Ι) του 2017</w:t>
            </w:r>
            <w:r w:rsidR="00FC457C">
              <w:t>.</w:t>
            </w:r>
          </w:p>
          <w:p w14:paraId="634223C6" w14:textId="77777777" w:rsidR="00C45A99" w:rsidRDefault="00C45A99" w:rsidP="00980478">
            <w:pPr>
              <w:spacing w:line="360" w:lineRule="auto"/>
              <w:jc w:val="right"/>
            </w:pPr>
          </w:p>
        </w:tc>
        <w:tc>
          <w:tcPr>
            <w:tcW w:w="7415" w:type="dxa"/>
            <w:gridSpan w:val="2"/>
            <w:hideMark/>
          </w:tcPr>
          <w:p w14:paraId="7B63503F" w14:textId="6217D8E3" w:rsidR="00B56E2B" w:rsidRPr="00E85170" w:rsidRDefault="00B56E2B" w:rsidP="00C76F0C">
            <w:pPr>
              <w:numPr>
                <w:ilvl w:val="0"/>
                <w:numId w:val="6"/>
              </w:numPr>
              <w:tabs>
                <w:tab w:val="clear" w:pos="567"/>
                <w:tab w:val="left" w:pos="360"/>
              </w:tabs>
              <w:spacing w:line="360" w:lineRule="auto"/>
              <w:ind w:left="0" w:firstLine="0"/>
            </w:pPr>
            <w:r w:rsidRPr="00E85170">
              <w:t xml:space="preserve">Ο παρών Νόμος θα αναφέρεται ως </w:t>
            </w:r>
            <w:r w:rsidR="00E85170" w:rsidRPr="00E85170">
              <w:t xml:space="preserve">ο περί της </w:t>
            </w:r>
            <w:r w:rsidR="00E85170">
              <w:t>Ε</w:t>
            </w:r>
            <w:r w:rsidR="00E85170" w:rsidRPr="00E85170">
              <w:t xml:space="preserve">φαρμογής της </w:t>
            </w:r>
            <w:r w:rsidR="00E85170">
              <w:t>Ε</w:t>
            </w:r>
            <w:r w:rsidR="00E85170" w:rsidRPr="00E85170">
              <w:t xml:space="preserve">θνικής </w:t>
            </w:r>
            <w:r w:rsidR="00E85170">
              <w:t>Σ</w:t>
            </w:r>
            <w:r w:rsidR="00E85170" w:rsidRPr="00E85170">
              <w:t xml:space="preserve">τρατηγικής για την </w:t>
            </w:r>
            <w:r w:rsidR="00E85170">
              <w:t>Κ</w:t>
            </w:r>
            <w:r w:rsidR="00E85170" w:rsidRPr="00E85170">
              <w:t xml:space="preserve">αταπολέμηση της </w:t>
            </w:r>
            <w:r w:rsidR="00E85170">
              <w:t>Σ</w:t>
            </w:r>
            <w:r w:rsidR="00E85170" w:rsidRPr="00E85170">
              <w:t xml:space="preserve">εξουαλικής </w:t>
            </w:r>
            <w:r w:rsidR="00E85170">
              <w:t>Κ</w:t>
            </w:r>
            <w:r w:rsidR="00E85170" w:rsidRPr="00E85170">
              <w:t xml:space="preserve">ακοποίησης και </w:t>
            </w:r>
            <w:r w:rsidR="00E85170">
              <w:t>Ε</w:t>
            </w:r>
            <w:r w:rsidR="00E85170" w:rsidRPr="00E85170">
              <w:t xml:space="preserve">κμετάλλευσης </w:t>
            </w:r>
            <w:r w:rsidR="00E85170">
              <w:t>Π</w:t>
            </w:r>
            <w:r w:rsidR="00E85170" w:rsidRPr="00E85170">
              <w:t xml:space="preserve">αιδιών και της </w:t>
            </w:r>
            <w:r w:rsidR="00E85170">
              <w:t>Π</w:t>
            </w:r>
            <w:r w:rsidR="00E85170" w:rsidRPr="00E85170">
              <w:t xml:space="preserve">αιδικής </w:t>
            </w:r>
            <w:r w:rsidR="00E85170">
              <w:t>Π</w:t>
            </w:r>
            <w:r w:rsidR="00E85170" w:rsidRPr="00E85170">
              <w:t xml:space="preserve">ορνογραφίας </w:t>
            </w:r>
            <w:r w:rsidR="00FC457C">
              <w:t xml:space="preserve">(Τροποποιητικός) </w:t>
            </w:r>
            <w:r w:rsidR="00E85170">
              <w:t>Ν</w:t>
            </w:r>
            <w:r w:rsidR="00E85170" w:rsidRPr="00E85170">
              <w:t>όμο</w:t>
            </w:r>
            <w:r w:rsidR="00E85170">
              <w:t>ς</w:t>
            </w:r>
            <w:r w:rsidR="00E85170" w:rsidRPr="00E85170">
              <w:t xml:space="preserve"> του 20</w:t>
            </w:r>
            <w:r w:rsidR="00E85170">
              <w:t xml:space="preserve">23 και θα διαβάζεται μαζί με τον </w:t>
            </w:r>
            <w:r w:rsidR="00E85170" w:rsidRPr="00E85170">
              <w:t xml:space="preserve">περί της </w:t>
            </w:r>
            <w:r w:rsidR="00E85170">
              <w:t>Ε</w:t>
            </w:r>
            <w:r w:rsidR="00E85170" w:rsidRPr="00E85170">
              <w:t xml:space="preserve">φαρμογής της </w:t>
            </w:r>
            <w:r w:rsidR="00E85170">
              <w:t>Ε</w:t>
            </w:r>
            <w:r w:rsidR="00E85170" w:rsidRPr="00E85170">
              <w:t xml:space="preserve">θνικής </w:t>
            </w:r>
            <w:r w:rsidR="00E85170">
              <w:t>Σ</w:t>
            </w:r>
            <w:r w:rsidR="00E85170" w:rsidRPr="00E85170">
              <w:t xml:space="preserve">τρατηγικής για την </w:t>
            </w:r>
            <w:r w:rsidR="00E85170">
              <w:t>Κ</w:t>
            </w:r>
            <w:r w:rsidR="00E85170" w:rsidRPr="00E85170">
              <w:t xml:space="preserve">αταπολέμηση της </w:t>
            </w:r>
            <w:r w:rsidR="00E85170">
              <w:t>Σ</w:t>
            </w:r>
            <w:r w:rsidR="00E85170" w:rsidRPr="00E85170">
              <w:t xml:space="preserve">εξουαλικής </w:t>
            </w:r>
            <w:r w:rsidR="00E85170">
              <w:t>Κ</w:t>
            </w:r>
            <w:r w:rsidR="00E85170" w:rsidRPr="00E85170">
              <w:t xml:space="preserve">ακοποίησης και </w:t>
            </w:r>
            <w:r w:rsidR="00E85170">
              <w:t>Ε</w:t>
            </w:r>
            <w:r w:rsidR="00E85170" w:rsidRPr="00E85170">
              <w:t xml:space="preserve">κμετάλλευσης </w:t>
            </w:r>
            <w:r w:rsidR="00E85170">
              <w:t>Π</w:t>
            </w:r>
            <w:r w:rsidR="00E85170" w:rsidRPr="00E85170">
              <w:t xml:space="preserve">αιδιών και της </w:t>
            </w:r>
            <w:r w:rsidR="00E85170">
              <w:t>Π</w:t>
            </w:r>
            <w:r w:rsidR="00E85170" w:rsidRPr="00E85170">
              <w:t xml:space="preserve">αιδικής </w:t>
            </w:r>
            <w:r w:rsidR="00E85170">
              <w:t>Π</w:t>
            </w:r>
            <w:r w:rsidR="00E85170" w:rsidRPr="00E85170">
              <w:t xml:space="preserve">ορνογραφίας </w:t>
            </w:r>
            <w:r w:rsidR="00E85170">
              <w:t>Ν</w:t>
            </w:r>
            <w:r w:rsidR="00E85170" w:rsidRPr="00E85170">
              <w:t>όμο του 20</w:t>
            </w:r>
            <w:r w:rsidR="00E85170">
              <w:t xml:space="preserve">17 </w:t>
            </w:r>
            <w:r w:rsidRPr="00E85170">
              <w:t>(που στο εξής θα αναφέρ</w:t>
            </w:r>
            <w:r w:rsidR="007654C0">
              <w:t>ε</w:t>
            </w:r>
            <w:r w:rsidRPr="00E85170">
              <w:t>ται ως «ο βασικός νόμος»)</w:t>
            </w:r>
            <w:r w:rsidR="00C45A99" w:rsidRPr="00E85170">
              <w:t xml:space="preserve"> και ο βασικός νόμος και ο παρών Νόμος θα αναφέρονται μαζί ως </w:t>
            </w:r>
            <w:r w:rsidR="00E85170">
              <w:t xml:space="preserve">οι περί της Εφαρμογής της Εθνικής Στρατηγικής για την Καταπολέμηση της Σεξουαλικής Κακοποίησης και Εκμετάλλευσης Παιδιών και της Παιδικής Πορνογραφίας Νόμοι του 2017 </w:t>
            </w:r>
            <w:r w:rsidR="00940E36">
              <w:t xml:space="preserve">και </w:t>
            </w:r>
            <w:r w:rsidR="00E85170">
              <w:t>2023</w:t>
            </w:r>
            <w:r w:rsidR="00C45A99" w:rsidRPr="00E85170">
              <w:t>.</w:t>
            </w:r>
          </w:p>
        </w:tc>
      </w:tr>
      <w:tr w:rsidR="00492764" w14:paraId="54D3BE40" w14:textId="77777777" w:rsidTr="00381F65">
        <w:tc>
          <w:tcPr>
            <w:tcW w:w="1940" w:type="dxa"/>
          </w:tcPr>
          <w:p w14:paraId="2A1B4046" w14:textId="77777777" w:rsidR="00492764" w:rsidRDefault="00492764" w:rsidP="00980478">
            <w:pPr>
              <w:spacing w:line="360" w:lineRule="auto"/>
              <w:jc w:val="left"/>
            </w:pPr>
          </w:p>
        </w:tc>
        <w:tc>
          <w:tcPr>
            <w:tcW w:w="7415" w:type="dxa"/>
            <w:gridSpan w:val="2"/>
          </w:tcPr>
          <w:p w14:paraId="727D87E8" w14:textId="77777777" w:rsidR="00492764" w:rsidRDefault="00492764" w:rsidP="00AB0B16">
            <w:pPr>
              <w:tabs>
                <w:tab w:val="clear" w:pos="567"/>
                <w:tab w:val="left" w:pos="317"/>
              </w:tabs>
              <w:spacing w:line="360" w:lineRule="auto"/>
            </w:pPr>
          </w:p>
        </w:tc>
      </w:tr>
      <w:tr w:rsidR="00B56E2B" w14:paraId="6EDDB58F" w14:textId="77777777" w:rsidTr="00381F65">
        <w:tc>
          <w:tcPr>
            <w:tcW w:w="1940" w:type="dxa"/>
          </w:tcPr>
          <w:p w14:paraId="5A36778A" w14:textId="77777777" w:rsidR="00B56E2B" w:rsidRDefault="00492764" w:rsidP="00980478">
            <w:pPr>
              <w:spacing w:line="360" w:lineRule="auto"/>
              <w:jc w:val="left"/>
            </w:pPr>
            <w:r>
              <w:t xml:space="preserve">Τροποποίηση του άρθρου </w:t>
            </w:r>
            <w:r w:rsidR="00E85170">
              <w:t>4</w:t>
            </w:r>
            <w:r>
              <w:t xml:space="preserve"> του βασικού</w:t>
            </w:r>
            <w:r w:rsidR="00AB0B16">
              <w:t xml:space="preserve"> νόμου</w:t>
            </w:r>
            <w:r>
              <w:t>.</w:t>
            </w:r>
          </w:p>
        </w:tc>
        <w:tc>
          <w:tcPr>
            <w:tcW w:w="7415" w:type="dxa"/>
            <w:gridSpan w:val="2"/>
          </w:tcPr>
          <w:p w14:paraId="7694BE40" w14:textId="47E864D7" w:rsidR="00E702BA" w:rsidRPr="00AB0B16" w:rsidRDefault="00492764" w:rsidP="00C76F0C">
            <w:pPr>
              <w:tabs>
                <w:tab w:val="clear" w:pos="567"/>
                <w:tab w:val="left" w:pos="360"/>
              </w:tabs>
              <w:spacing w:line="360" w:lineRule="auto"/>
            </w:pPr>
            <w:r w:rsidRPr="00AB0B16">
              <w:t>2.</w:t>
            </w:r>
            <w:r w:rsidR="00FC457C">
              <w:tab/>
            </w:r>
            <w:r w:rsidR="00E702BA" w:rsidRPr="00AB0B16">
              <w:t xml:space="preserve">Το άρθρο 4 του βασικού </w:t>
            </w:r>
            <w:r w:rsidR="00940E36">
              <w:t>ν</w:t>
            </w:r>
            <w:r w:rsidR="00E702BA" w:rsidRPr="00AB0B16">
              <w:t>όμου τροποποιείται με την αντικατάσταση του εδαφίου (4)</w:t>
            </w:r>
            <w:r w:rsidR="007654C0">
              <w:t>,</w:t>
            </w:r>
            <w:r w:rsidR="00E702BA" w:rsidRPr="00AB0B16">
              <w:t xml:space="preserve"> με το ακόλουθο εδάφιο:</w:t>
            </w:r>
          </w:p>
          <w:p w14:paraId="76066857" w14:textId="77777777" w:rsidR="00B56E2B" w:rsidRPr="00AB0B16" w:rsidRDefault="00B56E2B" w:rsidP="00AB0B16">
            <w:pPr>
              <w:tabs>
                <w:tab w:val="clear" w:pos="567"/>
                <w:tab w:val="left" w:pos="311"/>
              </w:tabs>
              <w:spacing w:line="360" w:lineRule="auto"/>
            </w:pPr>
          </w:p>
        </w:tc>
      </w:tr>
      <w:tr w:rsidR="00381F65" w14:paraId="3F6FD032" w14:textId="77777777" w:rsidTr="00381F65">
        <w:tc>
          <w:tcPr>
            <w:tcW w:w="1940" w:type="dxa"/>
          </w:tcPr>
          <w:p w14:paraId="44716B1B" w14:textId="77777777" w:rsidR="00381F65" w:rsidRDefault="00381F65" w:rsidP="00980478">
            <w:pPr>
              <w:spacing w:line="360" w:lineRule="auto"/>
              <w:jc w:val="left"/>
            </w:pPr>
          </w:p>
        </w:tc>
        <w:tc>
          <w:tcPr>
            <w:tcW w:w="7415" w:type="dxa"/>
            <w:gridSpan w:val="2"/>
          </w:tcPr>
          <w:p w14:paraId="4E26BEBA" w14:textId="77777777" w:rsidR="00381F65" w:rsidRPr="00353919" w:rsidRDefault="00381F65" w:rsidP="00353919">
            <w:pPr>
              <w:pStyle w:val="NoSpacing"/>
              <w:spacing w:line="360" w:lineRule="auto"/>
              <w:ind w:left="720"/>
              <w:jc w:val="both"/>
              <w:rPr>
                <w:rFonts w:ascii="Arial" w:hAnsi="Arial"/>
                <w:kern w:val="0"/>
                <w:sz w:val="24"/>
              </w:rPr>
            </w:pPr>
          </w:p>
        </w:tc>
      </w:tr>
      <w:tr w:rsidR="00381F65" w14:paraId="12719BB9" w14:textId="77777777" w:rsidTr="006E3810">
        <w:tc>
          <w:tcPr>
            <w:tcW w:w="1940" w:type="dxa"/>
          </w:tcPr>
          <w:p w14:paraId="6CDADFA8" w14:textId="77777777" w:rsidR="00381F65" w:rsidRDefault="00381F65" w:rsidP="00980478">
            <w:pPr>
              <w:spacing w:line="360" w:lineRule="auto"/>
              <w:jc w:val="left"/>
            </w:pPr>
          </w:p>
        </w:tc>
        <w:tc>
          <w:tcPr>
            <w:tcW w:w="1746" w:type="dxa"/>
          </w:tcPr>
          <w:p w14:paraId="70881276" w14:textId="77777777" w:rsidR="00381F65" w:rsidRPr="00353919" w:rsidRDefault="00381F65" w:rsidP="00353919">
            <w:pPr>
              <w:pStyle w:val="NoSpacing"/>
              <w:spacing w:line="360" w:lineRule="auto"/>
              <w:ind w:left="720"/>
              <w:jc w:val="both"/>
              <w:rPr>
                <w:rFonts w:ascii="Arial" w:hAnsi="Arial"/>
                <w:kern w:val="0"/>
                <w:sz w:val="24"/>
              </w:rPr>
            </w:pPr>
          </w:p>
        </w:tc>
        <w:tc>
          <w:tcPr>
            <w:tcW w:w="5669" w:type="dxa"/>
          </w:tcPr>
          <w:p w14:paraId="23C33269" w14:textId="7951D49B" w:rsidR="00381F65" w:rsidRPr="00353919" w:rsidRDefault="00381F65" w:rsidP="00C76F0C">
            <w:pPr>
              <w:pStyle w:val="NoSpacing"/>
              <w:tabs>
                <w:tab w:val="left" w:pos="397"/>
              </w:tabs>
              <w:spacing w:line="360" w:lineRule="auto"/>
              <w:jc w:val="both"/>
              <w:rPr>
                <w:rFonts w:ascii="Arial" w:hAnsi="Arial"/>
                <w:kern w:val="0"/>
                <w:sz w:val="24"/>
              </w:rPr>
            </w:pPr>
            <w:r w:rsidRPr="00353919">
              <w:rPr>
                <w:rFonts w:ascii="Arial" w:hAnsi="Arial"/>
                <w:kern w:val="0"/>
                <w:sz w:val="24"/>
              </w:rPr>
              <w:t>«(4)</w:t>
            </w:r>
            <w:r w:rsidR="00C76F0C">
              <w:rPr>
                <w:rFonts w:ascii="Arial" w:hAnsi="Arial"/>
                <w:kern w:val="0"/>
                <w:sz w:val="24"/>
              </w:rPr>
              <w:tab/>
            </w:r>
            <w:r w:rsidRPr="00353919">
              <w:rPr>
                <w:rFonts w:ascii="Arial" w:hAnsi="Arial"/>
                <w:kern w:val="0"/>
                <w:sz w:val="24"/>
              </w:rPr>
              <w:t>Τηρουμένων των διατάξεων του εδαφίου (6), η θητεία του Προέδρου του Συμβουλίου είναι τριετής, με δικαίωμα ανανέωσης για ακόμα μία</w:t>
            </w:r>
            <w:r>
              <w:rPr>
                <w:rFonts w:ascii="Arial" w:hAnsi="Arial"/>
                <w:kern w:val="0"/>
                <w:sz w:val="24"/>
              </w:rPr>
              <w:t xml:space="preserve"> (1)</w:t>
            </w:r>
            <w:r w:rsidRPr="00353919">
              <w:rPr>
                <w:rFonts w:ascii="Arial" w:hAnsi="Arial"/>
                <w:kern w:val="0"/>
                <w:sz w:val="24"/>
              </w:rPr>
              <w:t xml:space="preserve"> θητεία, η δε θητεία των μελών του Συμβουλίου είναι τριετής, με δικαίωμα ανανέωσης για ακόμα δύο </w:t>
            </w:r>
            <w:r>
              <w:rPr>
                <w:rFonts w:ascii="Arial" w:hAnsi="Arial"/>
                <w:kern w:val="0"/>
                <w:sz w:val="24"/>
              </w:rPr>
              <w:t xml:space="preserve">(2) </w:t>
            </w:r>
            <w:r w:rsidRPr="00353919">
              <w:rPr>
                <w:rFonts w:ascii="Arial" w:hAnsi="Arial"/>
                <w:kern w:val="0"/>
                <w:sz w:val="24"/>
              </w:rPr>
              <w:t>θητείες</w:t>
            </w:r>
            <w:r>
              <w:rPr>
                <w:rFonts w:ascii="Arial" w:hAnsi="Arial"/>
                <w:kern w:val="0"/>
                <w:sz w:val="24"/>
              </w:rPr>
              <w:t>:</w:t>
            </w:r>
          </w:p>
        </w:tc>
      </w:tr>
      <w:tr w:rsidR="00381F65" w14:paraId="1F0F7FD0" w14:textId="77777777" w:rsidTr="00381F65">
        <w:tc>
          <w:tcPr>
            <w:tcW w:w="1940" w:type="dxa"/>
          </w:tcPr>
          <w:p w14:paraId="4858EA64" w14:textId="77777777" w:rsidR="00381F65" w:rsidRDefault="00381F65" w:rsidP="00980478">
            <w:pPr>
              <w:spacing w:line="360" w:lineRule="auto"/>
              <w:jc w:val="left"/>
            </w:pPr>
          </w:p>
        </w:tc>
        <w:tc>
          <w:tcPr>
            <w:tcW w:w="1746" w:type="dxa"/>
          </w:tcPr>
          <w:p w14:paraId="1624DACB" w14:textId="77777777" w:rsidR="00381F65" w:rsidRPr="00353919" w:rsidRDefault="00381F65" w:rsidP="00353919">
            <w:pPr>
              <w:pStyle w:val="NoSpacing"/>
              <w:spacing w:line="360" w:lineRule="auto"/>
              <w:ind w:left="720"/>
              <w:jc w:val="both"/>
              <w:rPr>
                <w:rFonts w:ascii="Arial" w:hAnsi="Arial"/>
                <w:kern w:val="0"/>
                <w:sz w:val="24"/>
              </w:rPr>
            </w:pPr>
          </w:p>
        </w:tc>
        <w:tc>
          <w:tcPr>
            <w:tcW w:w="5669" w:type="dxa"/>
          </w:tcPr>
          <w:p w14:paraId="1EEA56C5" w14:textId="77777777" w:rsidR="00381F65" w:rsidRPr="00353919" w:rsidRDefault="00381F65" w:rsidP="00381F65">
            <w:pPr>
              <w:pStyle w:val="NoSpacing"/>
              <w:spacing w:line="360" w:lineRule="auto"/>
              <w:jc w:val="both"/>
              <w:rPr>
                <w:rFonts w:ascii="Arial" w:hAnsi="Arial"/>
                <w:kern w:val="0"/>
                <w:sz w:val="24"/>
              </w:rPr>
            </w:pPr>
          </w:p>
        </w:tc>
      </w:tr>
      <w:tr w:rsidR="00381F65" w14:paraId="06C1AC83" w14:textId="77777777" w:rsidTr="00381F65">
        <w:tc>
          <w:tcPr>
            <w:tcW w:w="1940" w:type="dxa"/>
          </w:tcPr>
          <w:p w14:paraId="2A30CF7C" w14:textId="77777777" w:rsidR="00381F65" w:rsidRDefault="00381F65" w:rsidP="00980478">
            <w:pPr>
              <w:spacing w:line="360" w:lineRule="auto"/>
              <w:jc w:val="left"/>
            </w:pPr>
          </w:p>
        </w:tc>
        <w:tc>
          <w:tcPr>
            <w:tcW w:w="1746" w:type="dxa"/>
          </w:tcPr>
          <w:p w14:paraId="46E9F86E" w14:textId="77777777" w:rsidR="00381F65" w:rsidRDefault="00381F65" w:rsidP="00A52EAB">
            <w:pPr>
              <w:pStyle w:val="NoSpacing"/>
              <w:spacing w:line="360" w:lineRule="auto"/>
              <w:ind w:left="720"/>
              <w:jc w:val="right"/>
              <w:rPr>
                <w:rFonts w:ascii="Arial" w:hAnsi="Arial"/>
                <w:kern w:val="0"/>
                <w:sz w:val="24"/>
              </w:rPr>
            </w:pPr>
          </w:p>
          <w:p w14:paraId="6D0DDA69" w14:textId="77777777" w:rsidR="00A52EAB" w:rsidRDefault="00A52EAB" w:rsidP="00A52EAB">
            <w:pPr>
              <w:pStyle w:val="NoSpacing"/>
              <w:spacing w:line="360" w:lineRule="auto"/>
              <w:ind w:left="720"/>
              <w:jc w:val="right"/>
              <w:rPr>
                <w:rFonts w:ascii="Arial" w:hAnsi="Arial"/>
                <w:kern w:val="0"/>
                <w:sz w:val="24"/>
              </w:rPr>
            </w:pPr>
          </w:p>
          <w:p w14:paraId="2D949B72" w14:textId="2F028FF7" w:rsidR="00A52EAB" w:rsidRPr="00353919" w:rsidRDefault="00A52EAB" w:rsidP="006E3810">
            <w:pPr>
              <w:pStyle w:val="NoSpacing"/>
              <w:spacing w:line="360" w:lineRule="auto"/>
              <w:ind w:left="-65"/>
              <w:jc w:val="right"/>
              <w:rPr>
                <w:rFonts w:ascii="Arial" w:hAnsi="Arial"/>
                <w:kern w:val="0"/>
                <w:sz w:val="24"/>
              </w:rPr>
            </w:pPr>
            <w:r>
              <w:rPr>
                <w:rFonts w:ascii="Arial" w:hAnsi="Arial"/>
                <w:kern w:val="0"/>
                <w:sz w:val="24"/>
              </w:rPr>
              <w:t>…(Ι) του 2023.</w:t>
            </w:r>
          </w:p>
        </w:tc>
        <w:tc>
          <w:tcPr>
            <w:tcW w:w="5669" w:type="dxa"/>
          </w:tcPr>
          <w:p w14:paraId="391C1E42" w14:textId="197F0043" w:rsidR="00381F65" w:rsidRPr="00353919" w:rsidRDefault="00381F65" w:rsidP="00FD5C76">
            <w:pPr>
              <w:pStyle w:val="NoSpacing"/>
              <w:spacing w:line="360" w:lineRule="auto"/>
              <w:ind w:left="38"/>
              <w:jc w:val="both"/>
              <w:rPr>
                <w:rFonts w:ascii="Arial" w:hAnsi="Arial"/>
                <w:kern w:val="0"/>
                <w:sz w:val="24"/>
              </w:rPr>
            </w:pPr>
            <w:r>
              <w:rPr>
                <w:rFonts w:ascii="Arial" w:hAnsi="Arial"/>
                <w:kern w:val="0"/>
                <w:sz w:val="24"/>
              </w:rPr>
              <w:tab/>
            </w:r>
            <w:r w:rsidRPr="00353919">
              <w:rPr>
                <w:rFonts w:ascii="Arial" w:hAnsi="Arial"/>
                <w:kern w:val="0"/>
                <w:sz w:val="24"/>
              </w:rPr>
              <w:t xml:space="preserve">Νοείται ότι, </w:t>
            </w:r>
            <w:r w:rsidR="00701FAC">
              <w:rPr>
                <w:rFonts w:ascii="Arial" w:hAnsi="Arial"/>
                <w:kern w:val="0"/>
                <w:sz w:val="24"/>
              </w:rPr>
              <w:t xml:space="preserve">η </w:t>
            </w:r>
            <w:r w:rsidR="007654C0">
              <w:rPr>
                <w:rFonts w:ascii="Arial" w:hAnsi="Arial"/>
                <w:kern w:val="0"/>
                <w:sz w:val="24"/>
              </w:rPr>
              <w:t>θητεία</w:t>
            </w:r>
            <w:r w:rsidR="00701FAC">
              <w:rPr>
                <w:rFonts w:ascii="Arial" w:hAnsi="Arial"/>
                <w:kern w:val="0"/>
                <w:sz w:val="24"/>
              </w:rPr>
              <w:t xml:space="preserve"> </w:t>
            </w:r>
            <w:r w:rsidR="00A52EAB">
              <w:rPr>
                <w:rFonts w:ascii="Arial" w:hAnsi="Arial"/>
                <w:kern w:val="0"/>
                <w:sz w:val="24"/>
              </w:rPr>
              <w:t>του Προέδρου και των μελών του Συμβουλίου στις θέσεις αυτές</w:t>
            </w:r>
            <w:r w:rsidR="00701FAC">
              <w:rPr>
                <w:rFonts w:ascii="Arial" w:hAnsi="Arial"/>
                <w:kern w:val="0"/>
                <w:sz w:val="24"/>
              </w:rPr>
              <w:t xml:space="preserve"> πριν</w:t>
            </w:r>
            <w:r w:rsidR="00701FAC" w:rsidRPr="00353919">
              <w:rPr>
                <w:rFonts w:ascii="Arial" w:hAnsi="Arial"/>
                <w:kern w:val="0"/>
                <w:sz w:val="24"/>
              </w:rPr>
              <w:t xml:space="preserve"> </w:t>
            </w:r>
            <w:r w:rsidR="00701FAC">
              <w:rPr>
                <w:rFonts w:ascii="Arial" w:hAnsi="Arial"/>
                <w:kern w:val="0"/>
                <w:sz w:val="24"/>
              </w:rPr>
              <w:t xml:space="preserve">από </w:t>
            </w:r>
            <w:r w:rsidRPr="00353919">
              <w:rPr>
                <w:rFonts w:ascii="Arial" w:hAnsi="Arial"/>
                <w:kern w:val="0"/>
                <w:sz w:val="24"/>
              </w:rPr>
              <w:t xml:space="preserve">την </w:t>
            </w:r>
            <w:r w:rsidR="00A52EAB">
              <w:rPr>
                <w:rFonts w:ascii="Arial" w:hAnsi="Arial"/>
                <w:kern w:val="0"/>
                <w:sz w:val="24"/>
              </w:rPr>
              <w:t xml:space="preserve">ημερομηνία </w:t>
            </w:r>
            <w:r w:rsidRPr="00353919">
              <w:rPr>
                <w:rFonts w:ascii="Arial" w:hAnsi="Arial"/>
                <w:kern w:val="0"/>
                <w:sz w:val="24"/>
              </w:rPr>
              <w:t>έναρξη</w:t>
            </w:r>
            <w:r w:rsidR="00A52EAB">
              <w:rPr>
                <w:rFonts w:ascii="Arial" w:hAnsi="Arial"/>
                <w:kern w:val="0"/>
                <w:sz w:val="24"/>
              </w:rPr>
              <w:t>ς</w:t>
            </w:r>
            <w:r w:rsidRPr="00353919">
              <w:rPr>
                <w:rFonts w:ascii="Arial" w:hAnsi="Arial"/>
                <w:kern w:val="0"/>
                <w:sz w:val="24"/>
              </w:rPr>
              <w:t xml:space="preserve"> της ισχύος του περί της Εφαρμογής της Εθνικής Στρατηγικής για την </w:t>
            </w:r>
            <w:r w:rsidRPr="00353919">
              <w:rPr>
                <w:rFonts w:ascii="Arial" w:hAnsi="Arial"/>
                <w:kern w:val="0"/>
                <w:sz w:val="24"/>
              </w:rPr>
              <w:lastRenderedPageBreak/>
              <w:t>Καταπολέμηση της Σεξουαλικής</w:t>
            </w:r>
            <w:r>
              <w:rPr>
                <w:rFonts w:ascii="Arial" w:hAnsi="Arial"/>
                <w:kern w:val="0"/>
                <w:sz w:val="24"/>
              </w:rPr>
              <w:t xml:space="preserve"> </w:t>
            </w:r>
            <w:r w:rsidRPr="00353919">
              <w:rPr>
                <w:rFonts w:ascii="Arial" w:hAnsi="Arial"/>
                <w:kern w:val="0"/>
                <w:sz w:val="24"/>
              </w:rPr>
              <w:t>Κακοποίησης και Εκμετάλλευσης Παιδιών και της Παιδικής Πορνογραφίας (Τροποποιητικού) Νόμου του 2023 συνυπολογίζεται για σκοπούς ανανέωσης ή μη του διορισμού τους.</w:t>
            </w:r>
            <w:r w:rsidR="00A52EAB">
              <w:rPr>
                <w:rFonts w:ascii="Arial" w:hAnsi="Arial"/>
                <w:kern w:val="0"/>
                <w:sz w:val="24"/>
              </w:rPr>
              <w:t>».</w:t>
            </w:r>
          </w:p>
        </w:tc>
      </w:tr>
      <w:tr w:rsidR="00492764" w14:paraId="063B7707" w14:textId="77777777" w:rsidTr="00BF68C3">
        <w:trPr>
          <w:trHeight w:val="347"/>
        </w:trPr>
        <w:tc>
          <w:tcPr>
            <w:tcW w:w="1940" w:type="dxa"/>
          </w:tcPr>
          <w:p w14:paraId="4A8B14C7" w14:textId="77777777" w:rsidR="00492764" w:rsidRDefault="00492764" w:rsidP="00980478">
            <w:pPr>
              <w:spacing w:line="360" w:lineRule="auto"/>
              <w:jc w:val="left"/>
            </w:pPr>
          </w:p>
        </w:tc>
        <w:tc>
          <w:tcPr>
            <w:tcW w:w="7415" w:type="dxa"/>
            <w:gridSpan w:val="2"/>
          </w:tcPr>
          <w:p w14:paraId="1721C97D" w14:textId="77777777" w:rsidR="00E85170" w:rsidRDefault="00E85170" w:rsidP="00381F65">
            <w:pPr>
              <w:pStyle w:val="NoSpacing"/>
              <w:spacing w:line="360" w:lineRule="auto"/>
              <w:ind w:left="720"/>
              <w:jc w:val="both"/>
            </w:pPr>
          </w:p>
        </w:tc>
      </w:tr>
    </w:tbl>
    <w:p w14:paraId="3251FBBB" w14:textId="77777777" w:rsidR="00A67BE9" w:rsidRDefault="00A67BE9" w:rsidP="00B56E2B">
      <w:pPr>
        <w:tabs>
          <w:tab w:val="clear" w:pos="567"/>
          <w:tab w:val="clear" w:pos="4961"/>
        </w:tabs>
        <w:spacing w:line="360" w:lineRule="auto"/>
        <w:jc w:val="left"/>
        <w:rPr>
          <w:b/>
        </w:rPr>
      </w:pPr>
    </w:p>
    <w:p w14:paraId="3DE0960F" w14:textId="6FFAE105" w:rsidR="00EA28F4" w:rsidRDefault="00EA28F4" w:rsidP="003069FD">
      <w:pPr>
        <w:tabs>
          <w:tab w:val="clear" w:pos="567"/>
          <w:tab w:val="clear" w:pos="4961"/>
        </w:tabs>
        <w:spacing w:line="360" w:lineRule="auto"/>
        <w:jc w:val="left"/>
        <w:rPr>
          <w:bCs/>
        </w:rPr>
      </w:pPr>
      <w:proofErr w:type="spellStart"/>
      <w:r>
        <w:rPr>
          <w:bCs/>
        </w:rPr>
        <w:t>Αρ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Φακ</w:t>
      </w:r>
      <w:proofErr w:type="spellEnd"/>
      <w:r>
        <w:rPr>
          <w:bCs/>
        </w:rPr>
        <w:t xml:space="preserve">.:  </w:t>
      </w:r>
      <w:r w:rsidR="00FC457C">
        <w:rPr>
          <w:bCs/>
        </w:rPr>
        <w:t>23.02.064.105-2023</w:t>
      </w:r>
    </w:p>
    <w:p w14:paraId="7A3890BE" w14:textId="59EBCFEF" w:rsidR="00EA28F4" w:rsidRPr="00EA28F4" w:rsidRDefault="00EA28F4" w:rsidP="003069FD">
      <w:pPr>
        <w:tabs>
          <w:tab w:val="clear" w:pos="567"/>
          <w:tab w:val="clear" w:pos="4961"/>
        </w:tabs>
        <w:spacing w:line="360" w:lineRule="auto"/>
        <w:jc w:val="left"/>
        <w:rPr>
          <w:bCs/>
        </w:rPr>
      </w:pPr>
      <w:r>
        <w:rPr>
          <w:bCs/>
        </w:rPr>
        <w:t>Ε</w:t>
      </w:r>
      <w:r w:rsidR="003069FD">
        <w:rPr>
          <w:bCs/>
        </w:rPr>
        <w:t>Σ</w:t>
      </w:r>
      <w:r w:rsidR="0046216A">
        <w:rPr>
          <w:bCs/>
        </w:rPr>
        <w:t>/</w:t>
      </w:r>
      <w:r w:rsidR="00FC457C">
        <w:rPr>
          <w:bCs/>
        </w:rPr>
        <w:t>ΧΧ</w:t>
      </w:r>
    </w:p>
    <w:p w14:paraId="51423258" w14:textId="77777777" w:rsidR="00EA28F4" w:rsidRDefault="00EA28F4" w:rsidP="00B56E2B">
      <w:pPr>
        <w:tabs>
          <w:tab w:val="clear" w:pos="567"/>
          <w:tab w:val="clear" w:pos="4961"/>
        </w:tabs>
        <w:spacing w:line="360" w:lineRule="auto"/>
        <w:jc w:val="left"/>
        <w:rPr>
          <w:b/>
        </w:rPr>
      </w:pPr>
    </w:p>
    <w:sectPr w:rsidR="00EA28F4" w:rsidSect="00530D1C">
      <w:headerReference w:type="default" r:id="rId8"/>
      <w:pgSz w:w="11907" w:h="16840" w:code="9"/>
      <w:pgMar w:top="1418" w:right="1134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790E" w14:textId="77777777" w:rsidR="0023064B" w:rsidRDefault="0023064B" w:rsidP="00070E88">
      <w:pPr>
        <w:spacing w:line="240" w:lineRule="auto"/>
      </w:pPr>
      <w:r>
        <w:separator/>
      </w:r>
    </w:p>
  </w:endnote>
  <w:endnote w:type="continuationSeparator" w:id="0">
    <w:p w14:paraId="012807C2" w14:textId="77777777" w:rsidR="0023064B" w:rsidRDefault="0023064B" w:rsidP="00070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3FB1" w14:textId="77777777" w:rsidR="0023064B" w:rsidRDefault="0023064B" w:rsidP="00070E88">
      <w:pPr>
        <w:spacing w:line="240" w:lineRule="auto"/>
      </w:pPr>
      <w:r>
        <w:separator/>
      </w:r>
    </w:p>
  </w:footnote>
  <w:footnote w:type="continuationSeparator" w:id="0">
    <w:p w14:paraId="61E4D963" w14:textId="77777777" w:rsidR="0023064B" w:rsidRDefault="0023064B" w:rsidP="00070E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A6ED" w14:textId="77777777" w:rsidR="00070E88" w:rsidRDefault="00980478" w:rsidP="0098047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FEE"/>
    <w:multiLevelType w:val="hybridMultilevel"/>
    <w:tmpl w:val="EB246EC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0E60"/>
    <w:multiLevelType w:val="hybridMultilevel"/>
    <w:tmpl w:val="4440AF6A"/>
    <w:lvl w:ilvl="0" w:tplc="7F0C7F20">
      <w:start w:val="1"/>
      <w:numFmt w:val="decimal"/>
      <w:lvlText w:val="%1."/>
      <w:lvlJc w:val="left"/>
      <w:pPr>
        <w:ind w:left="755" w:hanging="360"/>
      </w:pPr>
      <w:rPr>
        <w:rFonts w:ascii="Calibri" w:hAnsi="Calibri" w:cs="Times New Roman" w:hint="default"/>
        <w:b w:val="0"/>
        <w:sz w:val="22"/>
      </w:rPr>
    </w:lvl>
    <w:lvl w:ilvl="1" w:tplc="10000019" w:tentative="1">
      <w:start w:val="1"/>
      <w:numFmt w:val="lowerLetter"/>
      <w:lvlText w:val="%2."/>
      <w:lvlJc w:val="left"/>
      <w:pPr>
        <w:ind w:left="1475" w:hanging="360"/>
      </w:pPr>
    </w:lvl>
    <w:lvl w:ilvl="2" w:tplc="1000001B" w:tentative="1">
      <w:start w:val="1"/>
      <w:numFmt w:val="lowerRoman"/>
      <w:lvlText w:val="%3."/>
      <w:lvlJc w:val="right"/>
      <w:pPr>
        <w:ind w:left="2195" w:hanging="180"/>
      </w:pPr>
    </w:lvl>
    <w:lvl w:ilvl="3" w:tplc="1000000F" w:tentative="1">
      <w:start w:val="1"/>
      <w:numFmt w:val="decimal"/>
      <w:lvlText w:val="%4."/>
      <w:lvlJc w:val="left"/>
      <w:pPr>
        <w:ind w:left="2915" w:hanging="360"/>
      </w:pPr>
    </w:lvl>
    <w:lvl w:ilvl="4" w:tplc="10000019" w:tentative="1">
      <w:start w:val="1"/>
      <w:numFmt w:val="lowerLetter"/>
      <w:lvlText w:val="%5."/>
      <w:lvlJc w:val="left"/>
      <w:pPr>
        <w:ind w:left="3635" w:hanging="360"/>
      </w:pPr>
    </w:lvl>
    <w:lvl w:ilvl="5" w:tplc="1000001B" w:tentative="1">
      <w:start w:val="1"/>
      <w:numFmt w:val="lowerRoman"/>
      <w:lvlText w:val="%6."/>
      <w:lvlJc w:val="right"/>
      <w:pPr>
        <w:ind w:left="4355" w:hanging="180"/>
      </w:pPr>
    </w:lvl>
    <w:lvl w:ilvl="6" w:tplc="1000000F" w:tentative="1">
      <w:start w:val="1"/>
      <w:numFmt w:val="decimal"/>
      <w:lvlText w:val="%7."/>
      <w:lvlJc w:val="left"/>
      <w:pPr>
        <w:ind w:left="5075" w:hanging="360"/>
      </w:pPr>
    </w:lvl>
    <w:lvl w:ilvl="7" w:tplc="10000019" w:tentative="1">
      <w:start w:val="1"/>
      <w:numFmt w:val="lowerLetter"/>
      <w:lvlText w:val="%8."/>
      <w:lvlJc w:val="left"/>
      <w:pPr>
        <w:ind w:left="5795" w:hanging="360"/>
      </w:pPr>
    </w:lvl>
    <w:lvl w:ilvl="8" w:tplc="1000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3CDA2F8C"/>
    <w:multiLevelType w:val="hybridMultilevel"/>
    <w:tmpl w:val="83061C40"/>
    <w:lvl w:ilvl="0" w:tplc="7F0C7F2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29F7"/>
    <w:multiLevelType w:val="hybridMultilevel"/>
    <w:tmpl w:val="7EC0F49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5665"/>
    <w:multiLevelType w:val="hybridMultilevel"/>
    <w:tmpl w:val="1F324CA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07B6"/>
    <w:multiLevelType w:val="hybridMultilevel"/>
    <w:tmpl w:val="28FEEA5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550812">
    <w:abstractNumId w:val="2"/>
  </w:num>
  <w:num w:numId="2" w16cid:durableId="1416054625">
    <w:abstractNumId w:val="1"/>
  </w:num>
  <w:num w:numId="3" w16cid:durableId="431167572">
    <w:abstractNumId w:val="4"/>
  </w:num>
  <w:num w:numId="4" w16cid:durableId="2109277892">
    <w:abstractNumId w:val="3"/>
  </w:num>
  <w:num w:numId="5" w16cid:durableId="1267300767">
    <w:abstractNumId w:val="0"/>
  </w:num>
  <w:num w:numId="6" w16cid:durableId="719093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52"/>
    <w:rsid w:val="00052999"/>
    <w:rsid w:val="000546DB"/>
    <w:rsid w:val="00056034"/>
    <w:rsid w:val="00057D6F"/>
    <w:rsid w:val="00070E88"/>
    <w:rsid w:val="000939AB"/>
    <w:rsid w:val="000B6042"/>
    <w:rsid w:val="000F4FC0"/>
    <w:rsid w:val="00104F9F"/>
    <w:rsid w:val="00117AC0"/>
    <w:rsid w:val="00133B02"/>
    <w:rsid w:val="00142977"/>
    <w:rsid w:val="001442A4"/>
    <w:rsid w:val="00191234"/>
    <w:rsid w:val="001E1B85"/>
    <w:rsid w:val="002002D7"/>
    <w:rsid w:val="00210D58"/>
    <w:rsid w:val="0022162C"/>
    <w:rsid w:val="00225A0B"/>
    <w:rsid w:val="0023064B"/>
    <w:rsid w:val="00233EC6"/>
    <w:rsid w:val="002418AA"/>
    <w:rsid w:val="00266649"/>
    <w:rsid w:val="002C4529"/>
    <w:rsid w:val="002C6218"/>
    <w:rsid w:val="002E2EBF"/>
    <w:rsid w:val="002F627B"/>
    <w:rsid w:val="003069FD"/>
    <w:rsid w:val="00315F33"/>
    <w:rsid w:val="0033253C"/>
    <w:rsid w:val="003441B3"/>
    <w:rsid w:val="00353919"/>
    <w:rsid w:val="00376EDD"/>
    <w:rsid w:val="00381F65"/>
    <w:rsid w:val="003D18C0"/>
    <w:rsid w:val="003E7B66"/>
    <w:rsid w:val="003F0186"/>
    <w:rsid w:val="0040606D"/>
    <w:rsid w:val="0041799A"/>
    <w:rsid w:val="00442265"/>
    <w:rsid w:val="0046216A"/>
    <w:rsid w:val="00470653"/>
    <w:rsid w:val="00471B63"/>
    <w:rsid w:val="004839F7"/>
    <w:rsid w:val="00492764"/>
    <w:rsid w:val="004B5552"/>
    <w:rsid w:val="004E3212"/>
    <w:rsid w:val="004E3C12"/>
    <w:rsid w:val="005053E6"/>
    <w:rsid w:val="005057F2"/>
    <w:rsid w:val="00530D1C"/>
    <w:rsid w:val="00552E45"/>
    <w:rsid w:val="00572175"/>
    <w:rsid w:val="00590A02"/>
    <w:rsid w:val="005A6287"/>
    <w:rsid w:val="005B1DE5"/>
    <w:rsid w:val="005C1A2B"/>
    <w:rsid w:val="005C3A26"/>
    <w:rsid w:val="005D303B"/>
    <w:rsid w:val="00601885"/>
    <w:rsid w:val="006143EB"/>
    <w:rsid w:val="00637BA3"/>
    <w:rsid w:val="00647F91"/>
    <w:rsid w:val="00650F32"/>
    <w:rsid w:val="006D0D3C"/>
    <w:rsid w:val="006D5DC1"/>
    <w:rsid w:val="006E3810"/>
    <w:rsid w:val="00701FAC"/>
    <w:rsid w:val="00707047"/>
    <w:rsid w:val="00714BA0"/>
    <w:rsid w:val="00723313"/>
    <w:rsid w:val="00723F2B"/>
    <w:rsid w:val="00731413"/>
    <w:rsid w:val="007511F4"/>
    <w:rsid w:val="00751950"/>
    <w:rsid w:val="007654C0"/>
    <w:rsid w:val="007714BE"/>
    <w:rsid w:val="007A4CEC"/>
    <w:rsid w:val="007B04B6"/>
    <w:rsid w:val="007B6951"/>
    <w:rsid w:val="007C6D33"/>
    <w:rsid w:val="007E2C29"/>
    <w:rsid w:val="007F2CE5"/>
    <w:rsid w:val="007F3F8D"/>
    <w:rsid w:val="007F6476"/>
    <w:rsid w:val="00873C20"/>
    <w:rsid w:val="00886D7F"/>
    <w:rsid w:val="008D263D"/>
    <w:rsid w:val="008D4627"/>
    <w:rsid w:val="008E2C90"/>
    <w:rsid w:val="008E2CF1"/>
    <w:rsid w:val="008E7133"/>
    <w:rsid w:val="008E7DBA"/>
    <w:rsid w:val="008F2F5D"/>
    <w:rsid w:val="008F5D6C"/>
    <w:rsid w:val="00920BC2"/>
    <w:rsid w:val="0093286E"/>
    <w:rsid w:val="00940E36"/>
    <w:rsid w:val="009475DE"/>
    <w:rsid w:val="00980478"/>
    <w:rsid w:val="009879A8"/>
    <w:rsid w:val="009B3151"/>
    <w:rsid w:val="009D2477"/>
    <w:rsid w:val="009D4773"/>
    <w:rsid w:val="009D76DB"/>
    <w:rsid w:val="009E13A7"/>
    <w:rsid w:val="00A1456F"/>
    <w:rsid w:val="00A2777C"/>
    <w:rsid w:val="00A52EAB"/>
    <w:rsid w:val="00A55DF0"/>
    <w:rsid w:val="00A65B21"/>
    <w:rsid w:val="00A67BE9"/>
    <w:rsid w:val="00A77F6E"/>
    <w:rsid w:val="00A94360"/>
    <w:rsid w:val="00AA7F7F"/>
    <w:rsid w:val="00AB0B16"/>
    <w:rsid w:val="00AB4FB4"/>
    <w:rsid w:val="00B23090"/>
    <w:rsid w:val="00B33B40"/>
    <w:rsid w:val="00B42FDE"/>
    <w:rsid w:val="00B56E2B"/>
    <w:rsid w:val="00B67B01"/>
    <w:rsid w:val="00BB77C3"/>
    <w:rsid w:val="00BC1011"/>
    <w:rsid w:val="00BC2BD2"/>
    <w:rsid w:val="00BC5699"/>
    <w:rsid w:val="00BF68C3"/>
    <w:rsid w:val="00C05EDE"/>
    <w:rsid w:val="00C10CC7"/>
    <w:rsid w:val="00C12680"/>
    <w:rsid w:val="00C31BD2"/>
    <w:rsid w:val="00C40517"/>
    <w:rsid w:val="00C45A99"/>
    <w:rsid w:val="00C57993"/>
    <w:rsid w:val="00C73AEE"/>
    <w:rsid w:val="00C76F0C"/>
    <w:rsid w:val="00C87A34"/>
    <w:rsid w:val="00C95278"/>
    <w:rsid w:val="00CD2F1F"/>
    <w:rsid w:val="00CE0F64"/>
    <w:rsid w:val="00CE3508"/>
    <w:rsid w:val="00D011F9"/>
    <w:rsid w:val="00D13504"/>
    <w:rsid w:val="00D2466F"/>
    <w:rsid w:val="00D60F61"/>
    <w:rsid w:val="00D64309"/>
    <w:rsid w:val="00D87E32"/>
    <w:rsid w:val="00DB34E9"/>
    <w:rsid w:val="00DF52C6"/>
    <w:rsid w:val="00DF574F"/>
    <w:rsid w:val="00E101D8"/>
    <w:rsid w:val="00E335D4"/>
    <w:rsid w:val="00E531A2"/>
    <w:rsid w:val="00E65932"/>
    <w:rsid w:val="00E702BA"/>
    <w:rsid w:val="00E85170"/>
    <w:rsid w:val="00EA28F4"/>
    <w:rsid w:val="00EB12EB"/>
    <w:rsid w:val="00EB4A56"/>
    <w:rsid w:val="00EF4BCE"/>
    <w:rsid w:val="00F03E89"/>
    <w:rsid w:val="00F2632B"/>
    <w:rsid w:val="00F33249"/>
    <w:rsid w:val="00F3679D"/>
    <w:rsid w:val="00F430CC"/>
    <w:rsid w:val="00F51677"/>
    <w:rsid w:val="00F71A7A"/>
    <w:rsid w:val="00FA54F3"/>
    <w:rsid w:val="00FC457C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386A"/>
  <w15:chartTrackingRefBased/>
  <w15:docId w15:val="{6A56D74D-8913-4907-8845-10269244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90"/>
    <w:pPr>
      <w:tabs>
        <w:tab w:val="left" w:pos="567"/>
        <w:tab w:val="left" w:pos="4961"/>
      </w:tabs>
      <w:spacing w:line="480" w:lineRule="auto"/>
      <w:jc w:val="both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E88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70E88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0E88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70E88"/>
    <w:rPr>
      <w:rFonts w:ascii="Arial" w:hAnsi="Arial"/>
      <w:sz w:val="24"/>
      <w:szCs w:val="22"/>
      <w:lang w:eastAsia="en-US"/>
    </w:rPr>
  </w:style>
  <w:style w:type="paragraph" w:styleId="NoSpacing">
    <w:name w:val="No Spacing"/>
    <w:uiPriority w:val="1"/>
    <w:qFormat/>
    <w:rsid w:val="00873C20"/>
    <w:rPr>
      <w:kern w:val="2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53919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1E36-0E5F-4E17-8162-3114361B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Hadjinocolae</dc:creator>
  <cp:keywords/>
  <cp:lastModifiedBy>MANTOVANI</cp:lastModifiedBy>
  <cp:revision>2</cp:revision>
  <cp:lastPrinted>2023-10-16T08:42:00Z</cp:lastPrinted>
  <dcterms:created xsi:type="dcterms:W3CDTF">2023-12-05T11:44:00Z</dcterms:created>
  <dcterms:modified xsi:type="dcterms:W3CDTF">2023-12-05T11:44:00Z</dcterms:modified>
</cp:coreProperties>
</file>