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BC" w14:textId="2F90B466" w:rsidR="009B7BC7" w:rsidRPr="005D4963" w:rsidRDefault="009B7BC7" w:rsidP="00DA3C1B">
      <w:pPr>
        <w:jc w:val="center"/>
        <w:rPr>
          <w:b/>
          <w:lang w:val="el-GR"/>
        </w:rPr>
      </w:pPr>
      <w:r w:rsidRPr="00A73848">
        <w:rPr>
          <w:b/>
          <w:lang w:val="el-GR"/>
        </w:rPr>
        <w:t>Έκθεση της Κοινοβουλευτικής Επιτροπής Προσφύγων-Εγκλωβισμένων-Αγνοουμένων-Παθόντων για τ</w:t>
      </w:r>
      <w:r w:rsidR="004C2955">
        <w:rPr>
          <w:b/>
          <w:lang w:val="el-GR"/>
        </w:rPr>
        <w:t>ο νομοσχέδιο</w:t>
      </w:r>
      <w:r w:rsidRPr="00A73848">
        <w:rPr>
          <w:b/>
          <w:lang w:val="el-GR"/>
        </w:rPr>
        <w:t xml:space="preserve"> «Ο περί </w:t>
      </w:r>
      <w:r w:rsidR="004C2955">
        <w:rPr>
          <w:b/>
          <w:lang w:val="el-GR"/>
        </w:rPr>
        <w:t xml:space="preserve">Συμπληρωματικού Προϋπολογισμού του </w:t>
      </w:r>
      <w:r w:rsidR="00816F36">
        <w:rPr>
          <w:b/>
          <w:lang w:val="el-GR"/>
        </w:rPr>
        <w:t xml:space="preserve">Ταμείου </w:t>
      </w:r>
      <w:r w:rsidR="008E1DF9">
        <w:rPr>
          <w:b/>
          <w:lang w:val="el-GR"/>
        </w:rPr>
        <w:t xml:space="preserve">Τουρκοκυπριακών Περιουσιών </w:t>
      </w:r>
      <w:r>
        <w:rPr>
          <w:b/>
          <w:lang w:val="el-GR"/>
        </w:rPr>
        <w:t>Νόμος</w:t>
      </w:r>
      <w:r w:rsidR="00FD5C4D" w:rsidRPr="00FD5C4D">
        <w:rPr>
          <w:b/>
          <w:lang w:val="el-GR"/>
        </w:rPr>
        <w:t xml:space="preserve"> </w:t>
      </w:r>
      <w:r w:rsidR="00FD5C4D">
        <w:rPr>
          <w:b/>
          <w:lang w:val="el-GR"/>
        </w:rPr>
        <w:t>(Αρ. 1)</w:t>
      </w:r>
      <w:r>
        <w:rPr>
          <w:b/>
          <w:lang w:val="el-GR"/>
        </w:rPr>
        <w:t xml:space="preserve"> του 20</w:t>
      </w:r>
      <w:r w:rsidR="008E1DF9">
        <w:rPr>
          <w:b/>
          <w:lang w:val="el-GR"/>
        </w:rPr>
        <w:t>2</w:t>
      </w:r>
      <w:r w:rsidR="00F84165">
        <w:rPr>
          <w:b/>
          <w:lang w:val="el-GR"/>
        </w:rPr>
        <w:t>3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3F3614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686C0C22" w14:textId="1E3DFA4D" w:rsidR="00816F36" w:rsidRDefault="009B7BC7" w:rsidP="00964625">
      <w:pPr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Νίκος Κέττηρος</w:t>
      </w:r>
      <w:r w:rsidRPr="00A73848">
        <w:rPr>
          <w:lang w:val="el-GR"/>
        </w:rPr>
        <w:t>, πρόεδρος</w:t>
      </w:r>
      <w:r w:rsidR="00C2039A">
        <w:rPr>
          <w:lang w:val="el-GR"/>
        </w:rPr>
        <w:tab/>
      </w:r>
      <w:r w:rsidR="00D15D52">
        <w:rPr>
          <w:lang w:val="el-GR"/>
        </w:rPr>
        <w:t>Ρίτα Θεοδώρου Σούπερμαν</w:t>
      </w:r>
      <w:r w:rsidR="00D15D52">
        <w:rPr>
          <w:lang w:val="el-GR"/>
        </w:rPr>
        <w:t xml:space="preserve"> </w:t>
      </w:r>
    </w:p>
    <w:p w14:paraId="70F054D1" w14:textId="13A90386" w:rsidR="00816F36" w:rsidRDefault="00C2039A" w:rsidP="00C2039A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816F36">
        <w:rPr>
          <w:lang w:val="el-GR"/>
        </w:rPr>
        <w:t>Χρίστος Χριστοφίδης</w:t>
      </w:r>
      <w:r>
        <w:rPr>
          <w:lang w:val="el-GR"/>
        </w:rPr>
        <w:tab/>
      </w:r>
      <w:r w:rsidR="00D15D52" w:rsidRPr="00D15D52">
        <w:rPr>
          <w:lang w:val="el-GR"/>
        </w:rPr>
        <w:t>Χρίστος Σενέκης</w:t>
      </w:r>
      <w:r w:rsidR="00D15D52" w:rsidRPr="00D15D52">
        <w:rPr>
          <w:lang w:val="el-GR"/>
        </w:rPr>
        <w:t xml:space="preserve"> </w:t>
      </w:r>
    </w:p>
    <w:p w14:paraId="2A538BCE" w14:textId="368D09C0" w:rsidR="00816F36" w:rsidRDefault="009B7BC7" w:rsidP="00816F36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816F36">
        <w:rPr>
          <w:lang w:val="el-GR"/>
        </w:rPr>
        <w:t>Χρίστος Χριστόφιας</w:t>
      </w:r>
      <w:r w:rsidRPr="00463E43">
        <w:rPr>
          <w:lang w:val="el-GR"/>
        </w:rPr>
        <w:tab/>
      </w:r>
      <w:r w:rsidR="00D15D52" w:rsidRPr="00D15D52">
        <w:rPr>
          <w:lang w:val="el-GR"/>
        </w:rPr>
        <w:t>Ζαχαρίας Κουλίας</w:t>
      </w:r>
      <w:r w:rsidR="00D15D52" w:rsidRPr="00D15D52">
        <w:rPr>
          <w:lang w:val="el-GR"/>
        </w:rPr>
        <w:t xml:space="preserve"> </w:t>
      </w:r>
    </w:p>
    <w:p w14:paraId="2BCB41C1" w14:textId="3A371443" w:rsidR="008E1DF9" w:rsidRDefault="00964625" w:rsidP="00C2039A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816F36">
        <w:rPr>
          <w:lang w:val="el-GR"/>
        </w:rPr>
        <w:t>Νίκος Γεωργίου</w:t>
      </w:r>
      <w:r>
        <w:rPr>
          <w:lang w:val="el-GR"/>
        </w:rPr>
        <w:tab/>
      </w:r>
      <w:r w:rsidR="00D15D52" w:rsidRPr="00D15D52">
        <w:rPr>
          <w:lang w:val="el-GR"/>
        </w:rPr>
        <w:t>Σωτήρης Ιωάννου</w:t>
      </w:r>
      <w:r w:rsidR="00D15D52" w:rsidRPr="00D15D52">
        <w:rPr>
          <w:lang w:val="el-GR"/>
        </w:rPr>
        <w:t xml:space="preserve"> </w:t>
      </w:r>
    </w:p>
    <w:p w14:paraId="22C18280" w14:textId="6E110E40" w:rsidR="008123AA" w:rsidRPr="009D1E35" w:rsidRDefault="00A66F6F" w:rsidP="003F3614">
      <w:pPr>
        <w:tabs>
          <w:tab w:val="clear" w:pos="4961"/>
          <w:tab w:val="center" w:pos="4677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816F36">
        <w:rPr>
          <w:lang w:val="el-GR"/>
        </w:rPr>
        <w:t>Γιώργος Κάρουλλας</w:t>
      </w:r>
      <w:r w:rsidR="00964625">
        <w:rPr>
          <w:lang w:val="el-GR"/>
        </w:rPr>
        <w:tab/>
      </w:r>
      <w:r w:rsidR="00964625">
        <w:rPr>
          <w:lang w:val="el-GR"/>
        </w:rPr>
        <w:tab/>
      </w:r>
      <w:r w:rsidR="00D15D52" w:rsidRPr="00D15D52">
        <w:rPr>
          <w:lang w:val="el-GR"/>
        </w:rPr>
        <w:t>Μιχάλης Γιακουμή</w:t>
      </w:r>
    </w:p>
    <w:p w14:paraId="59C1B1C8" w14:textId="2E8EF3DD" w:rsidR="009B7BC7" w:rsidRDefault="00D15D52" w:rsidP="00C46860">
      <w:pPr>
        <w:tabs>
          <w:tab w:val="left" w:pos="5149"/>
        </w:tabs>
        <w:rPr>
          <w:lang w:val="el-GR"/>
        </w:rPr>
      </w:pPr>
      <w:r>
        <w:rPr>
          <w:lang w:val="el-GR"/>
        </w:rPr>
        <w:tab/>
      </w:r>
      <w:r w:rsidR="009B7BC7"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 w:rsidR="009B7BC7">
        <w:rPr>
          <w:lang w:val="el-GR"/>
        </w:rPr>
        <w:t xml:space="preserve">μελέτησε </w:t>
      </w:r>
      <w:r w:rsidR="00816F36">
        <w:rPr>
          <w:lang w:val="el-GR"/>
        </w:rPr>
        <w:t>το</w:t>
      </w:r>
      <w:r w:rsidR="009B7BC7">
        <w:rPr>
          <w:lang w:val="el-GR"/>
        </w:rPr>
        <w:t xml:space="preserve"> πιο πάνω </w:t>
      </w:r>
      <w:r w:rsidR="003A3EEF">
        <w:rPr>
          <w:lang w:val="el-GR"/>
        </w:rPr>
        <w:t>ν</w:t>
      </w:r>
      <w:r w:rsidR="00816F36">
        <w:rPr>
          <w:lang w:val="el-GR"/>
        </w:rPr>
        <w:t xml:space="preserve">ομοσχέδιο </w:t>
      </w:r>
      <w:r w:rsidR="009B7BC7">
        <w:rPr>
          <w:lang w:val="el-GR"/>
        </w:rPr>
        <w:t xml:space="preserve">σε </w:t>
      </w:r>
      <w:r w:rsidR="005F0895">
        <w:rPr>
          <w:lang w:val="el-GR"/>
        </w:rPr>
        <w:t xml:space="preserve">δύο </w:t>
      </w:r>
      <w:r w:rsidR="009B7BC7">
        <w:rPr>
          <w:lang w:val="el-GR"/>
        </w:rPr>
        <w:t xml:space="preserve">συνεδρίες </w:t>
      </w:r>
      <w:r w:rsidR="00A15FE1">
        <w:rPr>
          <w:lang w:val="el-GR"/>
        </w:rPr>
        <w:t>της,</w:t>
      </w:r>
      <w:r w:rsidR="009B7BC7">
        <w:rPr>
          <w:lang w:val="el-GR"/>
        </w:rPr>
        <w:t xml:space="preserve"> που πραγματοποιήθηκαν</w:t>
      </w:r>
      <w:r w:rsidR="009B7BC7" w:rsidRPr="00A73848">
        <w:rPr>
          <w:lang w:val="el-GR"/>
        </w:rPr>
        <w:t xml:space="preserve"> στις </w:t>
      </w:r>
      <w:r w:rsidR="00816F36">
        <w:rPr>
          <w:lang w:val="el-GR"/>
        </w:rPr>
        <w:t>4</w:t>
      </w:r>
      <w:r w:rsidR="003A3EEF">
        <w:rPr>
          <w:lang w:val="el-GR"/>
        </w:rPr>
        <w:t xml:space="preserve"> </w:t>
      </w:r>
      <w:r w:rsidR="00816F36">
        <w:rPr>
          <w:lang w:val="el-GR"/>
        </w:rPr>
        <w:t>και 11 Ιουλίου</w:t>
      </w:r>
      <w:r w:rsidR="00F84165">
        <w:rPr>
          <w:lang w:val="el-GR"/>
        </w:rPr>
        <w:t xml:space="preserve"> </w:t>
      </w:r>
      <w:r w:rsidR="008123AA">
        <w:rPr>
          <w:lang w:val="el-GR"/>
        </w:rPr>
        <w:t>202</w:t>
      </w:r>
      <w:r w:rsidR="00F84165">
        <w:rPr>
          <w:lang w:val="el-GR"/>
        </w:rPr>
        <w:t>3</w:t>
      </w:r>
      <w:r w:rsidR="008123AA">
        <w:rPr>
          <w:lang w:val="el-GR"/>
        </w:rPr>
        <w:t xml:space="preserve">.  </w:t>
      </w:r>
      <w:r w:rsidR="009B7BC7">
        <w:rPr>
          <w:lang w:val="el-GR"/>
        </w:rPr>
        <w:t xml:space="preserve">Στην πρώτη συνεδρία της επιτροπής κλήθηκαν και παρευρέθηκαν </w:t>
      </w:r>
      <w:r w:rsidR="004E70B7">
        <w:rPr>
          <w:lang w:val="el-GR"/>
        </w:rPr>
        <w:t>εκπρόσωποι</w:t>
      </w:r>
      <w:r w:rsidR="00DD7971">
        <w:rPr>
          <w:lang w:val="el-GR"/>
        </w:rPr>
        <w:t xml:space="preserve"> της Υπηρεσίας Διαχείρισης</w:t>
      </w:r>
      <w:r w:rsidR="005E60CB">
        <w:rPr>
          <w:lang w:val="el-GR"/>
        </w:rPr>
        <w:t xml:space="preserve"> Τουρκοκυπριακών Περιουσιών </w:t>
      </w:r>
      <w:r w:rsidR="004E70B7">
        <w:rPr>
          <w:lang w:val="el-GR"/>
        </w:rPr>
        <w:t xml:space="preserve">και </w:t>
      </w:r>
      <w:r w:rsidR="008644B9">
        <w:rPr>
          <w:lang w:val="el-GR"/>
        </w:rPr>
        <w:t xml:space="preserve">της </w:t>
      </w:r>
      <w:r w:rsidR="000265A5">
        <w:rPr>
          <w:lang w:val="el-GR"/>
        </w:rPr>
        <w:t>Νομικής Υπηρεσίας της Δημοκρατίας</w:t>
      </w:r>
      <w:r w:rsidR="004E70B7">
        <w:rPr>
          <w:lang w:val="el-GR"/>
        </w:rPr>
        <w:t>.</w:t>
      </w:r>
      <w:r w:rsidR="008644B9">
        <w:rPr>
          <w:lang w:val="el-GR"/>
        </w:rPr>
        <w:t xml:space="preserve"> </w:t>
      </w:r>
    </w:p>
    <w:p w14:paraId="4EABFC42" w14:textId="14403711" w:rsidR="00C46860" w:rsidRPr="00D15D52" w:rsidRDefault="00D27630" w:rsidP="00C46860">
      <w:pPr>
        <w:tabs>
          <w:tab w:val="left" w:pos="5149"/>
        </w:tabs>
        <w:rPr>
          <w:lang w:val="el-GR"/>
        </w:rPr>
      </w:pPr>
      <w:r w:rsidRPr="00D15D52">
        <w:rPr>
          <w:lang w:val="el-GR"/>
        </w:rPr>
        <w:tab/>
      </w:r>
      <w:r w:rsidR="00C46860" w:rsidRPr="00D15D52">
        <w:rPr>
          <w:lang w:val="el-GR"/>
        </w:rPr>
        <w:t xml:space="preserve">Σημειώνεται ότι στο στάδιο της συζήτησης </w:t>
      </w:r>
      <w:r w:rsidR="005326E6" w:rsidRPr="00D15D52">
        <w:rPr>
          <w:lang w:val="el-GR"/>
        </w:rPr>
        <w:t xml:space="preserve">του </w:t>
      </w:r>
      <w:r w:rsidR="00D15D52" w:rsidRPr="00D15D52">
        <w:rPr>
          <w:lang w:val="el-GR"/>
        </w:rPr>
        <w:t>υπό αναφορά</w:t>
      </w:r>
      <w:r w:rsidR="005326E6" w:rsidRPr="00D15D52">
        <w:rPr>
          <w:lang w:val="el-GR"/>
        </w:rPr>
        <w:t xml:space="preserve"> νομοσχεδίου</w:t>
      </w:r>
      <w:r w:rsidR="00C46860" w:rsidRPr="00D15D52">
        <w:rPr>
          <w:lang w:val="el-GR"/>
        </w:rPr>
        <w:t xml:space="preserve"> παρευρέθηκ</w:t>
      </w:r>
      <w:r w:rsidR="005326E6" w:rsidRPr="00D15D52">
        <w:rPr>
          <w:lang w:val="el-GR"/>
        </w:rPr>
        <w:t>ε</w:t>
      </w:r>
      <w:r w:rsidR="00C46860" w:rsidRPr="00D15D52">
        <w:rPr>
          <w:lang w:val="el-GR"/>
        </w:rPr>
        <w:t xml:space="preserve"> επίσης τ</w:t>
      </w:r>
      <w:r w:rsidR="005326E6" w:rsidRPr="00D15D52">
        <w:rPr>
          <w:lang w:val="el-GR"/>
        </w:rPr>
        <w:t xml:space="preserve">ο μέλος </w:t>
      </w:r>
      <w:r w:rsidR="00C46860" w:rsidRPr="00D15D52">
        <w:rPr>
          <w:lang w:val="el-GR"/>
        </w:rPr>
        <w:t>της επιτροπής</w:t>
      </w:r>
      <w:r w:rsidR="004E70B7" w:rsidRPr="00D15D52">
        <w:rPr>
          <w:lang w:val="el-GR"/>
        </w:rPr>
        <w:t xml:space="preserve"> </w:t>
      </w:r>
      <w:r w:rsidR="005326E6" w:rsidRPr="00D15D52">
        <w:rPr>
          <w:lang w:val="el-GR"/>
        </w:rPr>
        <w:t>κ. Κωστής Ευσταθίου.</w:t>
      </w:r>
    </w:p>
    <w:p w14:paraId="112B00D5" w14:textId="4FC0355D" w:rsidR="00B50F7D" w:rsidRPr="00B50F7D" w:rsidRDefault="00DA3C1B" w:rsidP="00964625">
      <w:pPr>
        <w:widowControl w:val="0"/>
        <w:rPr>
          <w:rStyle w:val="3"/>
          <w:b w:val="0"/>
          <w:bCs w:val="0"/>
          <w:u w:val="none"/>
        </w:rPr>
      </w:pPr>
      <w:r>
        <w:rPr>
          <w:lang w:val="el-GR"/>
        </w:rPr>
        <w:tab/>
      </w:r>
      <w:r w:rsidR="00B50F7D" w:rsidRPr="00B50F7D">
        <w:rPr>
          <w:lang w:val="el-GR"/>
        </w:rPr>
        <w:t>Σκοπός τ</w:t>
      </w:r>
      <w:r w:rsidR="004E70B7">
        <w:rPr>
          <w:lang w:val="el-GR"/>
        </w:rPr>
        <w:t>ου</w:t>
      </w:r>
      <w:r w:rsidR="00B50F7D" w:rsidRPr="00B50F7D">
        <w:rPr>
          <w:lang w:val="el-GR"/>
        </w:rPr>
        <w:t xml:space="preserve"> ν</w:t>
      </w:r>
      <w:r w:rsidR="004E70B7">
        <w:rPr>
          <w:lang w:val="el-GR"/>
        </w:rPr>
        <w:t>ομοσχεδίου</w:t>
      </w:r>
      <w:r w:rsidR="00B50F7D" w:rsidRPr="00B50F7D">
        <w:rPr>
          <w:lang w:val="el-GR"/>
        </w:rPr>
        <w:t xml:space="preserve"> είναι η </w:t>
      </w:r>
      <w:r w:rsidR="006741C9">
        <w:rPr>
          <w:lang w:val="el-GR"/>
        </w:rPr>
        <w:t xml:space="preserve">έγκριση πληρωμής από το </w:t>
      </w:r>
      <w:r w:rsidR="00FD5C4D">
        <w:rPr>
          <w:lang w:val="el-GR"/>
        </w:rPr>
        <w:t>Τ</w:t>
      </w:r>
      <w:r w:rsidR="006741C9">
        <w:rPr>
          <w:lang w:val="el-GR"/>
        </w:rPr>
        <w:t xml:space="preserve">αμείο Τουρκοκυπριακών Περιουσιών συμπληρωματικών πιστώσεων ύψους </w:t>
      </w:r>
      <w:r w:rsidR="006741C9">
        <w:rPr>
          <w:rFonts w:cs="Arial"/>
          <w:lang w:val="el-GR"/>
        </w:rPr>
        <w:t>€</w:t>
      </w:r>
      <w:r w:rsidR="006741C9">
        <w:rPr>
          <w:lang w:val="el-GR"/>
        </w:rPr>
        <w:t>345</w:t>
      </w:r>
      <w:r w:rsidR="00FD5C4D">
        <w:rPr>
          <w:lang w:val="el-GR"/>
        </w:rPr>
        <w:t>.</w:t>
      </w:r>
      <w:r w:rsidR="006741C9">
        <w:rPr>
          <w:lang w:val="el-GR"/>
        </w:rPr>
        <w:t>000 προς εκτέλεση απόφασης δικαστηρίου.</w:t>
      </w:r>
    </w:p>
    <w:p w14:paraId="570B850F" w14:textId="422BCE12" w:rsidR="008F6890" w:rsidRDefault="00DA3C1B" w:rsidP="00964625">
      <w:pPr>
        <w:widowControl w:val="0"/>
        <w:rPr>
          <w:lang w:val="el-GR"/>
        </w:rPr>
      </w:pPr>
      <w:r>
        <w:rPr>
          <w:lang w:val="el-GR"/>
        </w:rPr>
        <w:tab/>
      </w:r>
      <w:r w:rsidR="004030F9" w:rsidRPr="003F3614">
        <w:rPr>
          <w:lang w:val="el-GR"/>
        </w:rPr>
        <w:t xml:space="preserve">Σύμφωνα με την </w:t>
      </w:r>
      <w:r w:rsidR="00FD5C4D">
        <w:rPr>
          <w:lang w:val="el-GR"/>
        </w:rPr>
        <w:t>εισηγητική</w:t>
      </w:r>
      <w:r w:rsidR="004030F9" w:rsidRPr="003F3614">
        <w:rPr>
          <w:lang w:val="el-GR"/>
        </w:rPr>
        <w:t xml:space="preserve"> έκθεση που συνοδεύε</w:t>
      </w:r>
      <w:r w:rsidR="006741C9">
        <w:rPr>
          <w:lang w:val="el-GR"/>
        </w:rPr>
        <w:t>ι το νομοσχέδιο</w:t>
      </w:r>
      <w:r w:rsidR="008F6890" w:rsidRPr="003F3614">
        <w:rPr>
          <w:lang w:val="el-GR"/>
        </w:rPr>
        <w:t xml:space="preserve">, </w:t>
      </w:r>
      <w:r w:rsidR="006741C9">
        <w:rPr>
          <w:lang w:val="el-GR"/>
        </w:rPr>
        <w:t xml:space="preserve">το Επαρχιακό </w:t>
      </w:r>
      <w:r w:rsidR="005F0895">
        <w:rPr>
          <w:lang w:val="el-GR"/>
        </w:rPr>
        <w:t>Δ</w:t>
      </w:r>
      <w:r w:rsidR="006741C9">
        <w:rPr>
          <w:lang w:val="el-GR"/>
        </w:rPr>
        <w:t>ικαστήριο Λεμεσού</w:t>
      </w:r>
      <w:r w:rsidR="005F0895">
        <w:rPr>
          <w:lang w:val="el-GR"/>
        </w:rPr>
        <w:t>,</w:t>
      </w:r>
      <w:r w:rsidR="006741C9">
        <w:rPr>
          <w:lang w:val="el-GR"/>
        </w:rPr>
        <w:t xml:space="preserve"> στις 22 Ιουνίου 2022, στα πλαίσια εκδίκασης της αγωγής 5852/</w:t>
      </w:r>
      <w:r w:rsidR="00D12260">
        <w:rPr>
          <w:lang w:val="el-GR"/>
        </w:rPr>
        <w:t xml:space="preserve">13, </w:t>
      </w:r>
      <w:r w:rsidR="00D12260">
        <w:t>Orhan</w:t>
      </w:r>
      <w:r w:rsidR="00D12260" w:rsidRPr="00D12260">
        <w:rPr>
          <w:lang w:val="el-GR"/>
        </w:rPr>
        <w:t xml:space="preserve"> </w:t>
      </w:r>
      <w:r w:rsidR="00D12260">
        <w:t>Hussein</w:t>
      </w:r>
      <w:r w:rsidR="00D12260" w:rsidRPr="00D12260">
        <w:rPr>
          <w:lang w:val="el-GR"/>
        </w:rPr>
        <w:t xml:space="preserve"> </w:t>
      </w:r>
      <w:r w:rsidR="00D12260">
        <w:t>Dervish</w:t>
      </w:r>
      <w:r w:rsidR="00D12260" w:rsidRPr="00D12260">
        <w:rPr>
          <w:lang w:val="el-GR"/>
        </w:rPr>
        <w:t xml:space="preserve"> </w:t>
      </w:r>
      <w:r w:rsidR="00D12260">
        <w:rPr>
          <w:lang w:val="el-GR"/>
        </w:rPr>
        <w:t xml:space="preserve">εναντίον Γενικού Εισαγγελέα </w:t>
      </w:r>
      <w:r w:rsidR="00FD5C4D">
        <w:rPr>
          <w:lang w:val="el-GR"/>
        </w:rPr>
        <w:t xml:space="preserve">της Δημοκρατίας </w:t>
      </w:r>
      <w:r w:rsidR="00D12260">
        <w:rPr>
          <w:lang w:val="el-GR"/>
        </w:rPr>
        <w:t xml:space="preserve">και Υπουργού Εσωτερικών ως Κηδεμόνα Τουρκοκυπριακών Περιουσιών, προχώρησε στην </w:t>
      </w:r>
      <w:r w:rsidR="005F0895">
        <w:rPr>
          <w:lang w:val="el-GR"/>
        </w:rPr>
        <w:t xml:space="preserve">εκ </w:t>
      </w:r>
      <w:r w:rsidR="00D12260">
        <w:rPr>
          <w:lang w:val="el-GR"/>
        </w:rPr>
        <w:t>συμφώνου</w:t>
      </w:r>
      <w:r w:rsidR="004F4640">
        <w:rPr>
          <w:lang w:val="el-GR"/>
        </w:rPr>
        <w:t xml:space="preserve"> </w:t>
      </w:r>
      <w:r w:rsidR="00D12260">
        <w:rPr>
          <w:lang w:val="el-GR"/>
        </w:rPr>
        <w:t>(μεταξύ ενάγοντα και εναγομένων) έκδοση διαταγμάτων</w:t>
      </w:r>
      <w:r w:rsidR="00CB14D8">
        <w:rPr>
          <w:lang w:val="el-GR"/>
        </w:rPr>
        <w:t>,</w:t>
      </w:r>
      <w:r w:rsidR="00D12260">
        <w:rPr>
          <w:lang w:val="el-GR"/>
        </w:rPr>
        <w:t xml:space="preserve"> τα οποία </w:t>
      </w:r>
      <w:r w:rsidR="00D12260">
        <w:rPr>
          <w:lang w:val="el-GR"/>
        </w:rPr>
        <w:lastRenderedPageBreak/>
        <w:t xml:space="preserve">διαλαμβάνουν την αποδέσμευση της περιουσίας του κ. </w:t>
      </w:r>
      <w:r w:rsidR="00D12260">
        <w:t>Orhan</w:t>
      </w:r>
      <w:r w:rsidR="00D12260" w:rsidRPr="00D12260">
        <w:rPr>
          <w:lang w:val="el-GR"/>
        </w:rPr>
        <w:t xml:space="preserve"> </w:t>
      </w:r>
      <w:r w:rsidR="00D12260">
        <w:t>Hussein</w:t>
      </w:r>
      <w:r w:rsidR="00D12260" w:rsidRPr="00D12260">
        <w:rPr>
          <w:lang w:val="el-GR"/>
        </w:rPr>
        <w:t xml:space="preserve"> </w:t>
      </w:r>
      <w:r w:rsidR="00D12260">
        <w:t>Dervish</w:t>
      </w:r>
      <w:r w:rsidR="00D12260">
        <w:rPr>
          <w:lang w:val="el-GR"/>
        </w:rPr>
        <w:t xml:space="preserve"> από τη διαχείριση του Κηδεμόνα Τουρκοκυπριακών Περιουσιών και την απόδοσ</w:t>
      </w:r>
      <w:r w:rsidR="00FD5C4D">
        <w:rPr>
          <w:lang w:val="el-GR"/>
        </w:rPr>
        <w:t>ή</w:t>
      </w:r>
      <w:r w:rsidR="00D12260">
        <w:rPr>
          <w:lang w:val="el-GR"/>
        </w:rPr>
        <w:t xml:space="preserve"> της στον ενάγοντα.</w:t>
      </w:r>
    </w:p>
    <w:p w14:paraId="1906963E" w14:textId="2E3106C3" w:rsidR="00D12260" w:rsidRDefault="00C2039A" w:rsidP="00964625">
      <w:pPr>
        <w:widowControl w:val="0"/>
        <w:rPr>
          <w:lang w:val="el-GR"/>
        </w:rPr>
      </w:pPr>
      <w:r>
        <w:rPr>
          <w:lang w:val="el-GR"/>
        </w:rPr>
        <w:tab/>
      </w:r>
      <w:r w:rsidR="00D12260">
        <w:rPr>
          <w:lang w:val="el-GR"/>
        </w:rPr>
        <w:t>Παράλληλα</w:t>
      </w:r>
      <w:r w:rsidR="005F0895">
        <w:rPr>
          <w:lang w:val="el-GR"/>
        </w:rPr>
        <w:t>,</w:t>
      </w:r>
      <w:r w:rsidR="00D12260">
        <w:rPr>
          <w:lang w:val="el-GR"/>
        </w:rPr>
        <w:t xml:space="preserve"> το </w:t>
      </w:r>
      <w:r w:rsidR="005F0895">
        <w:rPr>
          <w:lang w:val="el-GR"/>
        </w:rPr>
        <w:t>δ</w:t>
      </w:r>
      <w:r w:rsidR="00D12260">
        <w:rPr>
          <w:lang w:val="el-GR"/>
        </w:rPr>
        <w:t xml:space="preserve">ικαστήριο εξέδωσε διάταγμα για την καταβολή αποζημίωσης προς τον ενάγοντα κ. </w:t>
      </w:r>
      <w:r w:rsidR="00D12260">
        <w:t>Orhan</w:t>
      </w:r>
      <w:r w:rsidR="00D12260" w:rsidRPr="00D12260">
        <w:rPr>
          <w:lang w:val="el-GR"/>
        </w:rPr>
        <w:t xml:space="preserve"> </w:t>
      </w:r>
      <w:r w:rsidR="00D12260">
        <w:t>Hussein</w:t>
      </w:r>
      <w:r w:rsidR="00D12260" w:rsidRPr="00D12260">
        <w:rPr>
          <w:lang w:val="el-GR"/>
        </w:rPr>
        <w:t xml:space="preserve"> </w:t>
      </w:r>
      <w:r w:rsidR="00D12260">
        <w:t>Dervish</w:t>
      </w:r>
      <w:r w:rsidR="00D12260">
        <w:rPr>
          <w:lang w:val="el-GR"/>
        </w:rPr>
        <w:t xml:space="preserve"> </w:t>
      </w:r>
      <w:r w:rsidR="005F0895">
        <w:rPr>
          <w:lang w:val="el-GR"/>
        </w:rPr>
        <w:t>ύψους</w:t>
      </w:r>
      <w:r w:rsidR="00D12260">
        <w:rPr>
          <w:lang w:val="el-GR"/>
        </w:rPr>
        <w:t xml:space="preserve"> </w:t>
      </w:r>
      <w:r w:rsidR="00D12260">
        <w:rPr>
          <w:rFonts w:cs="Arial"/>
          <w:lang w:val="el-GR"/>
        </w:rPr>
        <w:t>€</w:t>
      </w:r>
      <w:r w:rsidR="00D12260">
        <w:rPr>
          <w:lang w:val="el-GR"/>
        </w:rPr>
        <w:t>310</w:t>
      </w:r>
      <w:r w:rsidR="00FD5C4D">
        <w:rPr>
          <w:lang w:val="el-GR"/>
        </w:rPr>
        <w:t>.</w:t>
      </w:r>
      <w:r w:rsidR="00D12260">
        <w:rPr>
          <w:lang w:val="el-GR"/>
        </w:rPr>
        <w:t>000</w:t>
      </w:r>
      <w:r w:rsidR="005F0895">
        <w:rPr>
          <w:lang w:val="el-GR"/>
        </w:rPr>
        <w:t>,</w:t>
      </w:r>
      <w:r w:rsidR="00D12260">
        <w:rPr>
          <w:lang w:val="el-GR"/>
        </w:rPr>
        <w:t xml:space="preserve"> με νόμιμο τόκο προς 2% ετησίως επ’ αυτού από τις 22 Ιουνίου 2022 μέχρι εξοφλήσεως, καθώς και </w:t>
      </w:r>
      <w:r w:rsidR="00D15D52">
        <w:rPr>
          <w:lang w:val="el-GR"/>
        </w:rPr>
        <w:t xml:space="preserve">για </w:t>
      </w:r>
      <w:r w:rsidR="00D12260">
        <w:rPr>
          <w:lang w:val="el-GR"/>
        </w:rPr>
        <w:t>την πληρωμή των εξόδων της αγωγής</w:t>
      </w:r>
      <w:r w:rsidR="005F0895">
        <w:rPr>
          <w:lang w:val="el-GR"/>
        </w:rPr>
        <w:t>,</w:t>
      </w:r>
      <w:r w:rsidR="00D12260">
        <w:rPr>
          <w:lang w:val="el-GR"/>
        </w:rPr>
        <w:t xml:space="preserve"> τα οποία υπολογίστηκαν </w:t>
      </w:r>
      <w:r w:rsidR="005F0895">
        <w:rPr>
          <w:lang w:val="el-GR"/>
        </w:rPr>
        <w:t>στις</w:t>
      </w:r>
      <w:r w:rsidR="00D12260">
        <w:rPr>
          <w:lang w:val="el-GR"/>
        </w:rPr>
        <w:t xml:space="preserve"> </w:t>
      </w:r>
      <w:r w:rsidR="00D12260">
        <w:rPr>
          <w:rFonts w:cs="Arial"/>
          <w:lang w:val="el-GR"/>
        </w:rPr>
        <w:t>€</w:t>
      </w:r>
      <w:r w:rsidR="00D12260">
        <w:rPr>
          <w:lang w:val="el-GR"/>
        </w:rPr>
        <w:t>20</w:t>
      </w:r>
      <w:r w:rsidR="00FD5C4D">
        <w:rPr>
          <w:lang w:val="el-GR"/>
        </w:rPr>
        <w:t>.</w:t>
      </w:r>
      <w:r w:rsidR="00D12260">
        <w:rPr>
          <w:lang w:val="el-GR"/>
        </w:rPr>
        <w:t>110.</w:t>
      </w:r>
    </w:p>
    <w:p w14:paraId="6D04E398" w14:textId="258D6C92" w:rsidR="004F4640" w:rsidRDefault="00DA3C1B" w:rsidP="004F4640">
      <w:pPr>
        <w:widowControl w:val="0"/>
        <w:rPr>
          <w:lang w:val="el-GR"/>
        </w:rPr>
      </w:pPr>
      <w:r>
        <w:rPr>
          <w:lang w:val="el-GR"/>
        </w:rPr>
        <w:tab/>
      </w:r>
      <w:r w:rsidR="00B50F7D">
        <w:rPr>
          <w:lang w:val="el-GR"/>
        </w:rPr>
        <w:t>Επιπρόσθετα</w:t>
      </w:r>
      <w:r w:rsidR="00530B76">
        <w:rPr>
          <w:lang w:val="el-GR"/>
        </w:rPr>
        <w:t>,</w:t>
      </w:r>
      <w:r w:rsidR="00B50F7D">
        <w:rPr>
          <w:lang w:val="el-GR"/>
        </w:rPr>
        <w:t xml:space="preserve"> </w:t>
      </w:r>
      <w:r w:rsidR="004F4640">
        <w:rPr>
          <w:lang w:val="el-GR"/>
        </w:rPr>
        <w:t>για</w:t>
      </w:r>
      <w:r w:rsidR="00B50F7D">
        <w:rPr>
          <w:lang w:val="el-GR"/>
        </w:rPr>
        <w:t xml:space="preserve"> την </w:t>
      </w:r>
      <w:r w:rsidR="004F4640">
        <w:rPr>
          <w:lang w:val="el-GR"/>
        </w:rPr>
        <w:t>ε</w:t>
      </w:r>
      <w:r w:rsidR="005F0895">
        <w:rPr>
          <w:lang w:val="el-GR"/>
        </w:rPr>
        <w:t>κ</w:t>
      </w:r>
      <w:r w:rsidR="004F4640">
        <w:rPr>
          <w:lang w:val="el-GR"/>
        </w:rPr>
        <w:t xml:space="preserve"> συμφώνου διευθέτηση της υπόθεσης με τους πιο πάνω όρους ο Κηδεμόνας Τουρκοκυπριακών Περιουσιών είχε λάβει υπόψη τις απόψεις του Γενικού Εισαγγελέα</w:t>
      </w:r>
      <w:r w:rsidR="00FD5C4D">
        <w:rPr>
          <w:lang w:val="el-GR"/>
        </w:rPr>
        <w:t xml:space="preserve"> της Δημοκρατίας</w:t>
      </w:r>
      <w:r w:rsidR="004F4640">
        <w:rPr>
          <w:lang w:val="el-GR"/>
        </w:rPr>
        <w:t xml:space="preserve"> και ειδικότερα το γεγονός ότι ο ενάγ</w:t>
      </w:r>
      <w:r w:rsidR="005F0895">
        <w:rPr>
          <w:lang w:val="el-GR"/>
        </w:rPr>
        <w:t>ων</w:t>
      </w:r>
      <w:r w:rsidR="004F4640">
        <w:rPr>
          <w:lang w:val="el-GR"/>
        </w:rPr>
        <w:t xml:space="preserve"> ουδέποτε </w:t>
      </w:r>
      <w:r w:rsidR="00387005">
        <w:rPr>
          <w:lang w:val="el-GR"/>
        </w:rPr>
        <w:t xml:space="preserve">πολιτογραφήθηκε ως Κύπριος πολίτης. </w:t>
      </w:r>
      <w:r w:rsidR="00CB14D8">
        <w:rPr>
          <w:lang w:val="el-GR"/>
        </w:rPr>
        <w:t xml:space="preserve"> </w:t>
      </w:r>
      <w:r w:rsidR="00387005">
        <w:rPr>
          <w:lang w:val="el-GR"/>
        </w:rPr>
        <w:t xml:space="preserve">Βάσει του πιο πάνω γεγονότος, </w:t>
      </w:r>
      <w:r w:rsidR="008402A9">
        <w:rPr>
          <w:lang w:val="el-GR"/>
        </w:rPr>
        <w:t xml:space="preserve">η </w:t>
      </w:r>
      <w:r w:rsidR="00387005">
        <w:rPr>
          <w:lang w:val="el-GR"/>
        </w:rPr>
        <w:t xml:space="preserve">περιουσία του κ. </w:t>
      </w:r>
      <w:r w:rsidR="00387005">
        <w:t>Orhan</w:t>
      </w:r>
      <w:r w:rsidR="00387005" w:rsidRPr="00387005">
        <w:rPr>
          <w:lang w:val="el-GR"/>
        </w:rPr>
        <w:t xml:space="preserve"> </w:t>
      </w:r>
      <w:r w:rsidR="00387005">
        <w:t>Hussein</w:t>
      </w:r>
      <w:r w:rsidR="00387005" w:rsidRPr="00387005">
        <w:rPr>
          <w:lang w:val="el-GR"/>
        </w:rPr>
        <w:t xml:space="preserve"> </w:t>
      </w:r>
      <w:r w:rsidR="00387005">
        <w:t>Dervish</w:t>
      </w:r>
      <w:r w:rsidR="005F0895">
        <w:rPr>
          <w:lang w:val="el-GR"/>
        </w:rPr>
        <w:t>,</w:t>
      </w:r>
      <w:r w:rsidR="00387005" w:rsidRPr="00387005">
        <w:rPr>
          <w:lang w:val="el-GR"/>
        </w:rPr>
        <w:t xml:space="preserve"> </w:t>
      </w:r>
      <w:r w:rsidR="00387005">
        <w:rPr>
          <w:lang w:val="el-GR"/>
        </w:rPr>
        <w:t>η</w:t>
      </w:r>
      <w:r w:rsidR="00387005" w:rsidRPr="00387005">
        <w:rPr>
          <w:lang w:val="el-GR"/>
        </w:rPr>
        <w:t xml:space="preserve"> </w:t>
      </w:r>
      <w:r w:rsidR="00387005">
        <w:rPr>
          <w:lang w:val="el-GR"/>
        </w:rPr>
        <w:t>οποία</w:t>
      </w:r>
      <w:r w:rsidR="00387005" w:rsidRPr="00387005">
        <w:rPr>
          <w:lang w:val="el-GR"/>
        </w:rPr>
        <w:t xml:space="preserve"> </w:t>
      </w:r>
      <w:r w:rsidR="00387005">
        <w:rPr>
          <w:lang w:val="el-GR"/>
        </w:rPr>
        <w:t>βρίσκεται στη Λεμεσό, δεν εμπίπτει στον όρο «τουρκοκυπριακή περιουσία» όπως αυτός αποδίδεται στον περί Τουρκοκυπριακών Περιουσιών (Διαχείριση και Άλλα Θέματα) (Προσωρινές Διατάξεις) Νόμο του</w:t>
      </w:r>
      <w:r w:rsidR="00806B0D">
        <w:rPr>
          <w:lang w:val="el-GR"/>
        </w:rPr>
        <w:t xml:space="preserve"> </w:t>
      </w:r>
      <w:r w:rsidR="00387005">
        <w:rPr>
          <w:lang w:val="el-GR"/>
        </w:rPr>
        <w:t>1991 και ως εκ τούτου δεν τυγχάνουν εφαρμογής οι πρόνοι</w:t>
      </w:r>
      <w:r w:rsidR="00FD5C4D">
        <w:rPr>
          <w:lang w:val="el-GR"/>
        </w:rPr>
        <w:t>έ</w:t>
      </w:r>
      <w:r w:rsidR="00387005">
        <w:rPr>
          <w:lang w:val="el-GR"/>
        </w:rPr>
        <w:t>ς του.</w:t>
      </w:r>
    </w:p>
    <w:p w14:paraId="0A26D5F8" w14:textId="6AC0D014" w:rsidR="008402A9" w:rsidRPr="00387005" w:rsidRDefault="00C2039A" w:rsidP="004F4640">
      <w:pPr>
        <w:widowControl w:val="0"/>
        <w:rPr>
          <w:lang w:val="el-GR"/>
        </w:rPr>
      </w:pPr>
      <w:r>
        <w:rPr>
          <w:lang w:val="el-GR"/>
        </w:rPr>
        <w:tab/>
      </w:r>
      <w:r w:rsidR="008402A9">
        <w:rPr>
          <w:lang w:val="el-GR"/>
        </w:rPr>
        <w:t>Επίσης</w:t>
      </w:r>
      <w:r w:rsidR="00FD5C4D">
        <w:rPr>
          <w:lang w:val="el-GR"/>
        </w:rPr>
        <w:t>,</w:t>
      </w:r>
      <w:r w:rsidR="008402A9">
        <w:rPr>
          <w:lang w:val="el-GR"/>
        </w:rPr>
        <w:t xml:space="preserve"> σε ό</w:t>
      </w:r>
      <w:r w:rsidR="005F0895">
        <w:rPr>
          <w:lang w:val="el-GR"/>
        </w:rPr>
        <w:t>,</w:t>
      </w:r>
      <w:r w:rsidR="008402A9">
        <w:rPr>
          <w:lang w:val="el-GR"/>
        </w:rPr>
        <w:t xml:space="preserve">τι αφορά τον καθορισμό της συμφωνηθείσας αποζημίωσης, λήφθηκαν υπόψη οι εκτιμήσεις της ενοικιαστικής αξίας του ακινήτου που πραγματοποίησε το </w:t>
      </w:r>
      <w:r w:rsidR="005F0895">
        <w:rPr>
          <w:lang w:val="el-GR"/>
        </w:rPr>
        <w:t>Τ</w:t>
      </w:r>
      <w:r w:rsidR="008402A9">
        <w:rPr>
          <w:lang w:val="el-GR"/>
        </w:rPr>
        <w:t xml:space="preserve">μήμα Κτηματολογίου και Χωρομετρίας, καθώς και τα εισπραττόμενα ενοίκια που καταβάλλονταν από μισθωτές της περιουσίας προς το </w:t>
      </w:r>
      <w:r w:rsidR="00CB14D8" w:rsidRPr="00CB14D8">
        <w:rPr>
          <w:lang w:val="el-GR"/>
        </w:rPr>
        <w:t>Ταμείο Τουρκοκυπριακών Περιουσιών</w:t>
      </w:r>
      <w:r w:rsidR="008402A9">
        <w:rPr>
          <w:lang w:val="el-GR"/>
        </w:rPr>
        <w:t xml:space="preserve"> για την περίοδο που η περιουσία τελούσε υπό κηδεμονία.</w:t>
      </w:r>
    </w:p>
    <w:p w14:paraId="71D98114" w14:textId="452043F3" w:rsidR="00E04E2F" w:rsidRDefault="009B7BC7" w:rsidP="00464DB6">
      <w:pPr>
        <w:tabs>
          <w:tab w:val="left" w:pos="8222"/>
        </w:tabs>
        <w:rPr>
          <w:lang w:val="el-GR"/>
        </w:rPr>
      </w:pPr>
      <w:r w:rsidRPr="00387005">
        <w:rPr>
          <w:lang w:val="el-GR"/>
        </w:rPr>
        <w:tab/>
      </w:r>
      <w:r>
        <w:rPr>
          <w:lang w:val="el-GR"/>
        </w:rPr>
        <w:t xml:space="preserve">Κατά τη συζήτηση του θέματος </w:t>
      </w:r>
      <w:r w:rsidR="007E45C4">
        <w:rPr>
          <w:lang w:val="el-GR"/>
        </w:rPr>
        <w:t xml:space="preserve">ο </w:t>
      </w:r>
      <w:r w:rsidR="005E134D">
        <w:rPr>
          <w:lang w:val="el-GR"/>
        </w:rPr>
        <w:t>εκπρόσωπος</w:t>
      </w:r>
      <w:r w:rsidR="007E45C4">
        <w:rPr>
          <w:lang w:val="el-GR"/>
        </w:rPr>
        <w:t xml:space="preserve"> της Υπηρεσίας Διαχείρισης Τουρκοκυπριακών Περιουσιών δήλωσε ότι </w:t>
      </w:r>
      <w:r w:rsidR="00066972">
        <w:rPr>
          <w:lang w:val="el-GR"/>
        </w:rPr>
        <w:t xml:space="preserve">με βάση τα πιο πάνω και για την κάλυψη της ανάγκης καταβολής της </w:t>
      </w:r>
      <w:r w:rsidR="007B2945">
        <w:rPr>
          <w:lang w:val="el-GR"/>
        </w:rPr>
        <w:t xml:space="preserve">συνολικής </w:t>
      </w:r>
      <w:r w:rsidR="00066972">
        <w:rPr>
          <w:lang w:val="el-GR"/>
        </w:rPr>
        <w:t xml:space="preserve">αποζημίωσης που συμφωνήθηκε από το δικαστήριο ύψους </w:t>
      </w:r>
      <w:r w:rsidR="00066972">
        <w:rPr>
          <w:rFonts w:cs="Arial"/>
          <w:lang w:val="el-GR"/>
        </w:rPr>
        <w:t>€</w:t>
      </w:r>
      <w:r w:rsidR="00066972">
        <w:rPr>
          <w:lang w:val="el-GR"/>
        </w:rPr>
        <w:t>318</w:t>
      </w:r>
      <w:r w:rsidR="00FD5C4D">
        <w:rPr>
          <w:lang w:val="el-GR"/>
        </w:rPr>
        <w:t>.</w:t>
      </w:r>
      <w:r w:rsidR="00066972">
        <w:rPr>
          <w:lang w:val="el-GR"/>
        </w:rPr>
        <w:t xml:space="preserve">700, </w:t>
      </w:r>
      <w:r w:rsidR="009D20CE">
        <w:rPr>
          <w:lang w:val="el-GR"/>
        </w:rPr>
        <w:t>ποσό το</w:t>
      </w:r>
      <w:r w:rsidR="00066972">
        <w:rPr>
          <w:lang w:val="el-GR"/>
        </w:rPr>
        <w:t xml:space="preserve"> οποί</w:t>
      </w:r>
      <w:r w:rsidR="009D20CE">
        <w:rPr>
          <w:lang w:val="el-GR"/>
        </w:rPr>
        <w:t>ο</w:t>
      </w:r>
      <w:r w:rsidR="00066972">
        <w:rPr>
          <w:lang w:val="el-GR"/>
        </w:rPr>
        <w:t xml:space="preserve"> περιλαμβάν</w:t>
      </w:r>
      <w:r w:rsidR="009D20CE">
        <w:rPr>
          <w:lang w:val="el-GR"/>
        </w:rPr>
        <w:t>ει</w:t>
      </w:r>
      <w:r w:rsidR="00066972">
        <w:rPr>
          <w:lang w:val="el-GR"/>
        </w:rPr>
        <w:t xml:space="preserve"> </w:t>
      </w:r>
      <w:r w:rsidR="007B2945">
        <w:rPr>
          <w:lang w:val="el-GR"/>
        </w:rPr>
        <w:t>την</w:t>
      </w:r>
      <w:r w:rsidR="00066972">
        <w:rPr>
          <w:lang w:val="el-GR"/>
        </w:rPr>
        <w:t xml:space="preserve"> αποζημίωση</w:t>
      </w:r>
      <w:r w:rsidR="005F0895">
        <w:rPr>
          <w:lang w:val="el-GR"/>
        </w:rPr>
        <w:t xml:space="preserve"> </w:t>
      </w:r>
      <w:r w:rsidR="005F0895" w:rsidRPr="005F0895">
        <w:rPr>
          <w:lang w:val="el-GR"/>
        </w:rPr>
        <w:t>ύψους</w:t>
      </w:r>
      <w:r w:rsidR="00066972">
        <w:rPr>
          <w:lang w:val="el-GR"/>
        </w:rPr>
        <w:t xml:space="preserve"> </w:t>
      </w:r>
      <w:r w:rsidR="00066972">
        <w:rPr>
          <w:rFonts w:cs="Arial"/>
          <w:lang w:val="el-GR"/>
        </w:rPr>
        <w:t>€</w:t>
      </w:r>
      <w:r w:rsidR="00066972">
        <w:rPr>
          <w:lang w:val="el-GR"/>
        </w:rPr>
        <w:t>310</w:t>
      </w:r>
      <w:r w:rsidR="00FD5C4D">
        <w:rPr>
          <w:lang w:val="el-GR"/>
        </w:rPr>
        <w:t>.</w:t>
      </w:r>
      <w:r w:rsidR="00066972">
        <w:rPr>
          <w:lang w:val="el-GR"/>
        </w:rPr>
        <w:t xml:space="preserve">000, τους τόκους </w:t>
      </w:r>
      <w:r w:rsidR="005F0895" w:rsidRPr="005F0895">
        <w:rPr>
          <w:lang w:val="el-GR"/>
        </w:rPr>
        <w:t xml:space="preserve">ύψους </w:t>
      </w:r>
      <w:r w:rsidR="00066972">
        <w:rPr>
          <w:rFonts w:cs="Arial"/>
          <w:lang w:val="el-GR"/>
        </w:rPr>
        <w:t>€</w:t>
      </w:r>
      <w:r w:rsidR="00066972">
        <w:rPr>
          <w:lang w:val="el-GR"/>
        </w:rPr>
        <w:t>6</w:t>
      </w:r>
      <w:r w:rsidR="00FD5C4D">
        <w:rPr>
          <w:lang w:val="el-GR"/>
        </w:rPr>
        <w:t>.</w:t>
      </w:r>
      <w:r w:rsidR="00066972">
        <w:rPr>
          <w:lang w:val="el-GR"/>
        </w:rPr>
        <w:t xml:space="preserve">200 μέχρι σήμερα, το ποσό των </w:t>
      </w:r>
      <w:r w:rsidR="00066972">
        <w:rPr>
          <w:rFonts w:cs="Arial"/>
          <w:lang w:val="el-GR"/>
        </w:rPr>
        <w:t>€</w:t>
      </w:r>
      <w:r w:rsidR="00066972">
        <w:rPr>
          <w:lang w:val="el-GR"/>
        </w:rPr>
        <w:t xml:space="preserve">104 για τα έξοδα εκδόσεως της </w:t>
      </w:r>
      <w:r w:rsidR="00066972">
        <w:rPr>
          <w:lang w:val="el-GR"/>
        </w:rPr>
        <w:lastRenderedPageBreak/>
        <w:t xml:space="preserve">απόφασης και το ποσό των </w:t>
      </w:r>
      <w:r w:rsidR="00066972">
        <w:rPr>
          <w:rFonts w:cs="Arial"/>
          <w:lang w:val="el-GR"/>
        </w:rPr>
        <w:t>€</w:t>
      </w:r>
      <w:r w:rsidR="00066972">
        <w:rPr>
          <w:lang w:val="el-GR"/>
        </w:rPr>
        <w:t>2</w:t>
      </w:r>
      <w:r w:rsidR="00FD5C4D">
        <w:rPr>
          <w:lang w:val="el-GR"/>
        </w:rPr>
        <w:t>.</w:t>
      </w:r>
      <w:r w:rsidR="00066972">
        <w:rPr>
          <w:lang w:val="el-GR"/>
        </w:rPr>
        <w:t>380 ως εκτιμητικ</w:t>
      </w:r>
      <w:r w:rsidR="005F0895">
        <w:rPr>
          <w:lang w:val="el-GR"/>
        </w:rPr>
        <w:t>ών</w:t>
      </w:r>
      <w:r w:rsidR="00066972">
        <w:rPr>
          <w:lang w:val="el-GR"/>
        </w:rPr>
        <w:t xml:space="preserve"> </w:t>
      </w:r>
      <w:r w:rsidR="005F0895">
        <w:rPr>
          <w:lang w:val="el-GR"/>
        </w:rPr>
        <w:t>ε</w:t>
      </w:r>
      <w:r w:rsidR="00066972">
        <w:rPr>
          <w:lang w:val="el-GR"/>
        </w:rPr>
        <w:t>ξ</w:t>
      </w:r>
      <w:r w:rsidR="005F0895">
        <w:rPr>
          <w:lang w:val="el-GR"/>
        </w:rPr>
        <w:t>ό</w:t>
      </w:r>
      <w:r w:rsidR="00066972">
        <w:rPr>
          <w:lang w:val="el-GR"/>
        </w:rPr>
        <w:t>δ</w:t>
      </w:r>
      <w:r w:rsidR="005F0895">
        <w:rPr>
          <w:lang w:val="el-GR"/>
        </w:rPr>
        <w:t>ων</w:t>
      </w:r>
      <w:r w:rsidR="00CB14D8">
        <w:rPr>
          <w:lang w:val="el-GR"/>
        </w:rPr>
        <w:t>,</w:t>
      </w:r>
      <w:r w:rsidR="00066972">
        <w:rPr>
          <w:lang w:val="el-GR"/>
        </w:rPr>
        <w:t xml:space="preserve"> </w:t>
      </w:r>
      <w:r w:rsidR="007B2945">
        <w:rPr>
          <w:lang w:val="el-GR"/>
        </w:rPr>
        <w:t xml:space="preserve">καθώς </w:t>
      </w:r>
      <w:r w:rsidR="00066972">
        <w:rPr>
          <w:lang w:val="el-GR"/>
        </w:rPr>
        <w:t xml:space="preserve">και </w:t>
      </w:r>
      <w:r w:rsidR="00E04E0E" w:rsidRPr="00E04E0E">
        <w:rPr>
          <w:lang w:val="el-GR"/>
        </w:rPr>
        <w:t>της ανάγκης</w:t>
      </w:r>
      <w:r w:rsidR="00E04E0E" w:rsidRPr="00E04E0E">
        <w:rPr>
          <w:lang w:val="el-GR"/>
        </w:rPr>
        <w:t xml:space="preserve"> </w:t>
      </w:r>
      <w:r w:rsidR="007B2945">
        <w:rPr>
          <w:lang w:val="el-GR"/>
        </w:rPr>
        <w:t>καταβολής ποσού ύψους</w:t>
      </w:r>
      <w:r w:rsidR="00066972">
        <w:rPr>
          <w:lang w:val="el-GR"/>
        </w:rPr>
        <w:t xml:space="preserve"> </w:t>
      </w:r>
      <w:r w:rsidR="00066972">
        <w:rPr>
          <w:rFonts w:cs="Arial"/>
          <w:lang w:val="el-GR"/>
        </w:rPr>
        <w:t>€</w:t>
      </w:r>
      <w:r w:rsidR="00066972">
        <w:rPr>
          <w:lang w:val="el-GR"/>
        </w:rPr>
        <w:t>20</w:t>
      </w:r>
      <w:r w:rsidR="00FD5C4D">
        <w:rPr>
          <w:lang w:val="el-GR"/>
        </w:rPr>
        <w:t>.</w:t>
      </w:r>
      <w:r w:rsidR="00066972">
        <w:rPr>
          <w:lang w:val="el-GR"/>
        </w:rPr>
        <w:t xml:space="preserve">110 για δικηγορικά έξοδα και </w:t>
      </w:r>
      <w:r w:rsidR="00D15D52">
        <w:rPr>
          <w:lang w:val="el-GR"/>
        </w:rPr>
        <w:t xml:space="preserve">ποσού </w:t>
      </w:r>
      <w:r w:rsidR="007B2945">
        <w:rPr>
          <w:lang w:val="el-GR"/>
        </w:rPr>
        <w:t xml:space="preserve">ύψους </w:t>
      </w:r>
      <w:r w:rsidR="00066972">
        <w:rPr>
          <w:rFonts w:cs="Arial"/>
          <w:lang w:val="el-GR"/>
        </w:rPr>
        <w:t>€</w:t>
      </w:r>
      <w:r w:rsidR="00066972">
        <w:rPr>
          <w:lang w:val="el-GR"/>
        </w:rPr>
        <w:t>10</w:t>
      </w:r>
      <w:r w:rsidR="00FD5C4D">
        <w:rPr>
          <w:lang w:val="el-GR"/>
        </w:rPr>
        <w:t>.</w:t>
      </w:r>
      <w:r w:rsidR="00066972">
        <w:rPr>
          <w:lang w:val="el-GR"/>
        </w:rPr>
        <w:t xml:space="preserve">000 για άλλες δαπάνες που μπορεί να προκύψουν, είναι αναγκαία η </w:t>
      </w:r>
      <w:r w:rsidR="00672104">
        <w:rPr>
          <w:lang w:val="el-GR"/>
        </w:rPr>
        <w:t xml:space="preserve">υποβολή συμπληρωματικού προϋπολογισμού για το έτος 2023 </w:t>
      </w:r>
      <w:r w:rsidR="001546AC">
        <w:rPr>
          <w:lang w:val="el-GR"/>
        </w:rPr>
        <w:t xml:space="preserve">συνολικού </w:t>
      </w:r>
      <w:r w:rsidR="00672104">
        <w:rPr>
          <w:lang w:val="el-GR"/>
        </w:rPr>
        <w:t xml:space="preserve">ύψους </w:t>
      </w:r>
      <w:r w:rsidR="00672104">
        <w:rPr>
          <w:rFonts w:cs="Arial"/>
          <w:lang w:val="el-GR"/>
        </w:rPr>
        <w:t>€</w:t>
      </w:r>
      <w:r w:rsidR="00672104">
        <w:rPr>
          <w:lang w:val="el-GR"/>
        </w:rPr>
        <w:t>345</w:t>
      </w:r>
      <w:r w:rsidR="001546AC">
        <w:rPr>
          <w:lang w:val="el-GR"/>
        </w:rPr>
        <w:t>.</w:t>
      </w:r>
      <w:r w:rsidR="00672104">
        <w:rPr>
          <w:lang w:val="el-GR"/>
        </w:rPr>
        <w:t>000.</w:t>
      </w:r>
    </w:p>
    <w:p w14:paraId="5B93D6E8" w14:textId="0BB4F834" w:rsidR="00D6125D" w:rsidRDefault="00DA3C1B" w:rsidP="00964625">
      <w:pPr>
        <w:widowControl w:val="0"/>
        <w:rPr>
          <w:lang w:val="el-GR"/>
        </w:rPr>
      </w:pPr>
      <w:r>
        <w:rPr>
          <w:lang w:val="el-GR"/>
        </w:rPr>
        <w:tab/>
      </w:r>
      <w:r w:rsidR="00D6125D">
        <w:rPr>
          <w:lang w:val="el-GR"/>
        </w:rPr>
        <w:t xml:space="preserve">Η εκπρόσωπος της Νομικής Υπηρεσίας της Δημοκρατίας δήλωσε ότι </w:t>
      </w:r>
      <w:r w:rsidR="008D5AE9">
        <w:rPr>
          <w:lang w:val="el-GR"/>
        </w:rPr>
        <w:t xml:space="preserve">υιοθετεί </w:t>
      </w:r>
      <w:r w:rsidR="005F0895">
        <w:rPr>
          <w:lang w:val="el-GR"/>
        </w:rPr>
        <w:t xml:space="preserve">όλα </w:t>
      </w:r>
      <w:r w:rsidR="008D5AE9">
        <w:rPr>
          <w:lang w:val="el-GR"/>
        </w:rPr>
        <w:t>όσα αν</w:t>
      </w:r>
      <w:r w:rsidR="005F0895">
        <w:rPr>
          <w:lang w:val="el-GR"/>
        </w:rPr>
        <w:t>έ</w:t>
      </w:r>
      <w:r w:rsidR="008D5AE9">
        <w:rPr>
          <w:lang w:val="el-GR"/>
        </w:rPr>
        <w:t xml:space="preserve">φερε ο εκπρόσωπος της Υπηρεσίας Διαχείρισης Τουρκοκυπριακών Περιουσιών και </w:t>
      </w:r>
      <w:r w:rsidR="001546AC">
        <w:rPr>
          <w:lang w:val="el-GR"/>
        </w:rPr>
        <w:t>ότι</w:t>
      </w:r>
      <w:r w:rsidR="008D5AE9">
        <w:rPr>
          <w:lang w:val="el-GR"/>
        </w:rPr>
        <w:t xml:space="preserve"> οι αποφάσεις των δικαστηρίων πρέπει να τυγχάνουν συμμόρφωσης από όλους τους πολίτες της Δημοκρατίας.</w:t>
      </w:r>
    </w:p>
    <w:p w14:paraId="75EFD49F" w14:textId="3E781163" w:rsidR="00B3562B" w:rsidRPr="00D15D52" w:rsidRDefault="009D1E35" w:rsidP="008D5AE9">
      <w:pPr>
        <w:widowControl w:val="0"/>
        <w:rPr>
          <w:lang w:val="el-GR"/>
        </w:rPr>
      </w:pPr>
      <w:r w:rsidRPr="00D15D52">
        <w:rPr>
          <w:lang w:val="el-GR"/>
        </w:rPr>
        <w:tab/>
        <w:t>Υπό το φως των πιο πάνω, η</w:t>
      </w:r>
      <w:r w:rsidR="00A15FE1" w:rsidRPr="00D15D52">
        <w:rPr>
          <w:lang w:val="el-GR"/>
        </w:rPr>
        <w:t xml:space="preserve"> Κοινοβουλευτική Επιτροπή Προσφύγων-Εγκλωβισμένων-Αγνοουμένων-Παθόντων</w:t>
      </w:r>
      <w:r w:rsidR="004360B8" w:rsidRPr="00D15D52">
        <w:rPr>
          <w:lang w:val="el-GR"/>
        </w:rPr>
        <w:t xml:space="preserve">, αφού έλαβε υπόψη όλα όσα τέθηκαν ενώπιόν </w:t>
      </w:r>
      <w:r w:rsidR="00672104" w:rsidRPr="00D15D52">
        <w:rPr>
          <w:lang w:val="el-GR"/>
        </w:rPr>
        <w:t>της</w:t>
      </w:r>
      <w:r w:rsidR="00D15D52" w:rsidRPr="00D15D52">
        <w:rPr>
          <w:lang w:val="el-GR"/>
        </w:rPr>
        <w:t>,</w:t>
      </w:r>
      <w:r w:rsidR="005326E6" w:rsidRPr="00D15D52">
        <w:rPr>
          <w:lang w:val="el-GR"/>
        </w:rPr>
        <w:t xml:space="preserve"> επιφυλάχθηκε να τοποθετηθεί επί του προτεινόμενου </w:t>
      </w:r>
      <w:r w:rsidR="00C96964" w:rsidRPr="00D15D52">
        <w:rPr>
          <w:lang w:val="el-GR"/>
        </w:rPr>
        <w:t>νόμου</w:t>
      </w:r>
      <w:r w:rsidR="005326E6" w:rsidRPr="00D15D52">
        <w:rPr>
          <w:lang w:val="el-GR"/>
        </w:rPr>
        <w:t xml:space="preserve"> κατά τη συζήτησή του στην ολομέλεια του σώματος.</w:t>
      </w:r>
    </w:p>
    <w:p w14:paraId="60875586" w14:textId="77777777" w:rsidR="005A0B3E" w:rsidRDefault="005A0B3E" w:rsidP="003F3614">
      <w:pPr>
        <w:tabs>
          <w:tab w:val="left" w:pos="8222"/>
        </w:tabs>
        <w:rPr>
          <w:lang w:val="el-GR"/>
        </w:rPr>
      </w:pPr>
    </w:p>
    <w:p w14:paraId="7A289F12" w14:textId="77777777" w:rsidR="005A0B3E" w:rsidRDefault="005A0B3E" w:rsidP="003F3614">
      <w:pPr>
        <w:tabs>
          <w:tab w:val="left" w:pos="8222"/>
        </w:tabs>
        <w:rPr>
          <w:lang w:val="el-GR"/>
        </w:rPr>
      </w:pPr>
    </w:p>
    <w:p w14:paraId="35722557" w14:textId="7C092C8D" w:rsidR="009B7BC7" w:rsidRPr="00DA3C1B" w:rsidRDefault="005F0895" w:rsidP="003F3614">
      <w:pPr>
        <w:tabs>
          <w:tab w:val="left" w:pos="8222"/>
        </w:tabs>
        <w:rPr>
          <w:lang w:val="el-GR"/>
        </w:rPr>
      </w:pPr>
      <w:r>
        <w:rPr>
          <w:lang w:val="el-GR"/>
        </w:rPr>
        <w:t>11</w:t>
      </w:r>
      <w:r w:rsidR="00AF3FE9" w:rsidRPr="00DA3C1B">
        <w:rPr>
          <w:lang w:val="el-GR"/>
        </w:rPr>
        <w:t xml:space="preserve"> </w:t>
      </w:r>
      <w:r w:rsidR="00F84165" w:rsidRPr="00DA3C1B">
        <w:rPr>
          <w:lang w:val="el-GR"/>
        </w:rPr>
        <w:t>Ιο</w:t>
      </w:r>
      <w:r w:rsidR="00672104">
        <w:rPr>
          <w:lang w:val="el-GR"/>
        </w:rPr>
        <w:t>υλ</w:t>
      </w:r>
      <w:r w:rsidR="00F84165" w:rsidRPr="00DA3C1B">
        <w:rPr>
          <w:lang w:val="el-GR"/>
        </w:rPr>
        <w:t>ίου</w:t>
      </w:r>
      <w:r w:rsidR="009B7BC7" w:rsidRPr="00DA3C1B">
        <w:rPr>
          <w:lang w:val="el-GR"/>
        </w:rPr>
        <w:t xml:space="preserve"> 20</w:t>
      </w:r>
      <w:r w:rsidR="00E04E2F" w:rsidRPr="00DA3C1B">
        <w:rPr>
          <w:lang w:val="el-GR"/>
        </w:rPr>
        <w:t>2</w:t>
      </w:r>
      <w:r w:rsidR="00F84165" w:rsidRPr="00DA3C1B">
        <w:rPr>
          <w:lang w:val="el-GR"/>
        </w:rPr>
        <w:t>3</w:t>
      </w:r>
    </w:p>
    <w:p w14:paraId="1E111A2A" w14:textId="7EF50A1F" w:rsidR="009B7BC7" w:rsidRPr="00DA3C1B" w:rsidRDefault="009B7BC7" w:rsidP="003F3614">
      <w:pPr>
        <w:rPr>
          <w:lang w:val="el-GR"/>
        </w:rPr>
      </w:pPr>
      <w:r w:rsidRPr="00DA3C1B">
        <w:rPr>
          <w:lang w:val="el-GR"/>
        </w:rPr>
        <w:t>Αρ. Φακ.:  23.0</w:t>
      </w:r>
      <w:r w:rsidR="00672104">
        <w:rPr>
          <w:lang w:val="el-GR"/>
        </w:rPr>
        <w:t>1</w:t>
      </w:r>
      <w:r w:rsidRPr="00DA3C1B">
        <w:rPr>
          <w:lang w:val="el-GR"/>
        </w:rPr>
        <w:t>.06</w:t>
      </w:r>
      <w:r w:rsidR="00F84165" w:rsidRPr="00DA3C1B">
        <w:rPr>
          <w:lang w:val="el-GR"/>
        </w:rPr>
        <w:t>4</w:t>
      </w:r>
      <w:r w:rsidRPr="00DA3C1B">
        <w:rPr>
          <w:lang w:val="el-GR"/>
        </w:rPr>
        <w:t>.</w:t>
      </w:r>
      <w:r w:rsidR="00672104">
        <w:rPr>
          <w:lang w:val="el-GR"/>
        </w:rPr>
        <w:t>1</w:t>
      </w:r>
      <w:r w:rsidR="00711AD2" w:rsidRPr="00DA3C1B">
        <w:rPr>
          <w:lang w:val="el-GR"/>
        </w:rPr>
        <w:t>0</w:t>
      </w:r>
      <w:r w:rsidR="00F84165" w:rsidRPr="00DA3C1B">
        <w:rPr>
          <w:lang w:val="el-GR"/>
        </w:rPr>
        <w:t>6</w:t>
      </w:r>
      <w:r w:rsidRPr="00DA3C1B">
        <w:rPr>
          <w:lang w:val="el-GR"/>
        </w:rPr>
        <w:t>-20</w:t>
      </w:r>
      <w:r w:rsidR="00711AD2" w:rsidRPr="00DA3C1B">
        <w:rPr>
          <w:lang w:val="el-GR"/>
        </w:rPr>
        <w:t>2</w:t>
      </w:r>
      <w:r w:rsidR="00F84165" w:rsidRPr="00DA3C1B">
        <w:rPr>
          <w:lang w:val="el-GR"/>
        </w:rPr>
        <w:t>3</w:t>
      </w:r>
    </w:p>
    <w:p w14:paraId="65ECB73C" w14:textId="7212744E" w:rsidR="009B7BC7" w:rsidRPr="00DA3C1B" w:rsidRDefault="00711AD2" w:rsidP="003F3614">
      <w:pPr>
        <w:rPr>
          <w:lang w:val="el-GR"/>
        </w:rPr>
      </w:pPr>
      <w:r w:rsidRPr="00DA3C1B">
        <w:rPr>
          <w:lang w:val="el-GR"/>
        </w:rPr>
        <w:t>ΣΚ</w:t>
      </w:r>
      <w:r w:rsidR="009B7BC7" w:rsidRPr="00DA3C1B">
        <w:rPr>
          <w:lang w:val="el-GR"/>
        </w:rPr>
        <w:t>/</w:t>
      </w:r>
      <w:r w:rsidR="005E40EA">
        <w:rPr>
          <w:lang w:val="el-GR"/>
        </w:rPr>
        <w:t>ΜΣ</w:t>
      </w:r>
      <w:r w:rsidR="005F0895">
        <w:rPr>
          <w:lang w:val="el-GR"/>
        </w:rPr>
        <w:t>/</w:t>
      </w:r>
      <w:r w:rsidR="00C2039A">
        <w:rPr>
          <w:lang w:val="el-GR"/>
        </w:rPr>
        <w:t>ΧΧ</w:t>
      </w:r>
      <w:r w:rsidR="00D15D52" w:rsidRPr="00D15D52">
        <w:rPr>
          <w:lang w:val="el-GR"/>
        </w:rPr>
        <w:t>/ΕΧ</w:t>
      </w:r>
    </w:p>
    <w:sectPr w:rsidR="009B7BC7" w:rsidRPr="00DA3C1B" w:rsidSect="00964625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FBD8" w14:textId="77777777" w:rsidR="00A238E1" w:rsidRDefault="00A238E1">
      <w:pPr>
        <w:spacing w:line="240" w:lineRule="auto"/>
      </w:pPr>
      <w:r>
        <w:separator/>
      </w:r>
    </w:p>
  </w:endnote>
  <w:endnote w:type="continuationSeparator" w:id="0">
    <w:p w14:paraId="5BB9D723" w14:textId="77777777" w:rsidR="00A238E1" w:rsidRDefault="00A23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26D3" w14:textId="77777777" w:rsidR="00A238E1" w:rsidRDefault="00A238E1">
      <w:pPr>
        <w:spacing w:line="240" w:lineRule="auto"/>
      </w:pPr>
      <w:r>
        <w:separator/>
      </w:r>
    </w:p>
  </w:footnote>
  <w:footnote w:type="continuationSeparator" w:id="0">
    <w:p w14:paraId="20102BCB" w14:textId="77777777" w:rsidR="00A238E1" w:rsidRDefault="00A23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EE90" w14:textId="67370B10" w:rsidR="0057400F" w:rsidRDefault="009B7BC7" w:rsidP="003F36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576724">
    <w:abstractNumId w:val="1"/>
  </w:num>
  <w:num w:numId="2" w16cid:durableId="191215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20FB0"/>
    <w:rsid w:val="000265A5"/>
    <w:rsid w:val="00036332"/>
    <w:rsid w:val="00066972"/>
    <w:rsid w:val="000C0444"/>
    <w:rsid w:val="001403BA"/>
    <w:rsid w:val="001546AC"/>
    <w:rsid w:val="00157129"/>
    <w:rsid w:val="00157812"/>
    <w:rsid w:val="001C7B06"/>
    <w:rsid w:val="001F0B9A"/>
    <w:rsid w:val="0022262B"/>
    <w:rsid w:val="0025708B"/>
    <w:rsid w:val="003405B4"/>
    <w:rsid w:val="003632DF"/>
    <w:rsid w:val="00387005"/>
    <w:rsid w:val="003A3999"/>
    <w:rsid w:val="003A3EEF"/>
    <w:rsid w:val="003F3614"/>
    <w:rsid w:val="004030F9"/>
    <w:rsid w:val="00411BF5"/>
    <w:rsid w:val="004205CF"/>
    <w:rsid w:val="004360B8"/>
    <w:rsid w:val="00464DB6"/>
    <w:rsid w:val="004C2955"/>
    <w:rsid w:val="004E70B7"/>
    <w:rsid w:val="004F265D"/>
    <w:rsid w:val="004F4640"/>
    <w:rsid w:val="005020D4"/>
    <w:rsid w:val="0050266D"/>
    <w:rsid w:val="00516805"/>
    <w:rsid w:val="00530B76"/>
    <w:rsid w:val="005326E6"/>
    <w:rsid w:val="00544623"/>
    <w:rsid w:val="00556197"/>
    <w:rsid w:val="005A0B3E"/>
    <w:rsid w:val="005E134D"/>
    <w:rsid w:val="005E40EA"/>
    <w:rsid w:val="005E60CB"/>
    <w:rsid w:val="005F0895"/>
    <w:rsid w:val="00672104"/>
    <w:rsid w:val="006741C9"/>
    <w:rsid w:val="00674D36"/>
    <w:rsid w:val="00711AD2"/>
    <w:rsid w:val="007B2945"/>
    <w:rsid w:val="007E45C4"/>
    <w:rsid w:val="00806B0D"/>
    <w:rsid w:val="008123AA"/>
    <w:rsid w:val="00816F36"/>
    <w:rsid w:val="00821615"/>
    <w:rsid w:val="00833E73"/>
    <w:rsid w:val="00837BF6"/>
    <w:rsid w:val="008402A9"/>
    <w:rsid w:val="008512FD"/>
    <w:rsid w:val="008644B9"/>
    <w:rsid w:val="008A28E2"/>
    <w:rsid w:val="008D4680"/>
    <w:rsid w:val="008D5AE9"/>
    <w:rsid w:val="008E1DF9"/>
    <w:rsid w:val="008F6890"/>
    <w:rsid w:val="00964625"/>
    <w:rsid w:val="009B7BC7"/>
    <w:rsid w:val="009D1E35"/>
    <w:rsid w:val="009D20CE"/>
    <w:rsid w:val="009E7E03"/>
    <w:rsid w:val="00A12A24"/>
    <w:rsid w:val="00A15FE1"/>
    <w:rsid w:val="00A238E1"/>
    <w:rsid w:val="00A66F6F"/>
    <w:rsid w:val="00A75CBF"/>
    <w:rsid w:val="00AA1AAB"/>
    <w:rsid w:val="00AA5481"/>
    <w:rsid w:val="00AF3FE9"/>
    <w:rsid w:val="00B31CF3"/>
    <w:rsid w:val="00B3562B"/>
    <w:rsid w:val="00B50F7D"/>
    <w:rsid w:val="00C034BD"/>
    <w:rsid w:val="00C2039A"/>
    <w:rsid w:val="00C3657D"/>
    <w:rsid w:val="00C46860"/>
    <w:rsid w:val="00C67402"/>
    <w:rsid w:val="00C8147A"/>
    <w:rsid w:val="00C96964"/>
    <w:rsid w:val="00CB14D8"/>
    <w:rsid w:val="00D12260"/>
    <w:rsid w:val="00D15D52"/>
    <w:rsid w:val="00D27630"/>
    <w:rsid w:val="00D6125D"/>
    <w:rsid w:val="00D708F1"/>
    <w:rsid w:val="00DA3C1B"/>
    <w:rsid w:val="00DD7971"/>
    <w:rsid w:val="00E04E0E"/>
    <w:rsid w:val="00E04E2F"/>
    <w:rsid w:val="00E12276"/>
    <w:rsid w:val="00E204BC"/>
    <w:rsid w:val="00E932E8"/>
    <w:rsid w:val="00EB77B0"/>
    <w:rsid w:val="00F84165"/>
    <w:rsid w:val="00FD3A2A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61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14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3">
    <w:name w:val="Σώμα κειμένου (3)"/>
    <w:basedOn w:val="DefaultParagraphFont"/>
    <w:rsid w:val="00B50F7D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816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36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36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1341-04E2-40E2-8159-5B2AFC40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Erina Charalambous</cp:lastModifiedBy>
  <cp:revision>5</cp:revision>
  <cp:lastPrinted>2023-06-19T05:55:00Z</cp:lastPrinted>
  <dcterms:created xsi:type="dcterms:W3CDTF">2023-07-11T09:41:00Z</dcterms:created>
  <dcterms:modified xsi:type="dcterms:W3CDTF">2023-07-11T10:18:00Z</dcterms:modified>
</cp:coreProperties>
</file>