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A10" w14:textId="73FB5408" w:rsidR="00D379B4" w:rsidRPr="00CE4AA1" w:rsidRDefault="00D379B4" w:rsidP="00FB6B97">
      <w:pPr>
        <w:spacing w:line="360" w:lineRule="auto"/>
        <w:jc w:val="center"/>
        <w:rPr>
          <w:bCs/>
          <w:lang w:val="el-GR"/>
        </w:rPr>
      </w:pPr>
      <w:r w:rsidRPr="00CE4AA1">
        <w:rPr>
          <w:bCs/>
          <w:lang w:val="el-GR"/>
        </w:rPr>
        <w:t>ΝΟΜΟ</w:t>
      </w:r>
      <w:r w:rsidR="000D522D" w:rsidRPr="00CE4AA1">
        <w:rPr>
          <w:bCs/>
          <w:lang w:val="el-GR"/>
        </w:rPr>
        <w:t>Σ</w:t>
      </w:r>
      <w:r w:rsidRPr="00CE4AA1">
        <w:rPr>
          <w:bCs/>
          <w:lang w:val="el-GR"/>
        </w:rPr>
        <w:t xml:space="preserve"> ΠΟΥ ΤΡΟΠΟΠΟΙΕΙ ΤΟΝ</w:t>
      </w:r>
      <w:r w:rsidR="000D522D" w:rsidRPr="00CE4AA1">
        <w:rPr>
          <w:bCs/>
          <w:lang w:val="el-GR"/>
        </w:rPr>
        <w:t xml:space="preserve"> </w:t>
      </w:r>
      <w:r w:rsidRPr="00CE4AA1">
        <w:rPr>
          <w:bCs/>
          <w:lang w:val="el-GR"/>
        </w:rPr>
        <w:t>ΠΕΡΙ ΕΤΑΙΡΕΙΩΝ ΝΟΜΟ</w:t>
      </w:r>
    </w:p>
    <w:p w14:paraId="7279D270" w14:textId="77777777" w:rsidR="000D522D" w:rsidRPr="00BE03F2" w:rsidRDefault="000D522D" w:rsidP="00FB6B97">
      <w:pPr>
        <w:spacing w:line="360" w:lineRule="auto"/>
        <w:jc w:val="center"/>
        <w:rPr>
          <w:b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333"/>
        <w:gridCol w:w="483"/>
        <w:gridCol w:w="84"/>
        <w:gridCol w:w="5386"/>
      </w:tblGrid>
      <w:tr w:rsidR="00D379B4" w:rsidRPr="00CA70FD" w14:paraId="7E148E71" w14:textId="77777777" w:rsidTr="000D522D">
        <w:tc>
          <w:tcPr>
            <w:tcW w:w="2069" w:type="dxa"/>
          </w:tcPr>
          <w:p w14:paraId="60E3CEBB" w14:textId="77777777" w:rsidR="00D379B4" w:rsidRPr="004E1042" w:rsidRDefault="00D379B4" w:rsidP="00FB6B97">
            <w:pPr>
              <w:spacing w:line="360" w:lineRule="auto"/>
              <w:rPr>
                <w:lang w:val="el-GR"/>
              </w:rPr>
            </w:pPr>
          </w:p>
        </w:tc>
        <w:tc>
          <w:tcPr>
            <w:tcW w:w="7286" w:type="dxa"/>
            <w:gridSpan w:val="4"/>
          </w:tcPr>
          <w:p w14:paraId="1E7EB5E3" w14:textId="47772E8A" w:rsidR="00D379B4" w:rsidRPr="004E1042" w:rsidRDefault="000D522D" w:rsidP="000D522D">
            <w:pPr>
              <w:tabs>
                <w:tab w:val="clear" w:pos="567"/>
                <w:tab w:val="clear" w:pos="4961"/>
                <w:tab w:val="left" w:pos="454"/>
              </w:tabs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0D522D" w:rsidRPr="00CA70FD" w14:paraId="1222431D" w14:textId="77777777" w:rsidTr="000D522D">
        <w:tc>
          <w:tcPr>
            <w:tcW w:w="2069" w:type="dxa"/>
          </w:tcPr>
          <w:p w14:paraId="6A6E7767" w14:textId="77777777" w:rsidR="000D522D" w:rsidRPr="004E1042" w:rsidRDefault="000D522D" w:rsidP="00FB6B97">
            <w:pPr>
              <w:spacing w:line="360" w:lineRule="auto"/>
              <w:jc w:val="left"/>
              <w:rPr>
                <w:lang w:val="el-GR"/>
              </w:rPr>
            </w:pPr>
          </w:p>
        </w:tc>
        <w:tc>
          <w:tcPr>
            <w:tcW w:w="7286" w:type="dxa"/>
            <w:gridSpan w:val="4"/>
          </w:tcPr>
          <w:p w14:paraId="2AE79A96" w14:textId="77777777" w:rsidR="000D522D" w:rsidRPr="004E1042" w:rsidRDefault="000D522D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lang w:val="el-GR"/>
              </w:rPr>
            </w:pPr>
          </w:p>
        </w:tc>
      </w:tr>
      <w:tr w:rsidR="00D379B4" w:rsidRPr="00CA70FD" w14:paraId="7843AA72" w14:textId="77777777" w:rsidTr="000D522D">
        <w:tc>
          <w:tcPr>
            <w:tcW w:w="2069" w:type="dxa"/>
          </w:tcPr>
          <w:p w14:paraId="6A6358BB" w14:textId="004FDE72" w:rsidR="00032143" w:rsidRDefault="00D379B4" w:rsidP="00FB6B97">
            <w:pPr>
              <w:spacing w:line="360" w:lineRule="auto"/>
              <w:jc w:val="left"/>
              <w:rPr>
                <w:lang w:val="el-GR"/>
              </w:rPr>
            </w:pPr>
            <w:r w:rsidRPr="004E1042">
              <w:rPr>
                <w:lang w:val="el-GR"/>
              </w:rPr>
              <w:t>Συνοπτικός τίτλος</w:t>
            </w:r>
            <w:r w:rsidR="00032143">
              <w:rPr>
                <w:lang w:val="el-GR"/>
              </w:rPr>
              <w:t>.</w:t>
            </w:r>
          </w:p>
          <w:p w14:paraId="18BCEAAC" w14:textId="5092506F" w:rsidR="00D379B4" w:rsidRDefault="00032143" w:rsidP="00CA70FD">
            <w:pPr>
              <w:spacing w:line="360" w:lineRule="auto"/>
              <w:ind w:left="-57"/>
              <w:jc w:val="left"/>
              <w:rPr>
                <w:lang w:val="el-GR"/>
              </w:rPr>
            </w:pPr>
            <w:r w:rsidRPr="004E1042">
              <w:rPr>
                <w:lang w:val="el-GR"/>
              </w:rPr>
              <w:t>Κεφ. 113.</w:t>
            </w:r>
          </w:p>
          <w:p w14:paraId="36E3C2CC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9 του 1968</w:t>
            </w:r>
          </w:p>
          <w:p w14:paraId="5AB4CB6C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76 του 1977</w:t>
            </w:r>
          </w:p>
          <w:p w14:paraId="64ECDABB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17 του 1979</w:t>
            </w:r>
          </w:p>
          <w:p w14:paraId="6D90125F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105 του 1985</w:t>
            </w:r>
          </w:p>
          <w:p w14:paraId="4B1DA991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198 του 1986</w:t>
            </w:r>
          </w:p>
          <w:p w14:paraId="4BFEFE9C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19 του 1990</w:t>
            </w:r>
          </w:p>
          <w:p w14:paraId="107A85D6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46(Ι) του 1992</w:t>
            </w:r>
          </w:p>
          <w:p w14:paraId="476D0A14" w14:textId="77777777" w:rsidR="002F0566" w:rsidRDefault="002F0566" w:rsidP="002F0566">
            <w:pPr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96(Ι) του 1992</w:t>
            </w:r>
          </w:p>
          <w:p w14:paraId="3D2888F8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41(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1994</w:t>
            </w:r>
          </w:p>
          <w:p w14:paraId="571B548E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15(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1995</w:t>
            </w:r>
          </w:p>
          <w:p w14:paraId="4E87A9D8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21(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1997</w:t>
            </w:r>
          </w:p>
          <w:p w14:paraId="458BB0A4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82(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1999</w:t>
            </w:r>
          </w:p>
          <w:p w14:paraId="1B045002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149(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1999</w:t>
            </w:r>
          </w:p>
          <w:p w14:paraId="0F7E1AB2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2(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2000</w:t>
            </w:r>
          </w:p>
          <w:p w14:paraId="73D2DA74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135(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2000</w:t>
            </w:r>
          </w:p>
          <w:p w14:paraId="7B139264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151(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2000</w:t>
            </w:r>
          </w:p>
          <w:p w14:paraId="38E40914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76(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2001</w:t>
            </w:r>
          </w:p>
          <w:p w14:paraId="1F3D1CC2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2003</w:t>
            </w:r>
          </w:p>
          <w:p w14:paraId="068505D0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167(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2003</w:t>
            </w:r>
          </w:p>
          <w:p w14:paraId="383CAD0B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92(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2004</w:t>
            </w:r>
          </w:p>
          <w:p w14:paraId="0AC7467B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24(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2005</w:t>
            </w:r>
          </w:p>
          <w:p w14:paraId="19E79B1A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129(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2005</w:t>
            </w:r>
          </w:p>
          <w:p w14:paraId="6535F3AF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130(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2005</w:t>
            </w:r>
          </w:p>
          <w:p w14:paraId="61D2661A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98(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2006</w:t>
            </w:r>
          </w:p>
          <w:p w14:paraId="5FA3D201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124(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2006</w:t>
            </w:r>
          </w:p>
          <w:p w14:paraId="2ABC530C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2007</w:t>
            </w:r>
          </w:p>
          <w:p w14:paraId="15CAAF4E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2007</w:t>
            </w:r>
          </w:p>
          <w:p w14:paraId="1BB402CE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lastRenderedPageBreak/>
              <w:t>131(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2007</w:t>
            </w:r>
          </w:p>
          <w:p w14:paraId="63DC468A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186(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2007</w:t>
            </w:r>
          </w:p>
          <w:p w14:paraId="148B14B2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87(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2008</w:t>
            </w:r>
          </w:p>
          <w:p w14:paraId="36A5AE1B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41(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2009</w:t>
            </w:r>
          </w:p>
          <w:p w14:paraId="0D15198E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49(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2009</w:t>
            </w:r>
          </w:p>
          <w:p w14:paraId="7D820498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99(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2009</w:t>
            </w:r>
          </w:p>
          <w:p w14:paraId="7FF73B45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42(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2010</w:t>
            </w:r>
          </w:p>
          <w:p w14:paraId="4AA9B03D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60(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2010</w:t>
            </w:r>
          </w:p>
          <w:p w14:paraId="6ADAFCD5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88(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2010</w:t>
            </w:r>
          </w:p>
          <w:p w14:paraId="6E226E10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53(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2011</w:t>
            </w:r>
          </w:p>
          <w:p w14:paraId="39E5513A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117(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2011</w:t>
            </w:r>
          </w:p>
          <w:p w14:paraId="2D69E9D3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145(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2011</w:t>
            </w:r>
          </w:p>
          <w:p w14:paraId="533C0FA1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157(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2011</w:t>
            </w:r>
          </w:p>
          <w:p w14:paraId="4230745F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198(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2011</w:t>
            </w:r>
          </w:p>
          <w:p w14:paraId="57ED3508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64(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2012</w:t>
            </w:r>
          </w:p>
          <w:p w14:paraId="4218498D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98(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2012</w:t>
            </w:r>
          </w:p>
          <w:p w14:paraId="38CA714D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190(Ι) του 2012</w:t>
            </w:r>
          </w:p>
          <w:p w14:paraId="496970F6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203(Ι) του 2012</w:t>
            </w:r>
          </w:p>
          <w:p w14:paraId="6D1F6CF9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6(Ι) του 2013</w:t>
            </w:r>
          </w:p>
          <w:p w14:paraId="69A483F7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2013</w:t>
            </w:r>
          </w:p>
          <w:p w14:paraId="67679024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74(Ι) του 2014</w:t>
            </w:r>
          </w:p>
          <w:p w14:paraId="0B11A71F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75(Ι) του 2014</w:t>
            </w:r>
          </w:p>
          <w:p w14:paraId="3F451545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18(Ι) του 2015</w:t>
            </w:r>
          </w:p>
          <w:p w14:paraId="584DDD12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62(Ι) του 2015</w:t>
            </w:r>
          </w:p>
          <w:p w14:paraId="3E26CFAF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63(Ι) του 2015</w:t>
            </w:r>
          </w:p>
          <w:p w14:paraId="71FA45BC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89(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2015</w:t>
            </w:r>
          </w:p>
          <w:p w14:paraId="29524358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120(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2015</w:t>
            </w:r>
          </w:p>
          <w:p w14:paraId="53EE5F29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40(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2016</w:t>
            </w:r>
          </w:p>
          <w:p w14:paraId="7AC579B7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90(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2016</w:t>
            </w:r>
          </w:p>
          <w:p w14:paraId="04DB48CF" w14:textId="77777777" w:rsidR="002F0566" w:rsidRDefault="002F0566" w:rsidP="002F0566">
            <w:pPr>
              <w:pStyle w:val="NoSpacing"/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97(</w:t>
            </w:r>
            <w:r>
              <w:rPr>
                <w:lang w:eastAsia="en-US"/>
              </w:rPr>
              <w:t>I</w:t>
            </w:r>
            <w:r>
              <w:rPr>
                <w:lang w:val="el-GR" w:eastAsia="en-US"/>
              </w:rPr>
              <w:t>) του 2016</w:t>
            </w:r>
          </w:p>
          <w:p w14:paraId="6B84F341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 w:eastAsia="en-US"/>
              </w:rPr>
            </w:pPr>
            <w:r>
              <w:rPr>
                <w:lang w:val="el-GR" w:eastAsia="en-US"/>
              </w:rPr>
              <w:t>17(Ι) του 2017</w:t>
            </w:r>
          </w:p>
          <w:p w14:paraId="6674FE72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33(Ι) του 2017</w:t>
            </w:r>
          </w:p>
          <w:p w14:paraId="315242BE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51(Ι) του 2017</w:t>
            </w:r>
          </w:p>
          <w:p w14:paraId="3BD73902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37(Ι) του 2018</w:t>
            </w:r>
          </w:p>
          <w:p w14:paraId="4AB2CE3A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lastRenderedPageBreak/>
              <w:t>83(Ι) του 2018</w:t>
            </w:r>
          </w:p>
          <w:p w14:paraId="489E725E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149(Ι) του 2018</w:t>
            </w:r>
          </w:p>
          <w:p w14:paraId="01965E30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163(Ι) του 2019</w:t>
            </w:r>
          </w:p>
          <w:p w14:paraId="00A80958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38(Ι) του 2020</w:t>
            </w:r>
          </w:p>
          <w:p w14:paraId="497B2765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43(Ι) του 2020</w:t>
            </w:r>
          </w:p>
          <w:p w14:paraId="14A33C66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191(Ι) του 2020</w:t>
            </w:r>
          </w:p>
          <w:p w14:paraId="5550D318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192(Ι) του 2020</w:t>
            </w:r>
          </w:p>
          <w:p w14:paraId="18BF28D9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43(Ι) του 2021</w:t>
            </w:r>
          </w:p>
          <w:p w14:paraId="788EBA3C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117(Ι) του 2021</w:t>
            </w:r>
          </w:p>
          <w:p w14:paraId="168B92D9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150(Ι) του 2021</w:t>
            </w:r>
          </w:p>
          <w:p w14:paraId="038D5CD6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151(Ι) του 2021</w:t>
            </w:r>
          </w:p>
          <w:p w14:paraId="612F3497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87(Ι) του 2022</w:t>
            </w:r>
          </w:p>
          <w:p w14:paraId="6B015D32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88(Ι) του 2022</w:t>
            </w:r>
          </w:p>
          <w:p w14:paraId="2E6126ED" w14:textId="77777777" w:rsidR="002F0566" w:rsidRDefault="002F0566" w:rsidP="002F0566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lang w:val="el-GR"/>
              </w:rPr>
            </w:pPr>
            <w:r>
              <w:rPr>
                <w:lang w:val="el-GR"/>
              </w:rPr>
              <w:t>96(Ι) του 2022</w:t>
            </w:r>
          </w:p>
          <w:p w14:paraId="75A9821A" w14:textId="601F0AF7" w:rsidR="002F0566" w:rsidRPr="004E1042" w:rsidRDefault="002F0566" w:rsidP="00D541F5">
            <w:pPr>
              <w:tabs>
                <w:tab w:val="left" w:pos="284"/>
              </w:tabs>
              <w:spacing w:line="360" w:lineRule="auto"/>
              <w:ind w:right="57"/>
              <w:jc w:val="right"/>
              <w:rPr>
                <w:lang w:val="el-GR"/>
              </w:rPr>
            </w:pPr>
            <w:r>
              <w:rPr>
                <w:lang w:val="el-GR"/>
              </w:rPr>
              <w:t>213(Ι) του 2022.</w:t>
            </w:r>
          </w:p>
        </w:tc>
        <w:tc>
          <w:tcPr>
            <w:tcW w:w="7286" w:type="dxa"/>
            <w:gridSpan w:val="4"/>
          </w:tcPr>
          <w:p w14:paraId="02F125CC" w14:textId="5AB02264" w:rsidR="00D379B4" w:rsidRPr="004E1042" w:rsidRDefault="00D379B4" w:rsidP="000D522D">
            <w:pPr>
              <w:tabs>
                <w:tab w:val="clear" w:pos="567"/>
                <w:tab w:val="clear" w:pos="4961"/>
                <w:tab w:val="left" w:pos="454"/>
              </w:tabs>
              <w:spacing w:line="360" w:lineRule="auto"/>
              <w:rPr>
                <w:lang w:val="el-GR"/>
              </w:rPr>
            </w:pPr>
            <w:r w:rsidRPr="004E1042">
              <w:rPr>
                <w:lang w:val="el-GR"/>
              </w:rPr>
              <w:lastRenderedPageBreak/>
              <w:t>1.</w:t>
            </w:r>
            <w:r w:rsidRPr="004E1042">
              <w:rPr>
                <w:lang w:val="el-GR"/>
              </w:rPr>
              <w:tab/>
              <w:t>Ο παρών Νόμος θα αναφέρεται ως ο περί Εταιρειών (Τροποποιητικός) Νόμος του 20</w:t>
            </w:r>
            <w:r w:rsidR="000D522D">
              <w:rPr>
                <w:lang w:val="el-GR"/>
              </w:rPr>
              <w:t>23</w:t>
            </w:r>
            <w:r w:rsidRPr="004E1042">
              <w:rPr>
                <w:lang w:val="el-GR"/>
              </w:rPr>
              <w:t xml:space="preserve"> και θα διαβάζεται μαζί με τον </w:t>
            </w:r>
            <w:r w:rsidR="003C7746" w:rsidRPr="004E1042">
              <w:rPr>
                <w:lang w:val="el-GR"/>
              </w:rPr>
              <w:t>π</w:t>
            </w:r>
            <w:r w:rsidRPr="004E1042">
              <w:rPr>
                <w:lang w:val="el-GR"/>
              </w:rPr>
              <w:t>ερί Εταιρειών Νόμο (που στο εξής θα αναφέρ</w:t>
            </w:r>
            <w:r w:rsidR="00D36C52" w:rsidRPr="004E1042">
              <w:rPr>
                <w:lang w:val="el-GR"/>
              </w:rPr>
              <w:t>ε</w:t>
            </w:r>
            <w:r w:rsidRPr="004E1042">
              <w:rPr>
                <w:lang w:val="el-GR"/>
              </w:rPr>
              <w:t>ται ως «ο βασικός νόμος»).</w:t>
            </w:r>
          </w:p>
        </w:tc>
      </w:tr>
      <w:tr w:rsidR="00D379B4" w:rsidRPr="00CA70FD" w14:paraId="396BA6BC" w14:textId="77777777" w:rsidTr="000D522D">
        <w:tc>
          <w:tcPr>
            <w:tcW w:w="2069" w:type="dxa"/>
          </w:tcPr>
          <w:p w14:paraId="50A8B32A" w14:textId="77777777" w:rsidR="00D379B4" w:rsidRPr="004E1042" w:rsidRDefault="00D379B4" w:rsidP="00FB6B97">
            <w:pPr>
              <w:spacing w:line="360" w:lineRule="auto"/>
              <w:rPr>
                <w:lang w:val="el-GR"/>
              </w:rPr>
            </w:pPr>
          </w:p>
        </w:tc>
        <w:tc>
          <w:tcPr>
            <w:tcW w:w="7286" w:type="dxa"/>
            <w:gridSpan w:val="4"/>
          </w:tcPr>
          <w:p w14:paraId="72EE421F" w14:textId="77777777" w:rsidR="00D379B4" w:rsidRPr="00D577D0" w:rsidRDefault="00D379B4" w:rsidP="00FB6B97">
            <w:pPr>
              <w:spacing w:line="360" w:lineRule="auto"/>
              <w:rPr>
                <w:lang w:val="el-GR"/>
              </w:rPr>
            </w:pPr>
          </w:p>
        </w:tc>
      </w:tr>
      <w:tr w:rsidR="00D379B4" w:rsidRPr="00CA70FD" w14:paraId="6088145F" w14:textId="77777777" w:rsidTr="000D522D">
        <w:tc>
          <w:tcPr>
            <w:tcW w:w="2069" w:type="dxa"/>
          </w:tcPr>
          <w:p w14:paraId="31E2713E" w14:textId="078FB0F5" w:rsidR="00DE3056" w:rsidRPr="00DE3056" w:rsidRDefault="00DE3056" w:rsidP="009751D4">
            <w:pPr>
              <w:spacing w:line="360" w:lineRule="auto"/>
              <w:rPr>
                <w:rFonts w:cs="Arial"/>
                <w:lang w:val="el-GR"/>
              </w:rPr>
            </w:pPr>
            <w:r w:rsidRPr="00DE3056">
              <w:rPr>
                <w:rFonts w:cs="Arial"/>
                <w:lang w:val="el-GR"/>
              </w:rPr>
              <w:t xml:space="preserve">Τροποποίηση </w:t>
            </w:r>
          </w:p>
          <w:p w14:paraId="09606DFD" w14:textId="571F1DCE" w:rsidR="00606C78" w:rsidRPr="00DE3056" w:rsidRDefault="00DE3056" w:rsidP="009751D4">
            <w:pPr>
              <w:spacing w:line="360" w:lineRule="auto"/>
              <w:jc w:val="left"/>
              <w:rPr>
                <w:lang w:val="el-GR"/>
              </w:rPr>
            </w:pPr>
            <w:r w:rsidRPr="00DE3056">
              <w:rPr>
                <w:rFonts w:cs="Arial"/>
                <w:lang w:val="el-GR"/>
              </w:rPr>
              <w:t>του άρθρου 391 του βασικού νόμου.</w:t>
            </w:r>
          </w:p>
        </w:tc>
        <w:tc>
          <w:tcPr>
            <w:tcW w:w="7286" w:type="dxa"/>
            <w:gridSpan w:val="4"/>
          </w:tcPr>
          <w:p w14:paraId="5F182FDA" w14:textId="47948F66" w:rsidR="00860DAE" w:rsidRPr="00DE3056" w:rsidRDefault="00DE3056" w:rsidP="00D541F5">
            <w:pPr>
              <w:tabs>
                <w:tab w:val="clear" w:pos="567"/>
                <w:tab w:val="clear" w:pos="4961"/>
                <w:tab w:val="left" w:pos="454"/>
              </w:tabs>
              <w:spacing w:line="360" w:lineRule="auto"/>
              <w:rPr>
                <w:lang w:val="el-GR"/>
              </w:rPr>
            </w:pPr>
            <w:r w:rsidRPr="00DE3056">
              <w:rPr>
                <w:rFonts w:cs="Arial"/>
                <w:lang w:val="el-GR"/>
              </w:rPr>
              <w:t>2.</w:t>
            </w:r>
            <w:r w:rsidRPr="00DE3056">
              <w:rPr>
                <w:rFonts w:cs="Arial"/>
                <w:lang w:val="el-GR"/>
              </w:rPr>
              <w:tab/>
              <w:t>Το άρθρο 391 του βασικού νόμου τροποποιείται με την αντικατάσταση του εδαφίου (1) με το ακόλουθο εδάφιο:</w:t>
            </w:r>
          </w:p>
          <w:p w14:paraId="3DF0AA3E" w14:textId="4D82A79A" w:rsidR="00B64F95" w:rsidRPr="004E1042" w:rsidRDefault="00B64F95" w:rsidP="00FB6B97">
            <w:pPr>
              <w:tabs>
                <w:tab w:val="clear" w:pos="567"/>
                <w:tab w:val="left" w:pos="318"/>
              </w:tabs>
              <w:spacing w:line="360" w:lineRule="auto"/>
              <w:ind w:left="742" w:hanging="742"/>
              <w:rPr>
                <w:lang w:val="el-GR"/>
              </w:rPr>
            </w:pPr>
          </w:p>
          <w:p w14:paraId="54BFE384" w14:textId="76430205" w:rsidR="001F2ADA" w:rsidRPr="004E1042" w:rsidRDefault="001F2ADA" w:rsidP="00FB6B97">
            <w:pPr>
              <w:tabs>
                <w:tab w:val="clear" w:pos="567"/>
                <w:tab w:val="left" w:pos="318"/>
                <w:tab w:val="left" w:pos="691"/>
                <w:tab w:val="left" w:pos="1309"/>
              </w:tabs>
              <w:spacing w:line="360" w:lineRule="auto"/>
              <w:ind w:left="742" w:hanging="742"/>
              <w:rPr>
                <w:lang w:val="el-GR"/>
              </w:rPr>
            </w:pPr>
          </w:p>
        </w:tc>
      </w:tr>
      <w:tr w:rsidR="00DE3056" w:rsidRPr="00CA70FD" w14:paraId="47567044" w14:textId="77777777" w:rsidTr="000D522D">
        <w:tc>
          <w:tcPr>
            <w:tcW w:w="2069" w:type="dxa"/>
          </w:tcPr>
          <w:p w14:paraId="2F0F1178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7286" w:type="dxa"/>
            <w:gridSpan w:val="4"/>
          </w:tcPr>
          <w:p w14:paraId="701DEE93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DE3056" w:rsidRPr="00CA70FD" w14:paraId="568C6386" w14:textId="77777777" w:rsidTr="00D541F5">
        <w:tc>
          <w:tcPr>
            <w:tcW w:w="2069" w:type="dxa"/>
          </w:tcPr>
          <w:p w14:paraId="3AF66D6D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0FCB8FD0" w14:textId="76141DCD" w:rsidR="00DE3056" w:rsidRPr="00DE3056" w:rsidRDefault="009751D4" w:rsidP="00D541F5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«</w:t>
            </w:r>
            <w:r w:rsidR="00DE3056">
              <w:rPr>
                <w:rFonts w:cs="Arial"/>
              </w:rPr>
              <w:t>(1)(α)</w:t>
            </w:r>
          </w:p>
        </w:tc>
        <w:tc>
          <w:tcPr>
            <w:tcW w:w="5953" w:type="dxa"/>
            <w:gridSpan w:val="3"/>
          </w:tcPr>
          <w:p w14:paraId="1AD0C7C4" w14:textId="055549BB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 w:rsidRPr="00DE3056">
              <w:rPr>
                <w:rFonts w:cs="Arial"/>
                <w:lang w:val="el-GR"/>
              </w:rPr>
              <w:t>Ανεξαρτήτως των διατάξεων του παρόντος Νόμου ή οποιουδήποτε άλλου Νόμου ή Κανονισμών εκδίδονται δυνάμει αυτών, όλες οι εγγεγραμμένες εταιρείες υποχρεούνται στην καταβολή ετήσιου τέλους ως ακολούθως:</w:t>
            </w:r>
          </w:p>
        </w:tc>
      </w:tr>
      <w:tr w:rsidR="00DE3056" w:rsidRPr="00CA70FD" w14:paraId="7B86D9CA" w14:textId="77777777" w:rsidTr="000D522D">
        <w:tc>
          <w:tcPr>
            <w:tcW w:w="2069" w:type="dxa"/>
          </w:tcPr>
          <w:p w14:paraId="0FC56FD1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7286" w:type="dxa"/>
            <w:gridSpan w:val="4"/>
          </w:tcPr>
          <w:p w14:paraId="245F6A89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DE3056" w:rsidRPr="00CA70FD" w14:paraId="7DA9B9C6" w14:textId="77777777" w:rsidTr="009751D4">
        <w:tc>
          <w:tcPr>
            <w:tcW w:w="2068" w:type="dxa"/>
          </w:tcPr>
          <w:p w14:paraId="5B2B6307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426F2844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483" w:type="dxa"/>
          </w:tcPr>
          <w:p w14:paraId="24CDC1B5" w14:textId="29BEDED8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471" w:type="dxa"/>
            <w:gridSpan w:val="2"/>
          </w:tcPr>
          <w:p w14:paraId="2A82F97B" w14:textId="716365DB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 w:rsidRPr="00DE3056">
              <w:rPr>
                <w:rFonts w:cs="Arial"/>
                <w:lang w:val="el-GR"/>
              </w:rPr>
              <w:t>Για το έτος 2024 καταβάλλεται ετήσιο τέλος ύψους διακοσίων ευρώ (€200) το αργότερο μέχρι την 30</w:t>
            </w:r>
            <w:r w:rsidRPr="00DE3056">
              <w:rPr>
                <w:rFonts w:cs="Arial"/>
                <w:vertAlign w:val="superscript"/>
                <w:lang w:val="el-GR"/>
              </w:rPr>
              <w:t xml:space="preserve">ή </w:t>
            </w:r>
            <w:r w:rsidRPr="00DE3056">
              <w:rPr>
                <w:rFonts w:cs="Arial"/>
                <w:lang w:val="el-GR"/>
              </w:rPr>
              <w:t>Ιουνίου του ίδιου έτους</w:t>
            </w:r>
            <w:r w:rsidR="009751D4">
              <w:rPr>
                <w:rFonts w:cs="Arial"/>
                <w:lang w:val="el-GR"/>
              </w:rPr>
              <w:t>·</w:t>
            </w:r>
            <w:r w:rsidRPr="00DE3056">
              <w:rPr>
                <w:rFonts w:cs="Arial"/>
                <w:vertAlign w:val="superscript"/>
                <w:lang w:val="el-GR"/>
              </w:rPr>
              <w:t xml:space="preserve"> </w:t>
            </w:r>
            <w:r w:rsidRPr="00DE3056">
              <w:rPr>
                <w:rFonts w:cs="Arial"/>
                <w:lang w:val="el-GR"/>
              </w:rPr>
              <w:t>και</w:t>
            </w:r>
          </w:p>
        </w:tc>
      </w:tr>
      <w:tr w:rsidR="00DE3056" w:rsidRPr="00CA70FD" w14:paraId="09698888" w14:textId="77777777" w:rsidTr="009751D4">
        <w:tc>
          <w:tcPr>
            <w:tcW w:w="2068" w:type="dxa"/>
          </w:tcPr>
          <w:p w14:paraId="7CB9F384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04C00E2F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483" w:type="dxa"/>
          </w:tcPr>
          <w:p w14:paraId="56ECE508" w14:textId="083DB7F5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</w:rPr>
              <w:t>(ii)</w:t>
            </w:r>
          </w:p>
        </w:tc>
        <w:tc>
          <w:tcPr>
            <w:tcW w:w="5471" w:type="dxa"/>
            <w:gridSpan w:val="2"/>
          </w:tcPr>
          <w:p w14:paraId="591B5A71" w14:textId="4F42D9A6" w:rsidR="00DE3056" w:rsidRPr="004A075B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 w:rsidRPr="004A075B">
              <w:rPr>
                <w:rFonts w:cs="Arial"/>
                <w:lang w:val="el-GR"/>
              </w:rPr>
              <w:t>για το έτος 2025 καταβάλλεται ετήσιο τέλος ύψους εκατό ευρώ (€100) το αργότερο μέχρι την 30</w:t>
            </w:r>
            <w:r w:rsidRPr="004A075B">
              <w:rPr>
                <w:rFonts w:cs="Arial"/>
                <w:vertAlign w:val="superscript"/>
                <w:lang w:val="el-GR"/>
              </w:rPr>
              <w:t>ή</w:t>
            </w:r>
            <w:r w:rsidRPr="004A075B">
              <w:rPr>
                <w:rFonts w:cs="Arial"/>
                <w:lang w:val="el-GR"/>
              </w:rPr>
              <w:t xml:space="preserve"> Ιουνίου του ίδιου έτους:</w:t>
            </w:r>
          </w:p>
        </w:tc>
      </w:tr>
      <w:tr w:rsidR="004A075B" w:rsidRPr="00CA70FD" w14:paraId="7C964BC1" w14:textId="77777777" w:rsidTr="009751D4">
        <w:tc>
          <w:tcPr>
            <w:tcW w:w="2068" w:type="dxa"/>
          </w:tcPr>
          <w:p w14:paraId="4606ACEC" w14:textId="77777777" w:rsidR="004A075B" w:rsidRPr="00DE3056" w:rsidRDefault="004A075B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0924B5E6" w14:textId="77777777" w:rsidR="004A075B" w:rsidRPr="00DE3056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483" w:type="dxa"/>
          </w:tcPr>
          <w:p w14:paraId="6062FC10" w14:textId="77777777" w:rsidR="004A075B" w:rsidRPr="009751D4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471" w:type="dxa"/>
            <w:gridSpan w:val="2"/>
          </w:tcPr>
          <w:p w14:paraId="506CE4E7" w14:textId="77777777" w:rsidR="004A075B" w:rsidRPr="004A075B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4A075B" w:rsidRPr="00CA70FD" w14:paraId="2C3E6223" w14:textId="77777777" w:rsidTr="009751D4">
        <w:tc>
          <w:tcPr>
            <w:tcW w:w="2068" w:type="dxa"/>
          </w:tcPr>
          <w:p w14:paraId="5A9CEFC0" w14:textId="77777777" w:rsidR="004A075B" w:rsidRPr="00DE3056" w:rsidRDefault="004A075B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51A690B6" w14:textId="77777777" w:rsidR="004A075B" w:rsidRPr="00DE3056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954" w:type="dxa"/>
            <w:gridSpan w:val="3"/>
          </w:tcPr>
          <w:p w14:paraId="7059487A" w14:textId="736AAE16" w:rsidR="004A075B" w:rsidRPr="004A075B" w:rsidRDefault="004A075B" w:rsidP="009751D4">
            <w:pPr>
              <w:tabs>
                <w:tab w:val="clear" w:pos="567"/>
                <w:tab w:val="left" w:pos="457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 w:rsidRPr="004A075B">
              <w:rPr>
                <w:rFonts w:cs="Arial"/>
                <w:lang w:val="el-GR"/>
              </w:rPr>
              <w:t>Νοείται ότι, σε περίπτωση εταιρειών που ανήκουν σε συγκρότημα εταιρειών, το σύνολο των καταβλητέων από τις εν λόγω εταιρείες τελών δεν δύναται να υπερβαίνει το ποσό των είκοσι χιλιάδων ευρώ (€20.000), ποσό το οποίο κατανέμεται μεταξύ αυτών σε ισόποσα μέρη</w:t>
            </w:r>
            <w:r w:rsidR="009751D4">
              <w:rPr>
                <w:rFonts w:cs="Arial"/>
                <w:lang w:val="el-GR"/>
              </w:rPr>
              <w:t xml:space="preserve">· </w:t>
            </w:r>
            <w:r w:rsidRPr="004A075B">
              <w:rPr>
                <w:rFonts w:cs="Arial"/>
                <w:lang w:val="el-GR"/>
              </w:rPr>
              <w:t>και</w:t>
            </w:r>
          </w:p>
        </w:tc>
      </w:tr>
      <w:tr w:rsidR="004A075B" w:rsidRPr="00CA70FD" w14:paraId="229E6F8B" w14:textId="77777777" w:rsidTr="009751D4">
        <w:tc>
          <w:tcPr>
            <w:tcW w:w="2068" w:type="dxa"/>
          </w:tcPr>
          <w:p w14:paraId="455C0653" w14:textId="77777777" w:rsidR="004A075B" w:rsidRPr="00DE3056" w:rsidRDefault="004A075B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766B6ABA" w14:textId="77777777" w:rsidR="004A075B" w:rsidRPr="00DE3056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67" w:type="dxa"/>
            <w:gridSpan w:val="2"/>
          </w:tcPr>
          <w:p w14:paraId="11EA53D7" w14:textId="77777777" w:rsidR="004A075B" w:rsidRPr="004A075B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14:paraId="659F12BB" w14:textId="77777777" w:rsidR="004A075B" w:rsidRPr="004A075B" w:rsidRDefault="004A075B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DE3056" w:rsidRPr="00CA70FD" w14:paraId="0AEC7E93" w14:textId="77777777" w:rsidTr="009751D4">
        <w:tc>
          <w:tcPr>
            <w:tcW w:w="2068" w:type="dxa"/>
          </w:tcPr>
          <w:p w14:paraId="6DEDBB0D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1333" w:type="dxa"/>
          </w:tcPr>
          <w:p w14:paraId="542DE49F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67" w:type="dxa"/>
            <w:gridSpan w:val="2"/>
          </w:tcPr>
          <w:p w14:paraId="7FA88E2F" w14:textId="4EE9C103" w:rsidR="00DE3056" w:rsidRPr="004A075B" w:rsidRDefault="00D541F5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(β)</w:t>
            </w:r>
          </w:p>
        </w:tc>
        <w:tc>
          <w:tcPr>
            <w:tcW w:w="5387" w:type="dxa"/>
          </w:tcPr>
          <w:p w14:paraId="0063ACE5" w14:textId="5EA564E5" w:rsidR="00DE3056" w:rsidRPr="00D541F5" w:rsidRDefault="00D541F5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  <w:r w:rsidRPr="00D541F5">
              <w:rPr>
                <w:rFonts w:cs="Arial"/>
                <w:lang w:val="el-GR"/>
              </w:rPr>
              <w:t>το προβλεπόμενο στην παράγραφο (α) ετήσιο τέλος από την 1</w:t>
            </w:r>
            <w:r w:rsidRPr="00D541F5">
              <w:rPr>
                <w:rFonts w:cs="Arial"/>
                <w:vertAlign w:val="superscript"/>
                <w:lang w:val="el-GR"/>
              </w:rPr>
              <w:t>η</w:t>
            </w:r>
            <w:r w:rsidRPr="00D541F5">
              <w:rPr>
                <w:rFonts w:cs="Arial"/>
                <w:lang w:val="el-GR"/>
              </w:rPr>
              <w:t xml:space="preserve"> Ιανουαρίου 2026 καταργείται</w:t>
            </w:r>
            <w:r w:rsidR="009751D4">
              <w:rPr>
                <w:rFonts w:cs="Arial"/>
                <w:lang w:val="el-GR"/>
              </w:rPr>
              <w:t>.</w:t>
            </w:r>
            <w:r w:rsidRPr="00D541F5">
              <w:rPr>
                <w:rFonts w:cs="Arial"/>
                <w:lang w:val="el-GR"/>
              </w:rPr>
              <w:t>».</w:t>
            </w:r>
          </w:p>
        </w:tc>
      </w:tr>
      <w:tr w:rsidR="00DE3056" w:rsidRPr="00CA70FD" w14:paraId="7C102AA0" w14:textId="77777777" w:rsidTr="009751D4">
        <w:tc>
          <w:tcPr>
            <w:tcW w:w="2068" w:type="dxa"/>
          </w:tcPr>
          <w:p w14:paraId="3F18F528" w14:textId="77777777" w:rsidR="00DE3056" w:rsidRPr="00DE3056" w:rsidRDefault="00DE3056" w:rsidP="00DE3056">
            <w:pPr>
              <w:rPr>
                <w:rFonts w:cs="Arial"/>
                <w:lang w:val="el-GR"/>
              </w:rPr>
            </w:pPr>
          </w:p>
        </w:tc>
        <w:tc>
          <w:tcPr>
            <w:tcW w:w="7287" w:type="dxa"/>
            <w:gridSpan w:val="4"/>
          </w:tcPr>
          <w:p w14:paraId="3B81C285" w14:textId="77777777" w:rsidR="00DE3056" w:rsidRPr="00DE3056" w:rsidRDefault="00DE3056" w:rsidP="00FB6B97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</w:tbl>
    <w:p w14:paraId="36E62CDB" w14:textId="77777777" w:rsidR="00AB08EC" w:rsidRDefault="00AB08EC" w:rsidP="00FB6B97">
      <w:pPr>
        <w:spacing w:line="360" w:lineRule="auto"/>
        <w:rPr>
          <w:sz w:val="20"/>
          <w:szCs w:val="20"/>
          <w:lang w:val="el-GR"/>
        </w:rPr>
      </w:pPr>
    </w:p>
    <w:p w14:paraId="1DF694FD" w14:textId="77777777" w:rsidR="00AB08EC" w:rsidRDefault="00AB08EC" w:rsidP="00FB6B97">
      <w:pPr>
        <w:spacing w:line="360" w:lineRule="auto"/>
        <w:rPr>
          <w:sz w:val="20"/>
          <w:szCs w:val="20"/>
          <w:lang w:val="el-GR"/>
        </w:rPr>
      </w:pPr>
    </w:p>
    <w:p w14:paraId="74F11AF4" w14:textId="37539E8F" w:rsidR="003C7746" w:rsidRPr="00FD4606" w:rsidRDefault="00FD4606" w:rsidP="00FB6B97">
      <w:pPr>
        <w:spacing w:line="360" w:lineRule="auto"/>
        <w:rPr>
          <w:sz w:val="20"/>
          <w:szCs w:val="20"/>
          <w:lang w:val="el-GR"/>
        </w:rPr>
      </w:pPr>
      <w:proofErr w:type="spellStart"/>
      <w:r w:rsidRPr="00FD4606">
        <w:rPr>
          <w:sz w:val="20"/>
          <w:szCs w:val="20"/>
          <w:lang w:val="el-GR"/>
        </w:rPr>
        <w:t>Αρ</w:t>
      </w:r>
      <w:proofErr w:type="spellEnd"/>
      <w:r w:rsidRPr="00FD4606">
        <w:rPr>
          <w:sz w:val="20"/>
          <w:szCs w:val="20"/>
          <w:lang w:val="el-GR"/>
        </w:rPr>
        <w:t xml:space="preserve">. </w:t>
      </w:r>
      <w:proofErr w:type="spellStart"/>
      <w:r w:rsidRPr="00FD4606">
        <w:rPr>
          <w:sz w:val="20"/>
          <w:szCs w:val="20"/>
          <w:lang w:val="el-GR"/>
        </w:rPr>
        <w:t>Φακ</w:t>
      </w:r>
      <w:proofErr w:type="spellEnd"/>
      <w:r w:rsidRPr="00FD4606">
        <w:rPr>
          <w:sz w:val="20"/>
          <w:szCs w:val="20"/>
          <w:lang w:val="el-GR"/>
        </w:rPr>
        <w:t xml:space="preserve">.: </w:t>
      </w:r>
      <w:r w:rsidR="004E1042">
        <w:rPr>
          <w:sz w:val="20"/>
          <w:szCs w:val="20"/>
          <w:lang w:val="el-GR"/>
        </w:rPr>
        <w:t>23.02.058.027-2017</w:t>
      </w:r>
    </w:p>
    <w:p w14:paraId="60A40098" w14:textId="1C588B0D" w:rsidR="003C7746" w:rsidRDefault="00032143" w:rsidP="00FB6B97">
      <w:pPr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ΟΜ/</w:t>
      </w:r>
      <w:r w:rsidR="004E1042">
        <w:rPr>
          <w:sz w:val="20"/>
          <w:szCs w:val="20"/>
          <w:lang w:val="el-GR"/>
        </w:rPr>
        <w:t>ΧΧ</w:t>
      </w:r>
    </w:p>
    <w:p w14:paraId="70968E0D" w14:textId="24C132DA" w:rsidR="00032143" w:rsidRDefault="00032143" w:rsidP="00FB6B97">
      <w:pPr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ΧΑ</w:t>
      </w:r>
    </w:p>
    <w:p w14:paraId="265F9BE2" w14:textId="79406088" w:rsidR="00AB08EC" w:rsidRPr="003C7746" w:rsidRDefault="00AB08EC" w:rsidP="00FB6B97">
      <w:pPr>
        <w:spacing w:line="360" w:lineRule="auto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Αρ</w:t>
      </w:r>
      <w:proofErr w:type="spellEnd"/>
      <w:r>
        <w:rPr>
          <w:sz w:val="20"/>
          <w:szCs w:val="20"/>
          <w:lang w:val="el-GR"/>
        </w:rPr>
        <w:t xml:space="preserve">. </w:t>
      </w:r>
      <w:r w:rsidR="00CE4AA1">
        <w:rPr>
          <w:sz w:val="20"/>
          <w:szCs w:val="20"/>
          <w:lang w:val="el-GR"/>
        </w:rPr>
        <w:t>3</w:t>
      </w:r>
      <w:r>
        <w:rPr>
          <w:sz w:val="20"/>
          <w:szCs w:val="20"/>
          <w:lang w:val="el-GR"/>
        </w:rPr>
        <w:t xml:space="preserve"> - </w:t>
      </w:r>
      <w:r w:rsidR="00CE4AA1">
        <w:rPr>
          <w:sz w:val="20"/>
          <w:szCs w:val="20"/>
          <w:lang w:val="el-GR"/>
        </w:rPr>
        <w:t>30</w:t>
      </w:r>
      <w:r>
        <w:rPr>
          <w:sz w:val="20"/>
          <w:szCs w:val="20"/>
          <w:lang w:val="el-GR"/>
        </w:rPr>
        <w:t>.6.23</w:t>
      </w:r>
    </w:p>
    <w:p w14:paraId="0EB7AE19" w14:textId="77777777" w:rsidR="00D379B4" w:rsidRPr="001F2ADA" w:rsidRDefault="00D379B4" w:rsidP="00FB6B97">
      <w:pPr>
        <w:spacing w:line="360" w:lineRule="auto"/>
        <w:jc w:val="right"/>
        <w:rPr>
          <w:lang w:val="el-GR"/>
        </w:rPr>
      </w:pPr>
    </w:p>
    <w:p w14:paraId="379EB79F" w14:textId="77777777" w:rsidR="00CE21F6" w:rsidRPr="00BE03F2" w:rsidRDefault="00CE21F6" w:rsidP="00FB6B97">
      <w:pPr>
        <w:spacing w:line="360" w:lineRule="auto"/>
        <w:rPr>
          <w:lang w:val="el-GR"/>
        </w:rPr>
      </w:pPr>
    </w:p>
    <w:p w14:paraId="5EF70DA0" w14:textId="77777777" w:rsidR="00CE21F6" w:rsidRPr="00BE03F2" w:rsidRDefault="00CE21F6" w:rsidP="00FB6B97">
      <w:pPr>
        <w:spacing w:line="360" w:lineRule="auto"/>
        <w:rPr>
          <w:lang w:val="el-GR"/>
        </w:rPr>
      </w:pPr>
    </w:p>
    <w:sectPr w:rsidR="00CE21F6" w:rsidRPr="00BE03F2" w:rsidSect="00487B84">
      <w:headerReference w:type="even" r:id="rId7"/>
      <w:headerReference w:type="default" r:id="rId8"/>
      <w:pgSz w:w="11907" w:h="16840" w:code="9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F054" w14:textId="77777777" w:rsidR="001E7600" w:rsidRDefault="001E7600">
      <w:pPr>
        <w:spacing w:line="240" w:lineRule="auto"/>
      </w:pPr>
      <w:r>
        <w:separator/>
      </w:r>
    </w:p>
  </w:endnote>
  <w:endnote w:type="continuationSeparator" w:id="0">
    <w:p w14:paraId="7155492A" w14:textId="77777777" w:rsidR="001E7600" w:rsidRDefault="001E7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0E01" w14:textId="77777777" w:rsidR="001E7600" w:rsidRDefault="001E7600">
      <w:pPr>
        <w:spacing w:line="240" w:lineRule="auto"/>
      </w:pPr>
      <w:r>
        <w:separator/>
      </w:r>
    </w:p>
  </w:footnote>
  <w:footnote w:type="continuationSeparator" w:id="0">
    <w:p w14:paraId="0EC653FD" w14:textId="77777777" w:rsidR="001E7600" w:rsidRDefault="001E7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FD5" w14:textId="77777777" w:rsidR="00795A78" w:rsidRDefault="00A338E6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7CA52" w14:textId="77777777" w:rsidR="00795A7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DC9" w14:textId="77777777" w:rsidR="00795A78" w:rsidRDefault="00A338E6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7A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90AA5F" w14:textId="77777777" w:rsidR="00795A7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71D"/>
    <w:multiLevelType w:val="hybridMultilevel"/>
    <w:tmpl w:val="8BB66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7028"/>
    <w:multiLevelType w:val="multilevel"/>
    <w:tmpl w:val="F39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526996">
    <w:abstractNumId w:val="0"/>
  </w:num>
  <w:num w:numId="2" w16cid:durableId="28462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A"/>
    <w:rsid w:val="00032143"/>
    <w:rsid w:val="000537D8"/>
    <w:rsid w:val="00066579"/>
    <w:rsid w:val="00076194"/>
    <w:rsid w:val="00081DE1"/>
    <w:rsid w:val="0009263C"/>
    <w:rsid w:val="000A2A50"/>
    <w:rsid w:val="000A7F6B"/>
    <w:rsid w:val="000B6BB7"/>
    <w:rsid w:val="000C00CC"/>
    <w:rsid w:val="000D07D1"/>
    <w:rsid w:val="000D522D"/>
    <w:rsid w:val="000E4544"/>
    <w:rsid w:val="00100BA9"/>
    <w:rsid w:val="00116A70"/>
    <w:rsid w:val="00132BA8"/>
    <w:rsid w:val="00134458"/>
    <w:rsid w:val="00174339"/>
    <w:rsid w:val="001910DD"/>
    <w:rsid w:val="00192F11"/>
    <w:rsid w:val="0019507C"/>
    <w:rsid w:val="001B6EFA"/>
    <w:rsid w:val="001C178E"/>
    <w:rsid w:val="001E2988"/>
    <w:rsid w:val="001E5199"/>
    <w:rsid w:val="001E7600"/>
    <w:rsid w:val="001F2ADA"/>
    <w:rsid w:val="00207D0B"/>
    <w:rsid w:val="002E1478"/>
    <w:rsid w:val="002F0566"/>
    <w:rsid w:val="003225B0"/>
    <w:rsid w:val="00361903"/>
    <w:rsid w:val="0036784B"/>
    <w:rsid w:val="003A0C16"/>
    <w:rsid w:val="003A3552"/>
    <w:rsid w:val="003B275C"/>
    <w:rsid w:val="003C7746"/>
    <w:rsid w:val="00460973"/>
    <w:rsid w:val="0048535E"/>
    <w:rsid w:val="004A075B"/>
    <w:rsid w:val="004B3314"/>
    <w:rsid w:val="004D54A5"/>
    <w:rsid w:val="004E1042"/>
    <w:rsid w:val="005039FC"/>
    <w:rsid w:val="00522FA9"/>
    <w:rsid w:val="00541111"/>
    <w:rsid w:val="005567C9"/>
    <w:rsid w:val="005628BF"/>
    <w:rsid w:val="00581B06"/>
    <w:rsid w:val="00585BA9"/>
    <w:rsid w:val="005C2859"/>
    <w:rsid w:val="005C571D"/>
    <w:rsid w:val="005D410A"/>
    <w:rsid w:val="005F2552"/>
    <w:rsid w:val="00606C78"/>
    <w:rsid w:val="006254A4"/>
    <w:rsid w:val="00631968"/>
    <w:rsid w:val="006345EA"/>
    <w:rsid w:val="006474C9"/>
    <w:rsid w:val="00667329"/>
    <w:rsid w:val="00671298"/>
    <w:rsid w:val="00687CCD"/>
    <w:rsid w:val="00697FC8"/>
    <w:rsid w:val="006D4FD5"/>
    <w:rsid w:val="006E1B2B"/>
    <w:rsid w:val="007168AC"/>
    <w:rsid w:val="00760A7F"/>
    <w:rsid w:val="00765B57"/>
    <w:rsid w:val="007714D2"/>
    <w:rsid w:val="00782E74"/>
    <w:rsid w:val="007B3CAD"/>
    <w:rsid w:val="007B746A"/>
    <w:rsid w:val="007D06A8"/>
    <w:rsid w:val="007E2BAD"/>
    <w:rsid w:val="008137AB"/>
    <w:rsid w:val="0082063A"/>
    <w:rsid w:val="00840664"/>
    <w:rsid w:val="00851F6D"/>
    <w:rsid w:val="00860DAE"/>
    <w:rsid w:val="00861E11"/>
    <w:rsid w:val="008D1E35"/>
    <w:rsid w:val="008E180D"/>
    <w:rsid w:val="008F7537"/>
    <w:rsid w:val="009059F7"/>
    <w:rsid w:val="00921249"/>
    <w:rsid w:val="00930A4B"/>
    <w:rsid w:val="00941544"/>
    <w:rsid w:val="009751D4"/>
    <w:rsid w:val="00986113"/>
    <w:rsid w:val="009B3481"/>
    <w:rsid w:val="009C707E"/>
    <w:rsid w:val="009D2C37"/>
    <w:rsid w:val="009D334B"/>
    <w:rsid w:val="009E21BC"/>
    <w:rsid w:val="009E61D2"/>
    <w:rsid w:val="00A338E6"/>
    <w:rsid w:val="00A62A7B"/>
    <w:rsid w:val="00A6461C"/>
    <w:rsid w:val="00AB08EC"/>
    <w:rsid w:val="00AD41A1"/>
    <w:rsid w:val="00B1359C"/>
    <w:rsid w:val="00B22F95"/>
    <w:rsid w:val="00B57AD2"/>
    <w:rsid w:val="00B64F95"/>
    <w:rsid w:val="00B86F3C"/>
    <w:rsid w:val="00BA7650"/>
    <w:rsid w:val="00BD2F0C"/>
    <w:rsid w:val="00BE03F2"/>
    <w:rsid w:val="00BE7DE8"/>
    <w:rsid w:val="00BF1100"/>
    <w:rsid w:val="00BF7693"/>
    <w:rsid w:val="00C45669"/>
    <w:rsid w:val="00C5746C"/>
    <w:rsid w:val="00C71361"/>
    <w:rsid w:val="00C8489A"/>
    <w:rsid w:val="00C87D81"/>
    <w:rsid w:val="00CA70FD"/>
    <w:rsid w:val="00CA75A7"/>
    <w:rsid w:val="00CE21F6"/>
    <w:rsid w:val="00CE4AA1"/>
    <w:rsid w:val="00CF30EC"/>
    <w:rsid w:val="00D14273"/>
    <w:rsid w:val="00D36C52"/>
    <w:rsid w:val="00D379B4"/>
    <w:rsid w:val="00D46682"/>
    <w:rsid w:val="00D541F5"/>
    <w:rsid w:val="00D577D0"/>
    <w:rsid w:val="00D975EE"/>
    <w:rsid w:val="00DE3056"/>
    <w:rsid w:val="00DF4CBD"/>
    <w:rsid w:val="00E12199"/>
    <w:rsid w:val="00E159D7"/>
    <w:rsid w:val="00E17ED1"/>
    <w:rsid w:val="00E209BB"/>
    <w:rsid w:val="00E42F4D"/>
    <w:rsid w:val="00E51567"/>
    <w:rsid w:val="00E875AF"/>
    <w:rsid w:val="00EC72C4"/>
    <w:rsid w:val="00ED5331"/>
    <w:rsid w:val="00ED67DD"/>
    <w:rsid w:val="00EE46A1"/>
    <w:rsid w:val="00EE49AC"/>
    <w:rsid w:val="00EE7E8F"/>
    <w:rsid w:val="00EF055E"/>
    <w:rsid w:val="00EF1EBB"/>
    <w:rsid w:val="00EF5D70"/>
    <w:rsid w:val="00EF77F7"/>
    <w:rsid w:val="00F01B26"/>
    <w:rsid w:val="00F0440F"/>
    <w:rsid w:val="00F133AA"/>
    <w:rsid w:val="00F164A5"/>
    <w:rsid w:val="00F45D4F"/>
    <w:rsid w:val="00F643B5"/>
    <w:rsid w:val="00F744A4"/>
    <w:rsid w:val="00F755BE"/>
    <w:rsid w:val="00F846AC"/>
    <w:rsid w:val="00F927BC"/>
    <w:rsid w:val="00FB6B97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BD8"/>
  <w15:docId w15:val="{1EAC3355-032D-4877-870B-F9B9EE7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3A"/>
    <w:pPr>
      <w:widowControl w:val="0"/>
      <w:tabs>
        <w:tab w:val="left" w:pos="567"/>
        <w:tab w:val="left" w:pos="4961"/>
      </w:tabs>
      <w:spacing w:after="0" w:line="48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63A"/>
    <w:pPr>
      <w:tabs>
        <w:tab w:val="clear" w:pos="567"/>
        <w:tab w:val="clear" w:pos="4961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63A"/>
    <w:rPr>
      <w:rFonts w:ascii="Arial" w:eastAsia="SimSun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2063A"/>
  </w:style>
  <w:style w:type="table" w:styleId="TableGrid">
    <w:name w:val="Table Grid"/>
    <w:basedOn w:val="TableNormal"/>
    <w:uiPriority w:val="59"/>
    <w:unhideWhenUsed/>
    <w:rsid w:val="000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11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164A5"/>
    <w:pPr>
      <w:widowControl w:val="0"/>
      <w:tabs>
        <w:tab w:val="left" w:pos="567"/>
        <w:tab w:val="left" w:pos="4961"/>
      </w:tabs>
      <w:spacing w:after="0" w:line="24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395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DAMIANOUA</dc:creator>
  <cp:lastModifiedBy>MANTOVANI</cp:lastModifiedBy>
  <cp:revision>13</cp:revision>
  <cp:lastPrinted>2017-02-22T12:08:00Z</cp:lastPrinted>
  <dcterms:created xsi:type="dcterms:W3CDTF">2021-12-01T07:03:00Z</dcterms:created>
  <dcterms:modified xsi:type="dcterms:W3CDTF">2023-06-30T09:07:00Z</dcterms:modified>
</cp:coreProperties>
</file>