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3BBA" w14:textId="77777777" w:rsidR="00C264D6" w:rsidRDefault="00C264D6" w:rsidP="00FE2F90">
      <w:pPr>
        <w:tabs>
          <w:tab w:val="left" w:pos="284"/>
          <w:tab w:val="left" w:pos="567"/>
        </w:tabs>
        <w:spacing w:after="0" w:line="360" w:lineRule="auto"/>
        <w:ind w:right="-376"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Hlk130557771"/>
    </w:p>
    <w:p w14:paraId="6E51390E" w14:textId="2FE85D6F" w:rsidR="005D6030" w:rsidRPr="00FE2F90" w:rsidRDefault="00FE2F90" w:rsidP="00FE2F90">
      <w:pPr>
        <w:tabs>
          <w:tab w:val="left" w:pos="284"/>
          <w:tab w:val="left" w:pos="567"/>
        </w:tabs>
        <w:spacing w:after="0" w:line="360" w:lineRule="auto"/>
        <w:ind w:right="-376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ΝΟΜΟΣ ΠΟΥ ΠΡΟΒΛΕΠΕΙ ΓΙΑ ΤΗΝ </w:t>
      </w:r>
      <w:r w:rsidR="007A477F" w:rsidRPr="00FE2F90">
        <w:rPr>
          <w:rFonts w:ascii="Arial" w:hAnsi="Arial" w:cs="Arial"/>
          <w:sz w:val="24"/>
          <w:szCs w:val="24"/>
          <w:lang w:val="el-GR"/>
        </w:rPr>
        <w:t>ΚΑΤΑΓΡΑΦΗ</w:t>
      </w:r>
      <w:r w:rsidR="001575F5" w:rsidRPr="00FE2F90">
        <w:rPr>
          <w:rFonts w:ascii="Arial" w:hAnsi="Arial" w:cs="Arial"/>
          <w:sz w:val="24"/>
          <w:szCs w:val="24"/>
          <w:lang w:val="el-GR"/>
        </w:rPr>
        <w:t xml:space="preserve"> ΚΑΙ ΠΑΡΑΚΟΛΟΥΘΗΣΗ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A477F" w:rsidRPr="00FE2F90">
        <w:rPr>
          <w:rFonts w:ascii="Arial" w:hAnsi="Arial" w:cs="Arial"/>
          <w:sz w:val="24"/>
          <w:szCs w:val="24"/>
          <w:lang w:val="el-GR"/>
        </w:rPr>
        <w:t>ΤΙΜΩΝ</w:t>
      </w:r>
      <w:r w:rsidR="005B7B55" w:rsidRPr="00FE2F90">
        <w:rPr>
          <w:rFonts w:ascii="Arial" w:hAnsi="Arial" w:cs="Arial"/>
          <w:sz w:val="24"/>
          <w:szCs w:val="24"/>
          <w:lang w:val="el-GR"/>
        </w:rPr>
        <w:t xml:space="preserve"> </w:t>
      </w:r>
      <w:r w:rsidR="004A32A1" w:rsidRPr="00FE2F90">
        <w:rPr>
          <w:rFonts w:ascii="Arial" w:hAnsi="Arial" w:cs="Arial"/>
          <w:sz w:val="24"/>
          <w:szCs w:val="24"/>
          <w:lang w:val="el-GR"/>
        </w:rPr>
        <w:t xml:space="preserve">ΛΙΑΝΙΚΗΣ </w:t>
      </w:r>
      <w:r w:rsidR="005B7B55" w:rsidRPr="00FE2F90">
        <w:rPr>
          <w:rFonts w:ascii="Arial" w:hAnsi="Arial" w:cs="Arial"/>
          <w:sz w:val="24"/>
          <w:szCs w:val="24"/>
          <w:lang w:val="el-GR"/>
        </w:rPr>
        <w:t>ΠΩΛΗΣΗΣ</w:t>
      </w:r>
      <w:r w:rsidR="00EF325F" w:rsidRPr="00FE2F90">
        <w:rPr>
          <w:rFonts w:ascii="Arial" w:hAnsi="Arial" w:cs="Arial"/>
          <w:sz w:val="24"/>
          <w:szCs w:val="24"/>
          <w:lang w:val="el-GR"/>
        </w:rPr>
        <w:t xml:space="preserve"> </w:t>
      </w:r>
      <w:r w:rsidR="007A477F" w:rsidRPr="00FE2F90">
        <w:rPr>
          <w:rFonts w:ascii="Arial" w:hAnsi="Arial" w:cs="Arial"/>
          <w:sz w:val="24"/>
          <w:szCs w:val="24"/>
          <w:lang w:val="el-GR"/>
        </w:rPr>
        <w:t xml:space="preserve">ΠΡΟΙΟΝΤΩΝ </w:t>
      </w:r>
    </w:p>
    <w:p w14:paraId="3D06C6A5" w14:textId="77777777" w:rsidR="005D6030" w:rsidRPr="00FE2F90" w:rsidRDefault="005D6030" w:rsidP="00FE2F90">
      <w:pPr>
        <w:tabs>
          <w:tab w:val="left" w:pos="284"/>
          <w:tab w:val="left" w:pos="567"/>
        </w:tabs>
        <w:spacing w:after="0" w:line="360" w:lineRule="auto"/>
        <w:ind w:right="-376"/>
        <w:jc w:val="center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6"/>
        <w:gridCol w:w="17"/>
        <w:gridCol w:w="1151"/>
        <w:gridCol w:w="42"/>
        <w:gridCol w:w="46"/>
        <w:gridCol w:w="108"/>
        <w:gridCol w:w="6110"/>
        <w:gridCol w:w="10"/>
        <w:gridCol w:w="8"/>
      </w:tblGrid>
      <w:tr w:rsidR="001F455F" w:rsidRPr="00E72562" w14:paraId="75558840" w14:textId="77777777" w:rsidTr="005B73F6">
        <w:trPr>
          <w:gridAfter w:val="2"/>
          <w:wAfter w:w="9" w:type="pct"/>
          <w:trHeight w:val="1305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8BD2" w14:textId="77777777" w:rsidR="005E754E" w:rsidRPr="00FE2F90" w:rsidRDefault="005E754E" w:rsidP="00FE2F90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Προοίμιο</w:t>
            </w:r>
            <w:r w:rsidR="004A32A1" w:rsidRPr="00FE2F9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3D600" w14:textId="77777777" w:rsidR="00820A92" w:rsidRPr="00FE2F90" w:rsidRDefault="005E754E" w:rsidP="00FE2F9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ΕΠΕΙΔΗ,</w:t>
            </w:r>
            <w:r w:rsidR="00951B49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6372C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σκοπούς προστασίας των συμφερόντων των καταναλωτών,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κρίνεται αναγκαία η καλύτερη δυνατή ενημέρωση των καταναλωτών για τις τιμές αγοράς, η οποία θα επιτευχθεί μέσω της εισαγωγής ενός ψηφιακού εργαλείου παρουσίασης τιμών καταναλωτικών προϊόντων το οποίο θα ενισχύσει τη διαφάνεια και την άμεση πληροφόρηση</w:t>
            </w:r>
            <w:r w:rsidR="004A32A1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του Κύπριου καταναλωτή για τις τιμές και</w:t>
            </w:r>
            <w:r w:rsidR="0088302F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τη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διαθεσιμότητα σημαντικών για το νοικοκυριό προϊόντων</w:t>
            </w:r>
            <w:r w:rsidR="004A32A1" w:rsidRPr="00FE2F9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1F455F" w:rsidRPr="00E72562" w14:paraId="0BB2C072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8FFAD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57694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1F455F" w:rsidRPr="00E72562" w14:paraId="72F26B0D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D7D20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618CE" w14:textId="025FD0D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ΚΑΙ ΕΠΕΙΔΗ, η εισαγωγή ενός ψηφιακού εργαλείου παρουσίασης τιμών προϊόντων,</w:t>
            </w:r>
            <w:r w:rsidR="00D61B3F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θα συμβάλει στις προσπάθειες της Υπηρεσίας Προστασίας Καταναλωτή να παρακολουθεί την αγορά, με σκοπό την αποτελεσματικότερη άσκηση των αρμοδιοτήτων της και την καλύτερη διασφάλιση των συμφερόντων των καταναλωτών</w:t>
            </w:r>
            <w:r w:rsidR="004140A4" w:rsidRPr="00FE2F9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</w:tc>
      </w:tr>
      <w:tr w:rsidR="001F455F" w:rsidRPr="00E72562" w14:paraId="002EF7A5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D838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0B7FB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1F455F" w:rsidRPr="00E72562" w14:paraId="3E7A3350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F3827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0763" w14:textId="48ADC29D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n-US"/>
              </w:rPr>
              <w:t>KAI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ΕΠΕΙΔΗ, κρίνεται απαραίτητη η συνεχής εφαρμογή πρόσθετων πολιτικών στήριξης των καταναλωτών, έτσι ώστε να αντιμετωπίζονται με τον καλύτερο δυνατό τρόπο οποιεσδήποτε αρνητικές οικονομικές συνθήκες,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ιδίως</w:t>
            </w:r>
            <w:r w:rsidR="0003455B" w:rsidRPr="00FE2F9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743B4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σε περ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>ιό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δους εξωγενών κρίσεων που επηρεάζουν την αγοραστική δύναμη και τα γενικότερα συμφέροντα </w:t>
            </w:r>
            <w:r w:rsidR="004140A4"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καταναλωτών, </w:t>
            </w:r>
          </w:p>
        </w:tc>
      </w:tr>
      <w:tr w:rsidR="001F455F" w:rsidRPr="00E72562" w14:paraId="627BFD6C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F4F70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7718C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1F455F" w:rsidRPr="00E72562" w14:paraId="2807D103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5F1EC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0ED4D5" w14:textId="18C97B68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Για όλους τους πιο πάνω λόγους</w:t>
            </w:r>
            <w:r w:rsidR="00FE2F9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η Βουλή των Αντιπροσώπων</w:t>
            </w:r>
            <w:r w:rsid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ψηφίζει ως ακολούθως:</w:t>
            </w:r>
          </w:p>
        </w:tc>
      </w:tr>
      <w:tr w:rsidR="001F455F" w:rsidRPr="00E72562" w14:paraId="03B07EC9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A2D91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2E67A" w14:textId="77777777" w:rsidR="006D4378" w:rsidRPr="00FE2F90" w:rsidRDefault="006D4378" w:rsidP="00FE2F90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2EEDAEA8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1004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0E0EE7B1" w14:textId="7434AFE8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τίτλος. 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B2A2B" w14:textId="2A356C14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</w:t>
            </w:r>
            <w:proofErr w:type="spellStart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Nόμος</w:t>
            </w:r>
            <w:proofErr w:type="spellEnd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θα αναφέρεται ως ο περί Καταγραφής και Παρακολούθησης Τιμών Λιανικής Πώλησης Προ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ϊ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όντων </w:t>
            </w:r>
            <w:r w:rsidRPr="00FE2F9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όμος</w:t>
            </w:r>
            <w:proofErr w:type="spellEnd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2023.</w:t>
            </w:r>
          </w:p>
        </w:tc>
      </w:tr>
      <w:tr w:rsidR="001706E6" w:rsidRPr="00E72562" w14:paraId="1222DD53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2CCA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E256A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264D6" w:rsidRPr="00E72562" w14:paraId="579E7D5B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6DCE2" w14:textId="77777777" w:rsidR="00C264D6" w:rsidRPr="00FE2F90" w:rsidRDefault="00C264D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4BB9E" w14:textId="77777777" w:rsidR="00C264D6" w:rsidRPr="00FE2F90" w:rsidRDefault="00C264D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264D6" w:rsidRPr="00E72562" w14:paraId="124FEB77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DF60D" w14:textId="77777777" w:rsidR="00C264D6" w:rsidRPr="00FE2F90" w:rsidRDefault="00C264D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154DA0" w14:textId="77777777" w:rsidR="00C264D6" w:rsidRPr="00FE2F90" w:rsidRDefault="00C264D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264D6" w:rsidRPr="00E72562" w14:paraId="6E5437A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40183" w14:textId="77777777" w:rsidR="00C264D6" w:rsidRPr="00FE2F90" w:rsidRDefault="00C264D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0AE085" w14:textId="77777777" w:rsidR="00C264D6" w:rsidRPr="00FE2F90" w:rsidRDefault="00C264D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35DC1" w:rsidRPr="00E72562" w14:paraId="61E95B6D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FA50" w14:textId="77777777" w:rsidR="00C35DC1" w:rsidRPr="00FE2F90" w:rsidRDefault="00C35DC1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59875" w14:textId="2DE2F6EF" w:rsidR="00C35DC1" w:rsidRPr="00FE2F90" w:rsidRDefault="00C35DC1" w:rsidP="00C35DC1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ΜΕΡΟΣ Ι</w:t>
            </w:r>
          </w:p>
          <w:p w14:paraId="3B986F0F" w14:textId="4D46BD8F" w:rsidR="00C35DC1" w:rsidRPr="00FE2F90" w:rsidRDefault="00C35DC1" w:rsidP="00C35DC1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ΕΡΜΗΝΕΙΑ ΚΑΙ ΕΙΣΑΓΩΓΙΚΕΣ ΔΙΑΤΑΞΕΙΣ</w:t>
            </w:r>
          </w:p>
        </w:tc>
      </w:tr>
      <w:tr w:rsidR="001706E6" w:rsidRPr="00E72562" w14:paraId="4EECEB9E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3EC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0A370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72800ACF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82D1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Ερμηνεία.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67A57" w14:textId="738643E0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Στον παρόντα Νόμο, εκτός εάν από το κείμενο προκύπτει διαφορετική έννοια-</w:t>
            </w:r>
          </w:p>
        </w:tc>
      </w:tr>
      <w:tr w:rsidR="001706E6" w:rsidRPr="00E72562" w14:paraId="4CC9F353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B91A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8051A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1780A004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87B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CAC1FB" w14:textId="0C9EB15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«Αρμόδια Αρχή» σημαίνει το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Διευθυντή της Υπηρεσίας Προστασίας Καταναλωτή του Υπουργείου Ενέργειας, Εμπορίου και Βιομηχανίας και οποιονδήποτε λειτουργό της εν λόγω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υ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πηρεσίας ή άλλο πρόσωπο ειδικά εξουσιοδοτημένο από αυτόν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δυνάμει των διατάξεων του 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άρθρο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υ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11· </w:t>
            </w:r>
          </w:p>
        </w:tc>
      </w:tr>
      <w:tr w:rsidR="001706E6" w:rsidRPr="00E72562" w14:paraId="17F8F02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7672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D621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0BBC758C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22CA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7379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left="720" w:hanging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«Δημοκρατία» σημαίνει την Κυπριακή Δημοκρατία∙</w:t>
            </w:r>
          </w:p>
        </w:tc>
      </w:tr>
      <w:tr w:rsidR="001706E6" w:rsidRPr="00E72562" w14:paraId="0E326191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63FA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56BB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4091E93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5A47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3F45A" w14:textId="7F279F8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left="50" w:hanging="5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ιάταγμα» σημαίνει διάταγμα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το οποίο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εκδίδεται δυνάμει των διατάξεων του παρόντος Νόμου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και δημοσιεύεται στην Επίσημη Εφημερίδα της Δημοκρατίας</w:t>
            </w:r>
            <w:r w:rsidR="00A97DD1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1706E6" w:rsidRPr="00E72562" w14:paraId="15D0C971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295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6DAB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5B176BF2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CA15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52274" w14:textId="73438DC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«Διευθυντής» σημαίνει το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Διευθυντή της Υπηρεσίας Προστασίας Καταναλωτή του Υπουργείου·</w:t>
            </w:r>
          </w:p>
        </w:tc>
      </w:tr>
      <w:tr w:rsidR="001706E6" w:rsidRPr="00E72562" w14:paraId="32747FC0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4F86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A914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71EA871B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5C79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783DE" w14:textId="4D0886F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«επιχείρηση τροφίμων και άλλων προϊόντων» ή «επιχείρηση» σημαίνει  την επιχείρηση υπεραγορών τροφίμων και άλλων </w:t>
            </w:r>
            <w:proofErr w:type="spellStart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προιόντων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η οποία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ασκει</w:t>
            </w:r>
            <w:proofErr w:type="spellEnd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δραστηριότητες λιανικής πώλησης προϊόντων·</w:t>
            </w:r>
          </w:p>
        </w:tc>
      </w:tr>
      <w:tr w:rsidR="001706E6" w:rsidRPr="00E72562" w14:paraId="66106166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DFE2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B4AC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50998936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56D3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C4ED8" w14:textId="7F16E156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«ηλεκτρονική </w:t>
            </w:r>
            <w:proofErr w:type="spellStart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πρατφόρμα</w:t>
            </w:r>
            <w:proofErr w:type="spellEnd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» σημαίνει το ηλεκτρονικό σύστημα με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την ονομασία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481110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e-καλάθι</w:t>
            </w:r>
            <w:r w:rsidRPr="00481110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με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ηλεκτρονική διεύθυνση </w:t>
            </w:r>
            <w:hyperlink r:id="rId8" w:history="1">
              <w:r w:rsidRPr="00FE2F90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www.e-</w:t>
              </w:r>
              <w:proofErr w:type="spellStart"/>
              <w:r w:rsidRPr="00FE2F9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kalathi</w:t>
              </w:r>
              <w:proofErr w:type="spellEnd"/>
              <w:r w:rsidRPr="00FE2F90">
                <w:rPr>
                  <w:rStyle w:val="Hyperlink"/>
                  <w:rFonts w:ascii="Arial" w:hAnsi="Arial" w:cs="Arial"/>
                  <w:sz w:val="24"/>
                  <w:szCs w:val="24"/>
                  <w:lang w:val="el-GR"/>
                </w:rPr>
                <w:t>.gov.cy</w:t>
              </w:r>
            </w:hyperlink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η οποία 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>προβλέπεται στις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διατάξε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>ις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του άρθρου 7·</w:t>
            </w:r>
          </w:p>
        </w:tc>
      </w:tr>
      <w:tr w:rsidR="001706E6" w:rsidRPr="00E72562" w14:paraId="4B33C58B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C9F8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A0C85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643334B6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8C0B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FFCD" w14:textId="4178AC4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«κωδικός προϊόντος» σημαίνει τον κωδικό που ορίζει ο Υπουργός για ένα προϊόν ο οποίος αντιστοιχεί σε όλους τους γραμμικούς κώδικες που αφορούν το συγκεκριμένο προϊόν και οι οποίοι διατίθενται στην αγορά</w:t>
            </w:r>
            <w:r w:rsidR="00BA69C4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1706E6" w:rsidRPr="00E72562" w14:paraId="7F326D5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1C72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B27B55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7FFCF353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111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EF294" w14:textId="40861234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proofErr w:type="spellStart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μοναδιαία</w:t>
            </w:r>
            <w:proofErr w:type="spellEnd"/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τιμή» σημαίνει την τελική λιανική τιμή, συμπεριλαμβανομέν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φ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όρου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ροστιθέμενης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ξίας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και όλων των λοιπών φόρων, η οποία ισχύει για ποσότητα ενός χιλιόγραμμου, ενός λίτρου, ενός μέτρου, ενός τετραγωνικού μέτρου ή ενός κυβικού μέτρου του προϊόντος ή όταν τα προϊόντα πωλούνται με αριθμό, την τελική τιμή για ένα μεμονωμένο προϊόν</w:t>
            </w:r>
            <w:r w:rsidR="00667B15">
              <w:rPr>
                <w:rFonts w:ascii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1706E6" w:rsidRPr="00E72562" w14:paraId="257E202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FB60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C6322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7F65019E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4AE9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2CBC88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936001" w14:textId="6F3A6926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Παράρτημα. 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D6B831" w14:textId="3C0A40D8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«προϊόν» σημαίνει οποι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δήποτε αγαθ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ό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αποτιμ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εί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ται</w:t>
            </w:r>
            <w:proofErr w:type="spellEnd"/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σε χρήμα, τ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οποί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έχ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ει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την υψηλότερη κατανάλωση και εμπίπτ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ει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στις κατηγορίες προϊ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ό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ντων που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περιλαμβάνονται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στο Παράρτημα, τ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οποί</w:t>
            </w:r>
            <w:r w:rsidR="00C264D6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ο</w:t>
            </w:r>
            <w:r w:rsidR="00DA644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διατίθεται στις επιχειρήσεις τροφίμων και άλλων προϊόντων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1706E6" w:rsidRPr="00E72562" w14:paraId="03F7E5FB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C181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4F06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7BAEC01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E8EF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0AB0B" w14:textId="29C250FA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«τιμή πώλησης» σημαίνει την τελική λιανική τιμή που ισχύει για μία μονάδα του προϊόντος ή για δεδομένη ποσότητα του προϊόντος, συμπεριλαμβανομέν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>φόρου προστιθέμενης αξίας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όλων των λοιπών φόρων∙</w:t>
            </w:r>
          </w:p>
        </w:tc>
      </w:tr>
      <w:tr w:rsidR="001706E6" w:rsidRPr="00E72562" w14:paraId="45B3E9A5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C901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FFC84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786D1A33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373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DC50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«Υπουργείο» σημαίνει το Υπουργείο Ενέργειας, Εμπορίου και Βιομηχανίας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·</w:t>
            </w:r>
          </w:p>
        </w:tc>
      </w:tr>
      <w:tr w:rsidR="001706E6" w:rsidRPr="00E72562" w14:paraId="6A1DC8FE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3034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0774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4FA50B9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4BA9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66E60" w14:textId="6C6C383F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Υ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πουργός» σημαίνει τον Υπουργό Ενέργειας, Εμπορίου</w:t>
            </w:r>
            <w:r w:rsidR="00F15A5A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και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 xml:space="preserve"> και Βιομηχανίας.</w:t>
            </w:r>
          </w:p>
        </w:tc>
      </w:tr>
      <w:tr w:rsidR="001706E6" w:rsidRPr="00E72562" w14:paraId="1B3FA755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AEBA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F8EA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-37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1706E6" w:rsidRPr="00E72562" w14:paraId="5BC21F4D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E8620" w14:textId="77777777" w:rsidR="00C35DC1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Σκοπός του παρόντος </w:t>
            </w:r>
          </w:p>
          <w:p w14:paraId="7403307B" w14:textId="20237F7C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>Νόμου.</w:t>
            </w:r>
          </w:p>
          <w:p w14:paraId="3967DF4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0ECDB7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9AD358E" w14:textId="77777777" w:rsidR="001706E6" w:rsidRDefault="001706E6" w:rsidP="001706E6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  <w:p w14:paraId="357008BF" w14:textId="77777777" w:rsidR="00C264D6" w:rsidRPr="00FE2F90" w:rsidRDefault="00C264D6" w:rsidP="001706E6">
            <w:pPr>
              <w:pStyle w:val="toc-instrument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  <w:p w14:paraId="7FD2CFF0" w14:textId="260C66D9" w:rsidR="001706E6" w:rsidRPr="00FE2F90" w:rsidRDefault="00B03F15" w:rsidP="001706E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</w:t>
            </w:r>
            <w:r w:rsidR="001706E6"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>12(Ι) του 2021</w:t>
            </w:r>
          </w:p>
          <w:p w14:paraId="55802F8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>46(Ι) του 2022</w:t>
            </w:r>
          </w:p>
          <w:p w14:paraId="31AD6714" w14:textId="77777777" w:rsidR="001706E6" w:rsidRPr="00FE2F90" w:rsidRDefault="001706E6" w:rsidP="00B03F15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>166(Ι) του 2022.</w:t>
            </w:r>
          </w:p>
          <w:p w14:paraId="26C9CD8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lastRenderedPageBreak/>
              <w:t>104(Ι) του 2012</w:t>
            </w:r>
          </w:p>
          <w:p w14:paraId="26DF32C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>146(I) του 2018</w:t>
            </w:r>
          </w:p>
          <w:p w14:paraId="5BACAC2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bCs/>
                <w:sz w:val="24"/>
                <w:szCs w:val="24"/>
                <w:lang w:val="el-GR"/>
              </w:rPr>
              <w:t>142(I) του 2022.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436AC" w14:textId="5DC638A1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3.</w:t>
            </w:r>
            <w:r w:rsidR="00C35DC1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C35DC1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θεσπίζει κανόνες σχετικά με τη διαδικασία καταγραφής και παρακολούθησης τιμών πώλησης προϊόντων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στόχο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αφενός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άμεση και καλύτερη ενημέρωση των καταναλωτών για την ημερήσια τιμή λιανικής πώλησης προ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ϊ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όντων τα οποία καθορίζονται σε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ιάταγμα και αφετέρου</w:t>
            </w:r>
            <w:r w:rsidR="00C264D6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παρακολούθηση των τιμών από την Αρμόδια Αρχή για σκοπούς άσκησης των αρμοδιοτήτων της, δυνάμει </w:t>
            </w:r>
            <w:r w:rsidR="00B03F15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παρόντος Νόμου, του περί Προστασίας του Καταναλωτή Νόμου και του </w:t>
            </w:r>
            <w:r w:rsidRPr="00FE2F90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t>περί Καθορισμού Ανωτάτων Τιμών Χονδρικής και Λιανικής Πώλησης σε Ειδικές Περιπτώσεις Νόμου.</w:t>
            </w:r>
          </w:p>
        </w:tc>
      </w:tr>
      <w:tr w:rsidR="001706E6" w:rsidRPr="00E72562" w14:paraId="4EA89746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7BD5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8844F" w14:textId="77777777" w:rsidR="001706E6" w:rsidRPr="00FE2F90" w:rsidRDefault="001706E6" w:rsidP="001706E6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35DC1" w:rsidRPr="00E72562" w14:paraId="7596EBAE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488EB" w14:textId="77777777" w:rsidR="00C35DC1" w:rsidRPr="00FE2F90" w:rsidRDefault="00C35DC1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F6FE0" w14:textId="77777777" w:rsidR="00C35DC1" w:rsidRPr="00E81292" w:rsidRDefault="00C35DC1" w:rsidP="00C35DC1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lang w:val="el-GR"/>
              </w:rPr>
            </w:pPr>
            <w:r w:rsidRPr="00E81292">
              <w:rPr>
                <w:rFonts w:ascii="Arial" w:hAnsi="Arial" w:cs="Arial"/>
                <w:bCs/>
                <w:lang w:val="el-GR"/>
              </w:rPr>
              <w:t>ΜΕΡΟΣ ΙΙ</w:t>
            </w:r>
          </w:p>
          <w:p w14:paraId="76855EE8" w14:textId="0DF8B8A1" w:rsidR="00C35DC1" w:rsidRPr="00FE2F90" w:rsidRDefault="00C35DC1" w:rsidP="00C35DC1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E81292">
              <w:rPr>
                <w:rFonts w:ascii="Arial" w:hAnsi="Arial" w:cs="Arial"/>
                <w:bCs/>
                <w:lang w:val="el-GR"/>
              </w:rPr>
              <w:t>ΚΑΤΑΓΡΑΦΗ ΤΙΜΩΝ ΠΩΛΗΣΗΣ ΠΡΟΙΟΝΤΩΝ</w:t>
            </w:r>
          </w:p>
        </w:tc>
      </w:tr>
      <w:tr w:rsidR="001706E6" w:rsidRPr="00E72562" w14:paraId="4FFE6894" w14:textId="77777777" w:rsidTr="005B73F6">
        <w:trPr>
          <w:gridAfter w:val="2"/>
          <w:wAfter w:w="9" w:type="pct"/>
        </w:trPr>
        <w:tc>
          <w:tcPr>
            <w:tcW w:w="49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C04AB2" w14:textId="6201D1EE" w:rsidR="001706E6" w:rsidRPr="00FE2F90" w:rsidRDefault="001706E6" w:rsidP="001706E6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706E6" w:rsidRPr="00E72562" w14:paraId="49466D67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26065" w14:textId="77777777" w:rsidR="001706E6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Επιχειρήσεις </w:t>
            </w:r>
          </w:p>
          <w:p w14:paraId="5F90E4EA" w14:textId="77777777" w:rsidR="001706E6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που υποβάλλουν τιμές</w:t>
            </w:r>
          </w:p>
          <w:p w14:paraId="3A5A1E20" w14:textId="647C4D16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πώλησης</w:t>
            </w:r>
            <w:r w:rsidR="00C264D6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προϊόντων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42871F" w14:textId="532CBD4F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4.-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(1)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Οι επιχειρήσεις τροφίμων και άλλων προϊόντων με ετήσιο κύκλο εργασιών άνω των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πέντε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εκατομμυρίων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υρώ (€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.000.000) υποβ</w:t>
            </w:r>
            <w:r w:rsidR="00C264D6">
              <w:rPr>
                <w:rFonts w:ascii="Arial" w:eastAsia="Calibri" w:hAnsi="Arial" w:cs="Arial"/>
                <w:sz w:val="24"/>
                <w:szCs w:val="24"/>
                <w:lang w:val="el-GR"/>
              </w:rPr>
              <w:t>άλλουν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τιμ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ές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πώλησης σύμφωνα με τις διατάξεις του παρόντος Νόμο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706E6" w:rsidRPr="00E72562" w14:paraId="7CB44072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EAA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39C12B" w14:textId="77777777" w:rsidR="001706E6" w:rsidRPr="00FE2F90" w:rsidRDefault="001706E6" w:rsidP="001706E6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706E6" w:rsidRPr="00E72562" w14:paraId="7AD781CB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94D9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C2E4FD" w14:textId="1D907631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Οποιαδήποτε άλλη επιχείρηση τροφίμων και άλλων προ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ϊ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όντων με ετήσιο κύκλο εργασιών κάτω των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πέντε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εκατομμυριών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υρώ (€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.000.000) δύναται να υποβάλλει τιμές πώλησης </w:t>
            </w:r>
            <w:proofErr w:type="spellStart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προιόντων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="00153B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δυνάμει των διατάξεων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παρόντος Νόμου. </w:t>
            </w:r>
          </w:p>
        </w:tc>
      </w:tr>
      <w:tr w:rsidR="001706E6" w:rsidRPr="00E72562" w14:paraId="77DC46CF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B385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C40B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54D0A3FA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55D3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62E71" w14:textId="78ABB4BB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(3)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Για σκοπούς του παρόντος άρθρου ο κύκλος εργασιών υπολογίζεται βάσει των οικονομικών καταστάσεων της αμέσως προηγούμενης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 την έκδοση του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ιατάγματος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οικονομικής περιόδου.</w:t>
            </w:r>
          </w:p>
        </w:tc>
      </w:tr>
      <w:tr w:rsidR="001706E6" w:rsidRPr="00E72562" w14:paraId="6469BE34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FA2A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F0183" w14:textId="77777777" w:rsidR="001706E6" w:rsidRPr="00FE2F90" w:rsidRDefault="001706E6" w:rsidP="001706E6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706E6" w:rsidRPr="00E72562" w14:paraId="35ABCF5B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C7F8C" w14:textId="2F16CBCD" w:rsidR="001706E6" w:rsidRDefault="00DA644E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Κωδικοί π</w:t>
            </w:r>
            <w:r w:rsidR="001706E6"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ροϊόντ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ων</w:t>
            </w:r>
          </w:p>
          <w:p w14:paraId="2D85EB83" w14:textId="42D6B370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για τα οποία υποβάλλονται τιμές πώλησης.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8BEC9" w14:textId="4D599ED0" w:rsidR="001706E6" w:rsidRPr="00B04B34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5.-</w:t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 xml:space="preserve">Ο Υπουργός καθορίζει με διάταγμα τους κωδικούς προϊόντων για τους οποίους υποβάλλονται από τις επιχειρήσεις δυνάμει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άρθρου 4, τιμές πώλησης, σύμφωνα με τη διαδικασία που καθορίζεται στον παρόντα Νόμο ή/και στους δυνάμει αυτού εκδιδόμενους Κανονισμούς ή/και γνωστοποιήσεις του Διευθυντή. </w:t>
            </w:r>
          </w:p>
        </w:tc>
      </w:tr>
      <w:tr w:rsidR="001706E6" w:rsidRPr="00E72562" w14:paraId="75FA7557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EA19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9D4ED" w14:textId="77777777" w:rsidR="001706E6" w:rsidRPr="00FE2F90" w:rsidRDefault="001706E6" w:rsidP="001706E6">
            <w:pPr>
              <w:pStyle w:val="indent1"/>
              <w:tabs>
                <w:tab w:val="left" w:pos="284"/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706E6" w:rsidRPr="00E72562" w14:paraId="0F9CA9AE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845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6C412" w14:textId="26E92D2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Οι κωδικοί προϊόντων </w:t>
            </w:r>
            <w:r w:rsidR="00B341B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οι οποίοι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καθορίζονται στο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ιατάγμα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 αναθεωρούνται περιοδικά με βάση τις πωλήσεις 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τους</w:t>
            </w:r>
            <w:r w:rsidR="00B341B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αι τις εποχικές ανάγκες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με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ιάταγμα που εκδίδεται από τον Υπουργό.</w:t>
            </w:r>
          </w:p>
        </w:tc>
      </w:tr>
      <w:tr w:rsidR="001706E6" w:rsidRPr="00E72562" w14:paraId="4F28D80E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6221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F6E12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1F4632FF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7666C" w14:textId="77777777" w:rsidR="001706E6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 xml:space="preserve">Στοιχεία </w:t>
            </w:r>
          </w:p>
          <w:p w14:paraId="6CF57C15" w14:textId="5348A67A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που υποβάλλουν οι επιχειρήσεις.</w:t>
            </w: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61A28" w14:textId="3E11F486" w:rsidR="001706E6" w:rsidRPr="00B04B34" w:rsidRDefault="001706E6" w:rsidP="00984C1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6.-</w:t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 xml:space="preserve">Οι επιχειρήσεις υποβάλλουν </w:t>
            </w:r>
            <w:r w:rsidR="00DA644E">
              <w:rPr>
                <w:rFonts w:ascii="Arial" w:hAnsi="Arial" w:cs="Arial"/>
                <w:sz w:val="24"/>
                <w:szCs w:val="24"/>
                <w:lang w:val="el-GR"/>
              </w:rPr>
              <w:t xml:space="preserve">μέσω της </w:t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>ηλεκτρονική</w:t>
            </w:r>
            <w:r w:rsidR="00DA644E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>πρατφόρμα</w:t>
            </w:r>
            <w:r w:rsidR="00DA644E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B04B34">
              <w:rPr>
                <w:rFonts w:ascii="Arial" w:hAnsi="Arial" w:cs="Arial"/>
                <w:sz w:val="24"/>
                <w:szCs w:val="24"/>
                <w:lang w:val="el-GR"/>
              </w:rPr>
              <w:t xml:space="preserve"> τα ακόλουθα στοιχεία: </w:t>
            </w:r>
          </w:p>
        </w:tc>
      </w:tr>
      <w:tr w:rsidR="001706E6" w:rsidRPr="00E72562" w14:paraId="17F22832" w14:textId="77777777" w:rsidTr="005B73F6">
        <w:trPr>
          <w:gridAfter w:val="2"/>
          <w:wAfter w:w="9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F188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D069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FE2F90" w14:paraId="070CD832" w14:textId="77777777" w:rsidTr="005B73F6">
        <w:trPr>
          <w:gridAfter w:val="1"/>
          <w:wAfter w:w="4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CC42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D0825" w14:textId="6EB2B26D" w:rsidR="001706E6" w:rsidRPr="00FE2F90" w:rsidRDefault="001706E6" w:rsidP="00984C1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2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E4B55" w14:textId="596C65C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ην επωνυμία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της επιχείρησης·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1706E6" w:rsidRPr="00FE2F90" w14:paraId="39879518" w14:textId="77777777" w:rsidTr="005B73F6">
        <w:trPr>
          <w:gridAfter w:val="1"/>
          <w:wAfter w:w="4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EA14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CD8B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2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37EE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6A620C78" w14:textId="77777777" w:rsidTr="005B73F6">
        <w:trPr>
          <w:gridAfter w:val="1"/>
          <w:wAfter w:w="4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F904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E2C50" w14:textId="33C966C9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2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6C7F6" w14:textId="22EA3A41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τον αριθμό φορολογικής ταυτότητας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της επιχείρησης·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</w:t>
            </w:r>
          </w:p>
        </w:tc>
      </w:tr>
      <w:tr w:rsidR="001706E6" w:rsidRPr="00E72562" w14:paraId="4E6EB085" w14:textId="77777777" w:rsidTr="005B73F6">
        <w:trPr>
          <w:gridAfter w:val="1"/>
          <w:wAfter w:w="4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4B35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3148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2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69A6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40AEDA22" w14:textId="77777777" w:rsidTr="005B73F6">
        <w:trPr>
          <w:gridAfter w:val="1"/>
          <w:wAfter w:w="4" w:type="pct"/>
        </w:trPr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BA4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42494" w14:textId="3207D2E9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2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C4139" w14:textId="1EA5062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τη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ταχυδρομική διεύθυνση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της επιχείρησης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706E6" w:rsidRPr="00E72562" w14:paraId="6264D8AD" w14:textId="77777777" w:rsidTr="005B73F6">
        <w:trPr>
          <w:gridAfter w:val="1"/>
          <w:wAfter w:w="4" w:type="pct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EF32D8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78D4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27451DAD" w14:textId="77777777" w:rsidTr="005B73F6">
        <w:trPr>
          <w:gridAfter w:val="1"/>
          <w:wAfter w:w="4" w:type="pct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1D961E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8DBAD4" w14:textId="2E9474B2" w:rsidR="001706E6" w:rsidRPr="00FE2F90" w:rsidRDefault="001706E6" w:rsidP="005B73F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Για τα προϊόντα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των οποίων οι κωδικοί περιλήφθηκαν σε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ιάταγμα, οι επιχειρήσεις</w:t>
            </w:r>
            <w:r w:rsidRPr="00B04B3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υποβάλλουν μέσω τυποποιημένου εντύπου, το οποίο καθορίζεται με γνωστοποίηση του Διευθυντή που δημοσιεύεται στην Επίσημη Εφημερίδα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της Δημοκρατίας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, τα ακόλουθα στοιχεία:</w:t>
            </w:r>
          </w:p>
        </w:tc>
      </w:tr>
      <w:tr w:rsidR="001706E6" w:rsidRPr="00E72562" w14:paraId="64E313F8" w14:textId="77777777" w:rsidTr="005B73F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2190345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34B3D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5D8997DF" w14:textId="77777777" w:rsidTr="005B73F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681F00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21BB3" w14:textId="5FB8F162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D963F" w14:textId="0A82CC7B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ην τιμή πώλησης του προϊόντος όπως αυτή αναγράφεται στο προϊόν ή στη συσκευασία του ή στα ράφια της επιχείρησης που είναι τοποθετημένο το προϊόν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1706E6" w:rsidRPr="00E72562" w14:paraId="702F96F5" w14:textId="77777777" w:rsidTr="005B73F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2942D9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4C83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1330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FE2F90" w14:paraId="5EBD777E" w14:textId="77777777" w:rsidTr="005B73F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CBF1685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FE8EB" w14:textId="5B489E05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78246" w14:textId="753D4302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τη </w:t>
            </w:r>
            <w:proofErr w:type="spellStart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μοναδιαία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τιμή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706E6" w:rsidRPr="00FE2F90" w14:paraId="52B23432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259E023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C842A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71C10584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0F3032B" w14:textId="77777777" w:rsidR="00C30873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Ανάπτυξη ηλεκτρονικής </w:t>
            </w:r>
            <w:proofErr w:type="spellStart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πλαφόρμας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9894419" w14:textId="5DA3D36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και διαδικασία υποβολής τιμών πώλησης προϊόντων.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63611" w14:textId="19C7FC0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7.-(1)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Η Αρμόδια Αρχ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μεριμνά για την ανάπτυξη και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λειτουργία της ηλεκτρονικής πλατφόρμας, η οποία αποτελεί το εργαλείο για την αποτελεσματική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φαρμογή των διατάξεων του παρόντος Νόμου. </w:t>
            </w:r>
          </w:p>
          <w:p w14:paraId="035512D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13B33D53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4FD8E5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4B8ED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0328C2C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E44589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87977" w14:textId="109C21A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Η διασύνδεση των επιχειρήσεων με την ηλεκτρονική </w:t>
            </w:r>
            <w:proofErr w:type="spellStart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πρατφόρμα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γίνεται μέσω ασφαλούς διαδικασίας, η οποία καθορίζεται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 xml:space="preserve">με γνωστοποίηση του Διευθυντή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η οποία δημοσιεύεται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στην Επίσημη Εφημερίδα της Δημοκρατίας. </w:t>
            </w:r>
          </w:p>
        </w:tc>
      </w:tr>
      <w:tr w:rsidR="001706E6" w:rsidRPr="00E72562" w14:paraId="6F7B73F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DC5A34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15200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DA644E" w:rsidRPr="00E72562" w14:paraId="122CB2A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5E8BA84" w14:textId="77777777" w:rsidR="00DA644E" w:rsidRPr="00FE2F90" w:rsidRDefault="00DA644E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480677" w14:textId="205A45E3" w:rsidR="00DA644E" w:rsidRPr="00FE2F90" w:rsidRDefault="00DA644E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 xml:space="preserve">Οι επιχειρήσεις τροφίμων και άλλων προϊόντων υποβάλλουν τα στοιχεία που αναφέρονται 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στις διατάξεις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το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άρθρο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6, μέσω της ηλεκτρονικής πλατφόρμας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DA644E" w:rsidRPr="00E72562" w14:paraId="6561E99F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0E04A31" w14:textId="77777777" w:rsidR="00DA644E" w:rsidRPr="00FE2F90" w:rsidRDefault="00DA644E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ADD8B" w14:textId="77777777" w:rsidR="00DA644E" w:rsidRPr="00FE2F90" w:rsidRDefault="00DA644E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00ECAD8F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53A38F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A89F1C" w14:textId="2EFEC973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Χωρίς επηρεασμό 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του εδαφίου (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), η υποβολή τιμών πώλησης π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ρ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οϊόντων πραγματοποιείται από τις επιχειρήσεις καθημεριν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ά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 αργότερο μέχρι τις 8:00 π.μ. ή σε ώρα η οποία καθορίζεται από το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Διευθυντή με γνωστοποίησ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η οποία δημοσιεύεται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στην Επίσημη Εφημερίδα της Δημοκρατίας.</w:t>
            </w:r>
          </w:p>
        </w:tc>
      </w:tr>
      <w:tr w:rsidR="001706E6" w:rsidRPr="00E72562" w14:paraId="1F66C7A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2CB018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059D0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2A45A1B3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5051F0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849B45" w14:textId="2EAB6450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Σε περίπτωση κατά την οποία 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υπάρξει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για οποιο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δήποτε λόγο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εντός της ίδιας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η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μέρας, αλλαγή της τιμής πώλησης του προϊόντος, ως αυτή 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ήδη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υποβλήθηκε, η </w:t>
            </w:r>
            <w:proofErr w:type="spellStart"/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>επιχειρήση</w:t>
            </w:r>
            <w:proofErr w:type="spellEnd"/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τροφίμων και άλλων προϊόντων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αναπροσαρμόζει άμεσα την τιμή την οποία υπέβαλε στην ηλεκτρονική πλατφόρμα.  </w:t>
            </w:r>
          </w:p>
        </w:tc>
      </w:tr>
      <w:tr w:rsidR="001706E6" w:rsidRPr="00E72562" w14:paraId="6DAC1A5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C591EC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FE8E7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7E6C1172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E7C1EE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BB4C53" w14:textId="70DA510F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6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Η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επιχείρηση είναι υπεύθυνη για την ποιότητα της υποδομής που διαθέτει για τη χρήση της ηλεκτρονικής πλατφόρμας και τη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 υποβολή τ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ων στοιχείων που αναφέρονται 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στις διατάξεις του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άρθρο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6.</w:t>
            </w:r>
          </w:p>
        </w:tc>
      </w:tr>
      <w:tr w:rsidR="001706E6" w:rsidRPr="00E72562" w14:paraId="798028E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2E6480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656FD6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3E3E31C8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4AEF12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67268A" w14:textId="33D7FC6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DA644E">
              <w:rPr>
                <w:rFonts w:ascii="Arial" w:eastAsia="Calibri" w:hAnsi="Arial" w:cs="Arial"/>
                <w:sz w:val="24"/>
                <w:szCs w:val="24"/>
                <w:lang w:val="el-GR"/>
              </w:rPr>
              <w:t>7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>H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Αρμόδια Αρχή είναι υπεύθυνη για τη δημοσιοποίηση στην ηλεκτρονική πλατφόρμα των τιμών πώλησης των προϊόντων που υποβάλλονται από τις επιχειρήσεις, ώστε αυτές να τίθενται στη διάθεση των καταναλωτών.</w:t>
            </w:r>
          </w:p>
        </w:tc>
      </w:tr>
      <w:tr w:rsidR="001706E6" w:rsidRPr="00E72562" w14:paraId="0FCF1FAE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308A19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C193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C35DC1" w:rsidRPr="00E72562" w14:paraId="3AA9D343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2FF86DDF" w14:textId="77777777" w:rsidR="00C35DC1" w:rsidRPr="00FE2F90" w:rsidRDefault="00C35DC1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1A7F6B" w14:textId="77777777" w:rsidR="00C35DC1" w:rsidRPr="00CB1D73" w:rsidRDefault="00C35DC1" w:rsidP="00C35DC1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ΜΕΡΟΣ </w:t>
            </w:r>
            <w:r w:rsidRPr="00CB1D73">
              <w:rPr>
                <w:rFonts w:ascii="Arial" w:eastAsia="Calibri" w:hAnsi="Arial" w:cs="Arial"/>
                <w:sz w:val="24"/>
                <w:szCs w:val="24"/>
              </w:rPr>
              <w:t>III</w:t>
            </w:r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89BC38C" w14:textId="3396E9B0" w:rsidR="00C35DC1" w:rsidRPr="00FE2F90" w:rsidRDefault="00C35DC1" w:rsidP="00C35DC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ΕΛΕΓΧΟΣ ΣΥΜΜΟΡΦΩΣΗΣ </w:t>
            </w:r>
            <w:r w:rsidRPr="00CB1D73">
              <w:rPr>
                <w:rFonts w:ascii="Arial" w:eastAsia="Calibri" w:hAnsi="Arial" w:cs="Arial"/>
                <w:sz w:val="24"/>
                <w:szCs w:val="24"/>
                <w:lang w:val="en-US"/>
              </w:rPr>
              <w:t>KAI</w:t>
            </w:r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ΕΞΟΥΣΙΕΣ ΑΡΜΟΔΙΑΣ ΑΡΧΗΣ</w:t>
            </w:r>
          </w:p>
        </w:tc>
      </w:tr>
      <w:tr w:rsidR="001706E6" w:rsidRPr="00E72562" w14:paraId="4FE0E37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A92D35D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C37EB5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0DDE9E7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215136E6" w14:textId="77777777" w:rsidR="001706E6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Εξουσίες Αρμόδιας </w:t>
            </w:r>
          </w:p>
          <w:p w14:paraId="0183DE19" w14:textId="1FBC9949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>Αρχής.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EC1496" w14:textId="255A9C3C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>8.-(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1)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Η Αρμόδια Αρχή έχει εξουσία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να διερευνά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 συμμόρφωση </w:t>
            </w:r>
            <w:r w:rsidR="005577CA"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των </w:t>
            </w:r>
            <w:r w:rsidR="005577CA" w:rsidRPr="00CB1D73">
              <w:rPr>
                <w:rFonts w:ascii="Arial" w:eastAsia="Calibri" w:hAnsi="Arial" w:cs="Arial"/>
                <w:sz w:val="24"/>
                <w:szCs w:val="24"/>
                <w:lang w:val="el-GR"/>
              </w:rPr>
              <w:t>επιχειρήσεων τροφίμων και άλλων προϊόντων</w:t>
            </w:r>
            <w:r w:rsidR="005577CA"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με τις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διατάξεις του 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lastRenderedPageBreak/>
              <w:t>παρόντος Νόμου ή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/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και να εξετάζει και διερευνά,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κατόπιν υποβολής παραπόνου ή/και αυτεπ</w:t>
            </w:r>
            <w:r w:rsidR="005577CA">
              <w:rPr>
                <w:rFonts w:ascii="Arial" w:eastAsia="Calibri" w:hAnsi="Arial" w:cs="Arial"/>
                <w:sz w:val="24"/>
                <w:szCs w:val="24"/>
                <w:lang w:val="el-GR"/>
              </w:rPr>
              <w:t>άγγελτα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="00C308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τυχόν παραβάσεις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των διατάξεων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παρόντος Νόμου.</w:t>
            </w:r>
          </w:p>
        </w:tc>
      </w:tr>
      <w:tr w:rsidR="001706E6" w:rsidRPr="00E72562" w14:paraId="031E972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072876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C19FD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744198E6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799CA6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F58D7B" w14:textId="70669935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Κατά τη διεξαγωγή οποιασδήποτε έρευνας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,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η Αρμόδια Αρχή δύναται να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-</w:t>
            </w:r>
          </w:p>
        </w:tc>
      </w:tr>
      <w:tr w:rsidR="001706E6" w:rsidRPr="00E72562" w14:paraId="45627C3E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3939B1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B11AE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11DDEA8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E452C5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1F870" w14:textId="45EF0AB4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2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4D8CD" w14:textId="71FA8AC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ζητεί και λαμβάνει από οποιοδήποτε πρόσωπο το οποίο αφορά η έρευνα και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για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 οποίο εύλογα πιστεύει ή θεωρεί ότι κατέχει οποιεσδήποτε πληροφορίες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έχει υπό τον έλεγχο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 την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εξουσία του οποιαδήποτε έγγραφα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στοιχεία σχετικά με την έρευνα</w:t>
            </w:r>
            <w:r w:rsidR="00ED7363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τις εν λόγω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πληροφορίες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έγγραφα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στοιχεία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1706E6" w:rsidRPr="00E72562" w14:paraId="045C358F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97BA79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8540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2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1D193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72A276A8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07F70C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7A871" w14:textId="6FD4D43B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2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A5B876" w14:textId="5B9D18CB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εισέρχεται χωρίς προηγούμενη προειδοποίηση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οποιαδήποτε εύλογη ώρα, επιδεικνύοντας πιστοποιητικό της </w:t>
            </w:r>
            <w:proofErr w:type="spellStart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ιδιότητάς</w:t>
            </w:r>
            <w:proofErr w:type="spellEnd"/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του, σε οποιοδήποτε κτ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ριο ή υποστατικό ή άλλο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χώρο, εξαιρουμένης της κατοικίας</w:t>
            </w:r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="002A7807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στον οποίο έχει εύλογη αιτία να πιστεύει ότι φυλάσσονται στοιχεία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έγγραφα που σχετίζονται με την έρευνα∙</w:t>
            </w:r>
          </w:p>
        </w:tc>
      </w:tr>
      <w:tr w:rsidR="001706E6" w:rsidRPr="00E72562" w14:paraId="794AFE78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DAF0B8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A4E0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2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70326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6F17112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D114C5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B4E8C" w14:textId="230D8522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2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124A1" w14:textId="1791EE5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διεξάγει </w:t>
            </w:r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τέτοιες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έρευνες, ελέγχους</w:t>
            </w:r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επιτόπιες επιθεωρήσεις</w:t>
            </w:r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</w:t>
            </w:r>
            <w:proofErr w:type="spellStart"/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>διευρευνήσεις</w:t>
            </w:r>
            <w:proofErr w:type="spellEnd"/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όταν αυτές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κρίνονται αναγκαίες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 ώστε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να διαπιστωθεί κατά πόσο τεκμηριώνεται η υποβολή ή </w:t>
            </w:r>
            <w:r w:rsidR="002A7807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μη,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ψευδών, ελλιπών, ανακριβών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παραπλανητικών πληροφοριών</w:t>
            </w:r>
            <w:r w:rsidR="00B90B04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706E6" w:rsidRPr="00E72562" w14:paraId="41620AF2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2FAB945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A288A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1706E6" w:rsidRPr="00E72562" w14:paraId="6770345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94AC54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7FD736" w14:textId="28895DCA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(3)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Απαγορεύεται σε οποιοδήποτε πρόσωπο να παρακωλύει 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να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παρεμποδίζει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με πράξη ή παράλειψη την Αρμόδια Αρχή κατά την εκτέλεση των καθηκόντων της.</w:t>
            </w:r>
          </w:p>
        </w:tc>
      </w:tr>
      <w:tr w:rsidR="001706E6" w:rsidRPr="00E72562" w14:paraId="6E64F7A5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693F17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A2A37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CD06E9" w:rsidRPr="00E72562" w14:paraId="46DB4619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94520AF" w14:textId="77777777" w:rsidR="00CD06E9" w:rsidRPr="00FE2F90" w:rsidRDefault="00CD06E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03BFA0" w14:textId="77777777" w:rsidR="00CD06E9" w:rsidRPr="00FE2F90" w:rsidRDefault="00CD06E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CD06E9" w:rsidRPr="00E72562" w14:paraId="263E06D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7328F61" w14:textId="77777777" w:rsidR="00CD06E9" w:rsidRPr="00FE2F90" w:rsidRDefault="00CD06E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B37FE3" w14:textId="77777777" w:rsidR="00CD06E9" w:rsidRPr="00FE2F90" w:rsidRDefault="00CD06E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CD06E9" w:rsidRPr="00E72562" w14:paraId="6C4BE04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5C16121" w14:textId="77777777" w:rsidR="00CD06E9" w:rsidRPr="00FE2F90" w:rsidRDefault="00CD06E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802AF" w14:textId="77777777" w:rsidR="00CD06E9" w:rsidRPr="00FE2F90" w:rsidRDefault="00CD06E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C35DC1" w:rsidRPr="00E72562" w14:paraId="5AAC277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01B5C52" w14:textId="77777777" w:rsidR="00C35DC1" w:rsidRPr="00FE2F90" w:rsidRDefault="00C35DC1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C5C31" w14:textId="77777777" w:rsidR="00C35DC1" w:rsidRPr="0029612D" w:rsidRDefault="00C35DC1" w:rsidP="00C35DC1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</w:pPr>
            <w:r w:rsidRPr="0029612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ΜΕΡΟΣ </w:t>
            </w:r>
            <w:r w:rsidRPr="0029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  <w:r w:rsidRPr="0029612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</w:t>
            </w:r>
          </w:p>
          <w:p w14:paraId="74B18E47" w14:textId="0A397C00" w:rsidR="00C35DC1" w:rsidRPr="00FE2F90" w:rsidRDefault="00C35DC1" w:rsidP="00C35DC1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29612D"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>ΕΠΙΒΟΛΗ ΔΙΟΙΚΗΤΙΚΩΝ ΠΡΟΣΤΙΜΩΝ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/>
              </w:rPr>
              <w:t xml:space="preserve"> ΚΑΙ ΑΣΚΗΣΗ ΙΕΡΑΡΧΙΚΗΣ ΠΡΟΣΦΥΓΗΣ</w:t>
            </w:r>
          </w:p>
        </w:tc>
      </w:tr>
      <w:tr w:rsidR="001706E6" w:rsidRPr="00E72562" w14:paraId="71CF8B5F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431E4C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21693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2DD434E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222B485" w14:textId="443E472D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Επιβολή διοικητικού προστίμου.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439A4" w14:textId="54723462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9.-(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1)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ab/>
              <w:t xml:space="preserve">Σε περίπτωση κατά την οποία 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ο Διευθυντής διαπιστώσει ότι 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επιχείρηση τροφίμων και άλλων προϊόντων,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εκ προθέσεως ή εξ αμελείας, δεν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έχει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υποβάλει στοιχεία 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ότι έχει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υποβάλει ψευδείς, ελλιπείς, ανακριβείς ή παραπλανητικές πληροφορίες ή σε περίπτωση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κατά την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οποια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πρόσωπο παρακωλύει ή παρεμποδίζει την Αρμόδια Αρχή κατά την εκτέλεση των καθηκόντων της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ή σε περίπτωση κατά την οποία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επιχείρηση παραλείπει να συμμορφωθεί με υποχρέωση που επιβάλλει ο Νόμος,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ο Διευθυντής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δύναται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να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-</w:t>
            </w:r>
          </w:p>
        </w:tc>
      </w:tr>
      <w:tr w:rsidR="001706E6" w:rsidRPr="00E72562" w14:paraId="0707E1C7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0FF349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1BCE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5795DD30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46D413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AF3F3" w14:textId="3C5735D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1DBAD8" w14:textId="14C005E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διατά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ξ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ει τον παραβάτη όπως τερματίσει άμεσα την παράβαση και αποφύγει επανάληψή της στο μέλλον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·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</w:tr>
      <w:tr w:rsidR="001706E6" w:rsidRPr="00E72562" w14:paraId="45B8432E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2B5369C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DF45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3DA3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47DADD29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8F6209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C20E3" w14:textId="020247C5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965F81" w14:textId="2295338E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επιβάλει διοικητικό πρόστιμο, </w:t>
            </w:r>
            <w:r w:rsidR="00A95A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αναλόγως της 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φύση</w:t>
            </w:r>
            <w:r w:rsidR="00A95A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, τη</w:t>
            </w:r>
            <w:r w:rsidR="00A95A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βαρύτητα</w:t>
            </w:r>
            <w:r w:rsidR="00A95A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και τη</w:t>
            </w:r>
            <w:r w:rsidR="00A95A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διάρκεια</w:t>
            </w:r>
            <w:r w:rsidR="00A95A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της παράβασης, ύψους </w:t>
            </w:r>
            <w:proofErr w:type="spellStart"/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μεχρι</w:t>
            </w:r>
            <w:proofErr w:type="spellEnd"/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πενήντα χιλιάδες ευρώ (€50.000)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·</w:t>
            </w:r>
          </w:p>
        </w:tc>
      </w:tr>
      <w:tr w:rsidR="001706E6" w:rsidRPr="00E72562" w14:paraId="3F9310DF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2634D2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2BFA9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CF739C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35A0B64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7FB15C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E3F51" w14:textId="3B95A88B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4FD4B9" w14:textId="0B317BA3" w:rsidR="001706E6" w:rsidRPr="00FE2F90" w:rsidRDefault="00A95AB9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σε περίπτωση συνέχισης της παράβασης </w:t>
            </w:r>
            <w:r w:rsidR="001706E6"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επιβάλει διοικητικό πρόστιμο μέχρι χίλια ευρώ (€1.000), για κάθε </w:t>
            </w:r>
            <w:r w:rsidR="00F464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η</w:t>
            </w:r>
            <w:r w:rsidR="001706E6"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μέρα συνέχισης της παράβασης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·</w:t>
            </w:r>
          </w:p>
        </w:tc>
      </w:tr>
      <w:tr w:rsidR="001706E6" w:rsidRPr="00E72562" w14:paraId="58BA041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17E231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7DB5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338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5EC6BA8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33C6AE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D293B" w14:textId="1DA3D839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(δ)</w:t>
            </w:r>
          </w:p>
        </w:tc>
        <w:tc>
          <w:tcPr>
            <w:tcW w:w="32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83A111" w14:textId="598D3D9C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σε περίπτωση που η παράβαση τερματιστεί, επιβάλει διοικητικό πρόστιμο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,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αν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αλόγως τ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η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φύση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, τη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βαρύτητα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και τη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διάρκεια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ς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της παράβασης, το οποίο δε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ν</w:t>
            </w: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ξεπερνά τις πέντε χιλιάδες ευρώ (€5000). </w:t>
            </w:r>
          </w:p>
        </w:tc>
      </w:tr>
      <w:tr w:rsidR="001706E6" w:rsidRPr="00E72562" w14:paraId="68BD9D2F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8EFA7F7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0B620E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45159F8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829BCB5" w14:textId="77777777" w:rsidR="00F464B4" w:rsidRPr="00FE2F90" w:rsidRDefault="00F464B4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394B97" w14:textId="3C1D1795" w:rsidR="00F464B4" w:rsidRPr="00FE2F90" w:rsidRDefault="00F464B4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2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 xml:space="preserve">Ο Διευθυντής αιτιολογεί δεόντως την απόφασή του σε σχέση με την άσκηση οποιασδήποτε εξουσίας η οποία προβλέπεται 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στις διατάξεις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το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εδ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φ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ίου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(1).</w:t>
            </w:r>
          </w:p>
        </w:tc>
      </w:tr>
      <w:tr w:rsidR="00F464B4" w:rsidRPr="00E72562" w14:paraId="7C6A607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F599551" w14:textId="77777777" w:rsidR="00F464B4" w:rsidRPr="00FE2F90" w:rsidRDefault="00F464B4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C1EB3C" w14:textId="77777777" w:rsidR="00F464B4" w:rsidRPr="00FE2F90" w:rsidRDefault="00F464B4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48982F90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BC3742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4C279B" w14:textId="3FAA78CA" w:rsidR="001706E6" w:rsidRPr="00D31C75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Τα προβλεπόμενα στο εδάφιο (1) διοικητικά πρόστιμα επιβάλλονται στον παραβάτη από το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Διευθυντή, αφού προηγουμένως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τελευταίος 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δώσει την ευκαιρία στο πρόσωπο που αφορά η παράβαση ή εκπρόσωπό του να ακουστεί προφορικ</w:t>
            </w:r>
            <w:r w:rsidR="00F21AD0">
              <w:rPr>
                <w:rFonts w:ascii="Arial" w:eastAsia="Calibri" w:hAnsi="Arial" w:cs="Arial"/>
                <w:sz w:val="24"/>
                <w:szCs w:val="24"/>
                <w:lang w:val="el-GR"/>
              </w:rPr>
              <w:t>ώς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ή/και γραπτ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ώς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706E6" w:rsidRPr="00E72562" w14:paraId="58CCFD2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165816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21267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0BE1F2D5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B1929F8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BF6A6" w14:textId="410EA8C4" w:rsidR="001706E6" w:rsidRPr="00D31C75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 </w:t>
            </w:r>
            <w:proofErr w:type="spellStart"/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επιβληθέν</w:t>
            </w:r>
            <w:proofErr w:type="spellEnd"/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διοικητικό πρόστιμο καθίσταται άμεσα πληρωτέο και η διαδικασία είσπραξ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ς του δεν αναστέλλεται λόγω της ενδεχόμενης καταχώρ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ι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σης προσφυγής στο Διοικητικό Δικαστήριο κατά της απόφασης του Διευθυντή.</w:t>
            </w:r>
          </w:p>
        </w:tc>
      </w:tr>
      <w:tr w:rsidR="001706E6" w:rsidRPr="00E72562" w14:paraId="6C7F976B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62D9584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DD56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24B2B6F6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5E0D20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E5BDE4" w14:textId="04909F3A" w:rsidR="001706E6" w:rsidRPr="00D31C75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Σε περίπτωση παράλειψης πληρωμής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επιβαλλόμενου διοικητικού προστίμου, 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ο Διευθυντής λαμβάνει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δικαστικά μέτρα και το οφειλόμενο ποσό </w:t>
            </w:r>
            <w:r w:rsidR="00F464B4"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εισπράττεται 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ως αστικό χρέος οφειλόμενο προς τη Δημοκρατία.</w:t>
            </w:r>
          </w:p>
        </w:tc>
      </w:tr>
      <w:tr w:rsidR="001706E6" w:rsidRPr="00E72562" w14:paraId="66401128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721BAC1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06719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08D2F3E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2162A3B0" w14:textId="77777777" w:rsidR="001706E6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Ιεραρχική</w:t>
            </w:r>
          </w:p>
          <w:p w14:paraId="1724FF42" w14:textId="08C47A9C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προσφυγή.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61324A" w14:textId="262CF04F" w:rsidR="001706E6" w:rsidRPr="008947A3" w:rsidRDefault="001706E6" w:rsidP="001706E6">
            <w:pPr>
              <w:tabs>
                <w:tab w:val="left" w:pos="284"/>
                <w:tab w:val="left" w:pos="56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10.-(1)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Πρόσωπο το οποίο δεν ικανοποιείται από την απόφαση του Διευθυντή, δύναται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εντός τριάντα (30) ημερών από την κοινοποίηση σε αυτόν της απόφασης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να ασκήσει ιεραρχική προσφυγή κατά της απόφασης 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του Διευθυντή 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ενώπιον του Υπουργού, στην οποία εκτίθενται οι λόγοι που την υποστηρίζουν.</w:t>
            </w:r>
          </w:p>
        </w:tc>
      </w:tr>
      <w:tr w:rsidR="001706E6" w:rsidRPr="00E72562" w14:paraId="6E8043F9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6F73C53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243D0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4636640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5B1CC1B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F01A85" w14:textId="3BC14A5B" w:rsidR="001706E6" w:rsidRPr="008947A3" w:rsidRDefault="001706E6" w:rsidP="001706E6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Υπουργός ή εκπρόσωπός του εξετάζει την ιεραρχική προσφυγή και </w:t>
            </w:r>
            <w:r w:rsidR="00063FC9">
              <w:rPr>
                <w:rFonts w:ascii="Arial" w:eastAsia="Calibri" w:hAnsi="Arial" w:cs="Arial"/>
                <w:sz w:val="24"/>
                <w:szCs w:val="24"/>
                <w:lang w:val="el-GR"/>
              </w:rPr>
              <w:t>εάν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σε οποιαδήποτε περίπτωση θεωρήσει αυτό αναγκαίο ή σκόπιμο, παρέχει την ευκαιρία στον προσφεύγοντα να υποστηρίξει τους λόγους στους οποίους στηρίζεται η προσφυγή</w:t>
            </w:r>
            <w:r w:rsidR="002B772D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706E6" w:rsidRPr="00E72562" w14:paraId="0405D36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1D39382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CEC91A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1706E6" w:rsidRPr="00E72562" w14:paraId="546D7D94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A05620F" w14:textId="77777777" w:rsidR="001706E6" w:rsidRPr="00FE2F90" w:rsidRDefault="001706E6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8FBDB3" w14:textId="4DFDB830" w:rsidR="001706E6" w:rsidRPr="008947A3" w:rsidRDefault="001706E6" w:rsidP="001706E6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(3)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Υπουργός αποφασίζει επί της ιεραρχικής προσφυγής και κοινοποιεί την απόφασή του στον προσφεύγοντα εντός 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τριάντα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(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0) ημερολογιακών ημερών από την ημερομηνία άσκησης της προσφυγής</w:t>
            </w:r>
            <w:r w:rsidR="00F464B4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F464B4" w:rsidRPr="00E72562" w14:paraId="6B810BA4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5D8F175" w14:textId="77777777" w:rsidR="00F464B4" w:rsidRPr="00FE2F90" w:rsidRDefault="00F464B4" w:rsidP="001706E6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B40718" w14:textId="77777777" w:rsidR="00F464B4" w:rsidRDefault="00F464B4" w:rsidP="001706E6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F464B4" w:rsidRPr="00E72562" w14:paraId="36B29D85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E2C57FE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38A8DB" w14:textId="63011D0D" w:rsidR="00F464B4" w:rsidRDefault="00F464B4" w:rsidP="00F464B4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Υπουργός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δύναται να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εκδόσει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μία από τις ακόλουθες αποφάσεις:</w:t>
            </w:r>
          </w:p>
        </w:tc>
      </w:tr>
      <w:tr w:rsidR="00F464B4" w:rsidRPr="00E72562" w14:paraId="50F232E7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2E34745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218E7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6607647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422696A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22C98" w14:textId="27155F59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2E1A6" w14:textId="0111874B" w:rsidR="00F464B4" w:rsidRPr="008947A3" w:rsidRDefault="00F464B4" w:rsidP="00F464B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Να 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επικυρώσει την προσβαλλόμενη απόφαση· ή</w:t>
            </w:r>
          </w:p>
        </w:tc>
      </w:tr>
      <w:tr w:rsidR="00F464B4" w:rsidRPr="00E72562" w14:paraId="4B280BC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02D8276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2A615" w14:textId="77777777" w:rsidR="00F464B4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A5CD4" w14:textId="77777777" w:rsidR="00F464B4" w:rsidRPr="008947A3" w:rsidRDefault="00F464B4" w:rsidP="00F464B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F464B4" w:rsidRPr="00E72562" w14:paraId="53152B56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8CD60EB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BF8B4" w14:textId="3E7A7888" w:rsidR="00F464B4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0E95A" w14:textId="40DD9F69" w:rsidR="00F464B4" w:rsidRPr="008947A3" w:rsidRDefault="00F464B4" w:rsidP="00F464B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να 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τροποποιήσει την προσβαλλόμενη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απόφαση· 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ή</w:t>
            </w:r>
          </w:p>
        </w:tc>
      </w:tr>
      <w:tr w:rsidR="00F464B4" w:rsidRPr="00E72562" w14:paraId="37305F7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FA740FE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54FDF" w14:textId="77777777" w:rsidR="00F464B4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62B19" w14:textId="77777777" w:rsidR="00F464B4" w:rsidRPr="008947A3" w:rsidRDefault="00F464B4" w:rsidP="00F464B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F464B4" w:rsidRPr="00E72562" w14:paraId="4F8FFF5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7BA6D67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03E076" w14:textId="5B3CBC08" w:rsidR="00F464B4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(γ)</w:t>
            </w: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6D2C0" w14:textId="2AAB53A7" w:rsidR="00F464B4" w:rsidRPr="008947A3" w:rsidRDefault="00F464B4" w:rsidP="00F464B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να </w:t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ακυρώσει την προσβαλλόμενη απόφαση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F464B4" w:rsidRPr="00E72562" w14:paraId="49B7FE7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CEB4304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76BA09" w14:textId="77777777" w:rsidR="00F464B4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BACFB" w14:textId="77777777" w:rsidR="00F464B4" w:rsidRPr="008947A3" w:rsidRDefault="00F464B4" w:rsidP="00F464B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F464B4" w:rsidRPr="00E72562" w14:paraId="5F5DA34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DC37B76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45021" w14:textId="77777777" w:rsidR="00F464B4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1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30257" w14:textId="3D7B6481" w:rsidR="00F464B4" w:rsidRPr="008947A3" w:rsidRDefault="00F464B4" w:rsidP="00F464B4">
            <w:pPr>
              <w:tabs>
                <w:tab w:val="left" w:pos="567"/>
              </w:tabs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947A3">
              <w:rPr>
                <w:rFonts w:ascii="Arial" w:eastAsia="Calibri" w:hAnsi="Arial" w:cs="Arial"/>
                <w:sz w:val="24"/>
                <w:szCs w:val="24"/>
                <w:lang w:val="el-GR"/>
              </w:rPr>
              <w:t>Νοείται ότι, σε περίπτωση ακύρωσης της απόφασης, ο Υπουργός δύναται να προβεί στην έκδοση νέας απόφασης σε αντικατάσταση της προσβαλλόμενης.</w:t>
            </w:r>
          </w:p>
        </w:tc>
      </w:tr>
      <w:tr w:rsidR="00F464B4" w:rsidRPr="00E72562" w14:paraId="0B645E09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9E6A999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11AF8" w14:textId="77777777" w:rsidR="00F464B4" w:rsidRDefault="00F464B4" w:rsidP="00F464B4">
            <w:pPr>
              <w:tabs>
                <w:tab w:val="left" w:pos="567"/>
              </w:tabs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</w:tr>
      <w:tr w:rsidR="00F464B4" w:rsidRPr="00C35DC1" w14:paraId="7293FCD7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1C8C4C2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5AAEA" w14:textId="77777777" w:rsidR="00F464B4" w:rsidRPr="00D31C75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31C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ΜΕΡΟΣ </w:t>
            </w:r>
            <w:r w:rsidRPr="00D31C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V</w:t>
            </w:r>
          </w:p>
          <w:p w14:paraId="6E3140E8" w14:textId="091AC307" w:rsidR="00F464B4" w:rsidRDefault="00F464B4" w:rsidP="00F464B4">
            <w:pPr>
              <w:tabs>
                <w:tab w:val="left" w:pos="397"/>
                <w:tab w:val="left" w:pos="851"/>
              </w:tabs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31C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>ΠΟΙΚΙΛΕΣ ΔΙΑΤΑΞΕΙΣ</w:t>
            </w:r>
          </w:p>
        </w:tc>
      </w:tr>
      <w:tr w:rsidR="00F464B4" w:rsidRPr="00FE2F90" w14:paraId="6FCAD6C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D91514E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E8CB45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5BEF1713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39F7447" w14:textId="62C2C214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Ποινικά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α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δικήματα.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3CA0BC" w14:textId="1B4D15F7" w:rsidR="00F464B4" w:rsidRPr="00D31C75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1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Π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ρόσωπο το οποίο παραβαίνει ή παραλείπει να συμμορφωθεί με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τις 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δ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ιατάξεις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του παρόντος Νόμου 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των εκδιδόμενων δυνάμει αυτού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Κανονισμών 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δ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>ιαταγμάτων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D31C7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είναι ένοχο αδικήματος και, σε περίπτωση καταδίκης του, υπόκειται σε ποινή φυλάκισης που δεν υπερβαίνει το ένα (1) έτος ή σε χρηματική ποινή που δεν υπερβαίνει τις πέντε χιλιάδες ευρώ (€5000) ή και στις δύο αυτές ποινές.</w:t>
            </w:r>
          </w:p>
        </w:tc>
      </w:tr>
      <w:tr w:rsidR="00F464B4" w:rsidRPr="00E72562" w14:paraId="73925986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E551861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53155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0614125D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50816D1A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Εξουσιοδότηση.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436F5E" w14:textId="4CD92608" w:rsidR="00F464B4" w:rsidRPr="0081105E" w:rsidRDefault="00F464B4" w:rsidP="00F464B4">
            <w:pPr>
              <w:tabs>
                <w:tab w:val="left" w:pos="284"/>
                <w:tab w:val="left" w:pos="56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>12.-(1)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>Ο Διευθυντής δύναται να μεταβιβάζει γραπτώς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σε λειτουργό της Υπηρεσίας Προστασίας Καταναλωτή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ή/και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άλλης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πηρεσίας του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Υ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>πουργείου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την άσκηση οποιασδήποτε εξουσίας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την οποία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 παρών Νόμος ή οι Κανονισμοί χορηγούν και αναθέτουν στην Αρμόδια Αρχή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και σ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>ε περίπτωση τέτοιας μεταβίβασης, ο Διευθυντής διατηρεί την εξουσία να ασκεί τη μεταβιβαζόμενη εξουσία κατά τη διάρκεια της εν λόγω μεταβίβασης.</w:t>
            </w:r>
          </w:p>
        </w:tc>
      </w:tr>
      <w:tr w:rsidR="00F464B4" w:rsidRPr="00E72562" w14:paraId="7EF7DEF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B112984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27B7A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0A5A487A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630CBD9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906E5" w14:textId="4954F4B6" w:rsidR="00F464B4" w:rsidRPr="0081105E" w:rsidRDefault="00F464B4" w:rsidP="00F464B4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  <w:t>Λειτουργός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στο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οποίο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ανατίθεται η άσκηση εξουσίας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κατά τα προβλεπόμενα στο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εδ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άφιο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(1), ασκεί την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εν λόγω 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εξουσία σύμφωνα με τις οδηγίες του Διευθυντή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προς αυτόν.</w:t>
            </w:r>
          </w:p>
        </w:tc>
      </w:tr>
      <w:tr w:rsidR="00F464B4" w:rsidRPr="00E72562" w14:paraId="0835FBF3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449B1629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ADF252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773A57E4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A0F49AF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8A7F16" w14:textId="755C6EB5" w:rsidR="00F464B4" w:rsidRPr="0081105E" w:rsidRDefault="00F464B4" w:rsidP="00F464B4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>(3)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Ο Διευθυντής δύναται να τροποποιεί και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να 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ανακαλεί μεταβίβαση που έκανε,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κατά τα προβλεπόμενα στο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εδ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άφιο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(1), με γραπτή ειδοποίηση προς το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λειτουργό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στο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ν</w:t>
            </w:r>
            <w:r w:rsidRPr="0081105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οποίο έγινε η μεταβίβαση.</w:t>
            </w:r>
          </w:p>
        </w:tc>
      </w:tr>
      <w:tr w:rsidR="00F464B4" w:rsidRPr="00E72562" w14:paraId="4DB3E863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44AAB0F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912137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18DCD3C1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07777F24" w14:textId="77777777" w:rsidR="0028520A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Προστασία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δ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εδομένων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π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 xml:space="preserve">ροσωπικού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χ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αρακτήρα</w:t>
            </w:r>
          </w:p>
          <w:p w14:paraId="7170E7A4" w14:textId="77777777" w:rsidR="0028520A" w:rsidRDefault="0028520A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Επίσημη</w:t>
            </w:r>
          </w:p>
          <w:p w14:paraId="3E4D1DEB" w14:textId="77777777" w:rsidR="0028520A" w:rsidRDefault="0028520A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Εφημερίδα</w:t>
            </w:r>
          </w:p>
          <w:p w14:paraId="483F3B17" w14:textId="487C3ED6" w:rsidR="0028520A" w:rsidRDefault="0028520A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της Ε.Ε.:</w:t>
            </w:r>
          </w:p>
          <w:p w14:paraId="6275FD66" w14:textId="77777777" w:rsidR="0028520A" w:rsidRPr="00E72562" w:rsidRDefault="0028520A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L119</w:t>
            </w:r>
            <w:r w:rsidRPr="00E72562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,</w:t>
            </w:r>
          </w:p>
          <w:p w14:paraId="4C5A4712" w14:textId="77777777" w:rsidR="00E72562" w:rsidRDefault="0028520A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4.5.2016,</w:t>
            </w:r>
          </w:p>
          <w:p w14:paraId="7B1F716E" w14:textId="04FF2C7C" w:rsidR="00F464B4" w:rsidRPr="00FE2F90" w:rsidRDefault="0028520A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σ. 1</w:t>
            </w:r>
            <w:r w:rsidR="00F464B4"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.</w:t>
            </w:r>
          </w:p>
          <w:p w14:paraId="004F95C1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125(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) του 2018</w:t>
            </w:r>
          </w:p>
          <w:p w14:paraId="0830CC48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26(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) του 2022</w:t>
            </w: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199E5A" w14:textId="3F2B7E8F" w:rsidR="00F464B4" w:rsidRPr="00FE2F90" w:rsidRDefault="00F464B4" w:rsidP="00CD06E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Η συλλογή και επεξεργασία πληροφοριών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ή/και δεδομένων προσωπικού χαρακτήρα διενεργείται τηρουμένων των διατάξεων του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Κανονισμού (ΕΕ) 2016/679 του Ευρωπαϊκού Κοινοβουλίου και του Συμβουλίου της 27ης Απριλίου 2016 για την προστασία των φυσικών προσώπων έναντι της επεξεργασίας των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δεδομένω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προσωπικού χαρακτήρα και για την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ελεύθεη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κυκλοφορία των δεδομένων αυτών και την κατάργηση της οδηγίας 95/46/ΕΚ (Γενικός Κανονισμός για την Προστασία Δεδομένων) και του </w:t>
            </w:r>
            <w:r w:rsidRPr="00FE2F90">
              <w:rPr>
                <w:rFonts w:ascii="Arial" w:eastAsia="Calibri" w:hAnsi="Arial" w:cs="Arial"/>
                <w:sz w:val="24"/>
                <w:szCs w:val="24"/>
                <w:lang w:val="el-GR"/>
              </w:rPr>
              <w:t>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Νόμου.</w:t>
            </w:r>
          </w:p>
        </w:tc>
      </w:tr>
      <w:tr w:rsidR="00F464B4" w:rsidRPr="00E72562" w14:paraId="1B581F67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AB46156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07125C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F464B4" w:rsidRPr="00E72562" w14:paraId="52558065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EB96CF0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</w:pPr>
            <w:r w:rsidRPr="00FE2F90"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  <w:t>Έκδοση Κανονισμών.</w:t>
            </w: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9507B5" w14:textId="05C42068" w:rsidR="00F464B4" w:rsidRPr="00CF0939" w:rsidRDefault="00F464B4" w:rsidP="00CD06E9">
            <w:pPr>
              <w:tabs>
                <w:tab w:val="left" w:pos="284"/>
                <w:tab w:val="left" w:pos="56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4</w:t>
            </w:r>
            <w:r w:rsidR="00CD06E9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Το Υπουργικό Συμβούλιο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έπειτα από εισήγηση της Αρμόδιας Αρχής, 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δύναται να εκδίδει Κανονισμούς για την καλύτερη εφαρμογή των διατάξεων του παρόντος Νόμου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καθώς και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για τον καθορισμό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ή τη ρύθμιση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οποιουδήποτε θέματος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το οποίο 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χρήζει ή είναι δεκτικό καθορισμού, οι οποίοι δημοσιεύονται στην Επίσημη Εφημερίδα της Δημοκρατίας.</w:t>
            </w:r>
          </w:p>
        </w:tc>
      </w:tr>
      <w:tr w:rsidR="00F464B4" w:rsidRPr="00E72562" w14:paraId="72060736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352B9422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DEB657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</w:tr>
      <w:tr w:rsidR="00F464B4" w:rsidRPr="00E72562" w14:paraId="25BA6BF2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6C4F9A20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E2F90">
              <w:rPr>
                <w:rFonts w:ascii="Arial" w:hAnsi="Arial" w:cs="Arial"/>
                <w:sz w:val="24"/>
                <w:szCs w:val="24"/>
                <w:lang w:val="el-GR"/>
              </w:rPr>
              <w:t>Έκδοση διαταγμάτων.</w:t>
            </w:r>
          </w:p>
          <w:p w14:paraId="44D8B30A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595263" w14:textId="40BFDCE4" w:rsidR="00F464B4" w:rsidRPr="00CF0939" w:rsidRDefault="00F464B4" w:rsidP="00F464B4">
            <w:pPr>
              <w:tabs>
                <w:tab w:val="left" w:pos="284"/>
                <w:tab w:val="left" w:pos="56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5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.-(1)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Ο Υπουργός δύναται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έπειτα από εισήγηση της Αρμόδιας Αρχής, 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να εκδίδει διατάγματα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ως καθορίζονται στις διατάξεις του παρόντος Νόμου και των δυνάμει αυτού εκδιδόμενων Κανονισμών, τα οποία δημοσιεύονται στην Επίσημη Εφημερίδα της Δημοκρατίας.</w:t>
            </w:r>
          </w:p>
        </w:tc>
      </w:tr>
      <w:tr w:rsidR="00F464B4" w:rsidRPr="00E72562" w14:paraId="6C9E971C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7BCBDD6E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FABFD8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464B4" w:rsidRPr="00E72562" w14:paraId="5C0D3087" w14:textId="77777777" w:rsidTr="00984C16"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14:paraId="1B17FE9E" w14:textId="77777777" w:rsidR="00F464B4" w:rsidRPr="00FE2F90" w:rsidRDefault="00F464B4" w:rsidP="00F464B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FA72E" w14:textId="3D51508B" w:rsidR="00F464B4" w:rsidRPr="00CF0939" w:rsidRDefault="00F464B4" w:rsidP="00F464B4">
            <w:pPr>
              <w:tabs>
                <w:tab w:val="left" w:pos="397"/>
                <w:tab w:val="left" w:pos="85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>(2)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ab/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Διάταγμα 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το οποίο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εκδίδεται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δυνάμει των διατάξεων του παρόντος άρθρου</w:t>
            </w:r>
            <w:r>
              <w:rPr>
                <w:rFonts w:ascii="Arial" w:eastAsia="Calibri" w:hAnsi="Arial" w:cs="Arial"/>
                <w:sz w:val="24"/>
                <w:szCs w:val="24"/>
                <w:lang w:val="el-GR"/>
              </w:rPr>
              <w:t>,</w:t>
            </w:r>
            <w:r w:rsidRPr="00CF0939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τίθεται σε ισχύ από την ημερομηνία δημοσίευσής του στην Επίσημη Εφημερίδα της Δημοκρατίας, εκτός εάν προβλέπεται σε αυτό διαφορετικά.</w:t>
            </w:r>
          </w:p>
        </w:tc>
      </w:tr>
      <w:bookmarkEnd w:id="0"/>
    </w:tbl>
    <w:p w14:paraId="55CA3A9B" w14:textId="77777777" w:rsidR="00FE2F90" w:rsidRDefault="00FE2F9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page"/>
      </w:r>
    </w:p>
    <w:p w14:paraId="173A9FBA" w14:textId="1C868B3C" w:rsidR="00FE2F90" w:rsidRPr="003B581F" w:rsidRDefault="00FE2F90" w:rsidP="00FE2F90">
      <w:pPr>
        <w:jc w:val="center"/>
        <w:rPr>
          <w:rFonts w:ascii="Arial" w:hAnsi="Arial" w:cs="Arial"/>
          <w:bCs/>
          <w:lang w:val="el-GR"/>
        </w:rPr>
      </w:pPr>
      <w:r w:rsidRPr="003B581F">
        <w:rPr>
          <w:rFonts w:ascii="Arial" w:hAnsi="Arial" w:cs="Arial"/>
          <w:bCs/>
          <w:lang w:val="el-GR"/>
        </w:rPr>
        <w:lastRenderedPageBreak/>
        <w:t>ΠΑΡΑΡΤΗΜΑ</w:t>
      </w:r>
    </w:p>
    <w:p w14:paraId="3F0E5D3D" w14:textId="597874FB" w:rsidR="00FE2F90" w:rsidRPr="003B581F" w:rsidRDefault="00FE2F90" w:rsidP="00FE2F90">
      <w:pPr>
        <w:jc w:val="center"/>
        <w:rPr>
          <w:rFonts w:ascii="Arial" w:hAnsi="Arial" w:cs="Arial"/>
          <w:bCs/>
          <w:lang w:val="el-GR"/>
        </w:rPr>
      </w:pPr>
      <w:r w:rsidRPr="003B581F">
        <w:rPr>
          <w:rFonts w:ascii="Arial" w:hAnsi="Arial" w:cs="Arial"/>
          <w:bCs/>
          <w:lang w:val="el-GR"/>
        </w:rPr>
        <w:t>(Άρθρ</w:t>
      </w:r>
      <w:r w:rsidR="00F464B4">
        <w:rPr>
          <w:rFonts w:ascii="Arial" w:hAnsi="Arial" w:cs="Arial"/>
          <w:bCs/>
          <w:lang w:val="el-GR"/>
        </w:rPr>
        <w:t>ο</w:t>
      </w:r>
      <w:r w:rsidRPr="003B581F">
        <w:rPr>
          <w:rFonts w:ascii="Arial" w:hAnsi="Arial" w:cs="Arial"/>
          <w:bCs/>
          <w:lang w:val="el-GR"/>
        </w:rPr>
        <w:t xml:space="preserve"> 2)</w:t>
      </w:r>
    </w:p>
    <w:p w14:paraId="251BCF9E" w14:textId="77777777" w:rsidR="00FE2F90" w:rsidRPr="00FE2F90" w:rsidRDefault="00FE2F90" w:rsidP="00FE2F90">
      <w:pPr>
        <w:rPr>
          <w:rFonts w:ascii="Arial" w:hAnsi="Arial" w:cs="Arial"/>
          <w:lang w:val="el-GR"/>
        </w:rPr>
      </w:pPr>
    </w:p>
    <w:p w14:paraId="36F8ADCD" w14:textId="77777777" w:rsidR="00FE2F90" w:rsidRPr="00E72C44" w:rsidRDefault="00FE2F90" w:rsidP="00FE2F9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Κατηγορίες </w:t>
      </w:r>
      <w:r w:rsidRPr="00E72C44">
        <w:rPr>
          <w:rFonts w:ascii="Arial" w:hAnsi="Arial" w:cs="Arial"/>
          <w:sz w:val="24"/>
          <w:szCs w:val="24"/>
          <w:u w:val="single"/>
          <w:lang w:val="el-GR"/>
        </w:rPr>
        <w:t>Προϊόντ</w:t>
      </w:r>
      <w:r>
        <w:rPr>
          <w:rFonts w:ascii="Arial" w:hAnsi="Arial" w:cs="Arial"/>
          <w:sz w:val="24"/>
          <w:szCs w:val="24"/>
          <w:u w:val="single"/>
          <w:lang w:val="el-GR"/>
        </w:rPr>
        <w:t>ων</w:t>
      </w:r>
      <w:r w:rsidRPr="00E72C44">
        <w:rPr>
          <w:rFonts w:ascii="Arial" w:hAnsi="Arial" w:cs="Arial"/>
          <w:sz w:val="24"/>
          <w:szCs w:val="24"/>
          <w:lang w:val="el-GR"/>
        </w:rPr>
        <w:t>:</w:t>
      </w:r>
    </w:p>
    <w:p w14:paraId="7D305D4C" w14:textId="7C9A919E" w:rsidR="00FE2F90" w:rsidRDefault="00FE2F90" w:rsidP="00FE2F90">
      <w:pPr>
        <w:pStyle w:val="ListParagraph"/>
        <w:numPr>
          <w:ilvl w:val="0"/>
          <w:numId w:val="21"/>
        </w:numPr>
        <w:tabs>
          <w:tab w:val="left" w:pos="567"/>
        </w:tabs>
        <w:spacing w:after="16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Τρόφιμα.</w:t>
      </w:r>
    </w:p>
    <w:p w14:paraId="437825EB" w14:textId="50D158BA" w:rsidR="00FE2F90" w:rsidRDefault="00FE2F90" w:rsidP="00FE2F90">
      <w:pPr>
        <w:pStyle w:val="ListParagraph"/>
        <w:numPr>
          <w:ilvl w:val="0"/>
          <w:numId w:val="21"/>
        </w:numPr>
        <w:tabs>
          <w:tab w:val="left" w:pos="567"/>
        </w:tabs>
        <w:spacing w:after="16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Βρεφικά είδη. </w:t>
      </w:r>
    </w:p>
    <w:p w14:paraId="73538534" w14:textId="0A45BB01" w:rsidR="00FE2F90" w:rsidRDefault="00FE2F90" w:rsidP="00FE2F90">
      <w:pPr>
        <w:pStyle w:val="ListParagraph"/>
        <w:numPr>
          <w:ilvl w:val="0"/>
          <w:numId w:val="21"/>
        </w:numPr>
        <w:tabs>
          <w:tab w:val="left" w:pos="567"/>
        </w:tabs>
        <w:spacing w:after="16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Είδη οικιακής χρήσης.</w:t>
      </w:r>
    </w:p>
    <w:p w14:paraId="662A1E1D" w14:textId="77777777" w:rsidR="00FE2F90" w:rsidRDefault="00FE2F90" w:rsidP="00FE2F90">
      <w:pPr>
        <w:pStyle w:val="ListParagraph"/>
        <w:numPr>
          <w:ilvl w:val="0"/>
          <w:numId w:val="21"/>
        </w:numPr>
        <w:tabs>
          <w:tab w:val="left" w:pos="567"/>
        </w:tabs>
        <w:spacing w:after="16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E72C44">
        <w:rPr>
          <w:rFonts w:ascii="Arial" w:hAnsi="Arial" w:cs="Arial"/>
          <w:sz w:val="24"/>
          <w:szCs w:val="24"/>
          <w:lang w:val="el-GR"/>
        </w:rPr>
        <w:t>Αναψυκτικά, αλκοολούχα ποτά, νερό, χυμοί.</w:t>
      </w:r>
    </w:p>
    <w:p w14:paraId="78D2330C" w14:textId="77777777" w:rsidR="00FE2F90" w:rsidRPr="00E72C44" w:rsidRDefault="00FE2F90" w:rsidP="00FE2F90">
      <w:pPr>
        <w:pStyle w:val="ListParagraph"/>
        <w:numPr>
          <w:ilvl w:val="0"/>
          <w:numId w:val="21"/>
        </w:numPr>
        <w:tabs>
          <w:tab w:val="left" w:pos="567"/>
        </w:tabs>
        <w:spacing w:after="16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E72C44">
        <w:rPr>
          <w:rFonts w:ascii="Arial" w:hAnsi="Arial" w:cs="Arial"/>
          <w:sz w:val="24"/>
          <w:szCs w:val="24"/>
          <w:lang w:val="el-GR"/>
        </w:rPr>
        <w:t xml:space="preserve">Είδη προσωπικής φροντίδας. </w:t>
      </w:r>
    </w:p>
    <w:p w14:paraId="32FD3E82" w14:textId="77777777" w:rsidR="00FE2F90" w:rsidRPr="00E72C44" w:rsidRDefault="00FE2F90" w:rsidP="00FE2F90">
      <w:pPr>
        <w:pStyle w:val="ListParagraph"/>
        <w:numPr>
          <w:ilvl w:val="0"/>
          <w:numId w:val="21"/>
        </w:numPr>
        <w:tabs>
          <w:tab w:val="left" w:pos="567"/>
        </w:tabs>
        <w:spacing w:after="160" w:line="360" w:lineRule="auto"/>
        <w:ind w:left="0" w:firstLine="0"/>
        <w:rPr>
          <w:rFonts w:ascii="Arial" w:hAnsi="Arial" w:cs="Arial"/>
          <w:sz w:val="24"/>
          <w:szCs w:val="24"/>
          <w:lang w:val="el-GR"/>
        </w:rPr>
      </w:pPr>
      <w:r w:rsidRPr="00E72C44">
        <w:rPr>
          <w:rFonts w:ascii="Arial" w:hAnsi="Arial" w:cs="Arial"/>
          <w:sz w:val="24"/>
          <w:szCs w:val="24"/>
          <w:lang w:val="el-GR"/>
        </w:rPr>
        <w:t>Τροφές για κατοικίδια.</w:t>
      </w:r>
    </w:p>
    <w:p w14:paraId="689A3B9A" w14:textId="77777777" w:rsidR="0045423C" w:rsidRDefault="0045423C" w:rsidP="00FE2F90">
      <w:pPr>
        <w:tabs>
          <w:tab w:val="left" w:pos="284"/>
          <w:tab w:val="left" w:pos="567"/>
          <w:tab w:val="left" w:pos="7073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206F8B62" w14:textId="77777777" w:rsidR="00DD1E63" w:rsidRDefault="00DD1E63" w:rsidP="00FE2F90">
      <w:pPr>
        <w:tabs>
          <w:tab w:val="left" w:pos="284"/>
          <w:tab w:val="left" w:pos="567"/>
          <w:tab w:val="left" w:pos="7073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2EB29C98" w14:textId="77777777" w:rsidR="00DD1E63" w:rsidRDefault="00DD1E63" w:rsidP="00FE2F90">
      <w:pPr>
        <w:tabs>
          <w:tab w:val="left" w:pos="284"/>
          <w:tab w:val="left" w:pos="567"/>
          <w:tab w:val="left" w:pos="7073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65191FCC" w14:textId="77777777" w:rsidR="00DD1E63" w:rsidRPr="00CD06E9" w:rsidRDefault="00DD1E63" w:rsidP="00DD1E63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CD06E9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CD06E9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CD06E9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CD06E9">
        <w:rPr>
          <w:rFonts w:ascii="Arial" w:hAnsi="Arial" w:cs="Arial"/>
          <w:sz w:val="20"/>
          <w:szCs w:val="20"/>
          <w:lang w:val="el-GR"/>
        </w:rPr>
        <w:t>.: 23.01.064.062-2023</w:t>
      </w:r>
    </w:p>
    <w:p w14:paraId="0A0E63D9" w14:textId="0409062D" w:rsidR="00DD1E63" w:rsidRPr="00CD06E9" w:rsidRDefault="00DD1E63" w:rsidP="00DD1E63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  <w:r w:rsidRPr="00CD06E9">
        <w:rPr>
          <w:rFonts w:ascii="Arial" w:hAnsi="Arial" w:cs="Arial"/>
          <w:sz w:val="20"/>
          <w:szCs w:val="20"/>
          <w:lang w:val="el-GR"/>
        </w:rPr>
        <w:t>ΜΙ/ΧΓ</w:t>
      </w:r>
    </w:p>
    <w:sectPr w:rsidR="00DD1E63" w:rsidRPr="00CD06E9" w:rsidSect="00FE2F90">
      <w:headerReference w:type="default" r:id="rId9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50C3" w14:textId="77777777" w:rsidR="00BB4F07" w:rsidRDefault="00BB4F07" w:rsidP="00C71EEC">
      <w:pPr>
        <w:spacing w:after="0" w:line="240" w:lineRule="auto"/>
      </w:pPr>
      <w:r>
        <w:separator/>
      </w:r>
    </w:p>
  </w:endnote>
  <w:endnote w:type="continuationSeparator" w:id="0">
    <w:p w14:paraId="522C3890" w14:textId="77777777" w:rsidR="00BB4F07" w:rsidRDefault="00BB4F07" w:rsidP="00C7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C5C6" w14:textId="77777777" w:rsidR="00BB4F07" w:rsidRDefault="00BB4F07" w:rsidP="00C71EEC">
      <w:pPr>
        <w:spacing w:after="0" w:line="240" w:lineRule="auto"/>
      </w:pPr>
      <w:r>
        <w:separator/>
      </w:r>
    </w:p>
  </w:footnote>
  <w:footnote w:type="continuationSeparator" w:id="0">
    <w:p w14:paraId="54AD0CE4" w14:textId="77777777" w:rsidR="00BB4F07" w:rsidRDefault="00BB4F07" w:rsidP="00C7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1426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601BAC" w14:textId="4B10E1A1" w:rsidR="00FE2F90" w:rsidRPr="00FE2F90" w:rsidRDefault="00FE2F9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FE2F90">
          <w:rPr>
            <w:rFonts w:ascii="Arial" w:hAnsi="Arial" w:cs="Arial"/>
            <w:sz w:val="24"/>
            <w:szCs w:val="24"/>
          </w:rPr>
          <w:fldChar w:fldCharType="begin"/>
        </w:r>
        <w:r w:rsidRPr="00FE2F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E2F90">
          <w:rPr>
            <w:rFonts w:ascii="Arial" w:hAnsi="Arial" w:cs="Arial"/>
            <w:sz w:val="24"/>
            <w:szCs w:val="24"/>
          </w:rPr>
          <w:fldChar w:fldCharType="separate"/>
        </w:r>
        <w:r w:rsidRPr="00FE2F90">
          <w:rPr>
            <w:rFonts w:ascii="Arial" w:hAnsi="Arial" w:cs="Arial"/>
            <w:noProof/>
            <w:sz w:val="24"/>
            <w:szCs w:val="24"/>
          </w:rPr>
          <w:t>2</w:t>
        </w:r>
        <w:r w:rsidRPr="00FE2F9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9986A2E" w14:textId="77777777" w:rsidR="00BB4F07" w:rsidRDefault="00BB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5BF"/>
    <w:multiLevelType w:val="hybridMultilevel"/>
    <w:tmpl w:val="50682BB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0E9"/>
    <w:multiLevelType w:val="hybridMultilevel"/>
    <w:tmpl w:val="EE8AA25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884"/>
    <w:multiLevelType w:val="hybridMultilevel"/>
    <w:tmpl w:val="761CAFFC"/>
    <w:lvl w:ilvl="0" w:tplc="BF20CDD2"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AF7614"/>
    <w:multiLevelType w:val="hybridMultilevel"/>
    <w:tmpl w:val="B88EAF56"/>
    <w:lvl w:ilvl="0" w:tplc="E412056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86A"/>
    <w:multiLevelType w:val="multilevel"/>
    <w:tmpl w:val="A91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37F8E"/>
    <w:multiLevelType w:val="hybridMultilevel"/>
    <w:tmpl w:val="35F2E756"/>
    <w:lvl w:ilvl="0" w:tplc="946090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2A80"/>
    <w:multiLevelType w:val="hybridMultilevel"/>
    <w:tmpl w:val="50C4CCA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A2F"/>
    <w:multiLevelType w:val="hybridMultilevel"/>
    <w:tmpl w:val="35F2E756"/>
    <w:lvl w:ilvl="0" w:tplc="946090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57C0"/>
    <w:multiLevelType w:val="hybridMultilevel"/>
    <w:tmpl w:val="D6064916"/>
    <w:lvl w:ilvl="0" w:tplc="946090DC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4873"/>
    <w:multiLevelType w:val="hybridMultilevel"/>
    <w:tmpl w:val="C01099D0"/>
    <w:lvl w:ilvl="0" w:tplc="36BA0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2386"/>
    <w:multiLevelType w:val="hybridMultilevel"/>
    <w:tmpl w:val="1FEC2B84"/>
    <w:lvl w:ilvl="0" w:tplc="BA803A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B25A3"/>
    <w:multiLevelType w:val="hybridMultilevel"/>
    <w:tmpl w:val="65480F78"/>
    <w:lvl w:ilvl="0" w:tplc="F2C88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5A25"/>
    <w:multiLevelType w:val="hybridMultilevel"/>
    <w:tmpl w:val="9132D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271F"/>
    <w:multiLevelType w:val="hybridMultilevel"/>
    <w:tmpl w:val="01B84DB0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5A00"/>
    <w:multiLevelType w:val="hybridMultilevel"/>
    <w:tmpl w:val="0472FD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73FBB"/>
    <w:multiLevelType w:val="multilevel"/>
    <w:tmpl w:val="6D2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531AE"/>
    <w:multiLevelType w:val="multilevel"/>
    <w:tmpl w:val="2508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7857"/>
    <w:multiLevelType w:val="hybridMultilevel"/>
    <w:tmpl w:val="35F2E756"/>
    <w:lvl w:ilvl="0" w:tplc="946090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E139E"/>
    <w:multiLevelType w:val="hybridMultilevel"/>
    <w:tmpl w:val="35F2E756"/>
    <w:lvl w:ilvl="0" w:tplc="946090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B1264"/>
    <w:multiLevelType w:val="hybridMultilevel"/>
    <w:tmpl w:val="766A2610"/>
    <w:lvl w:ilvl="0" w:tplc="2000001B">
      <w:start w:val="1"/>
      <w:numFmt w:val="lowerRoman"/>
      <w:lvlText w:val="%1."/>
      <w:lvlJc w:val="right"/>
      <w:pPr>
        <w:ind w:left="1622" w:hanging="360"/>
      </w:pPr>
    </w:lvl>
    <w:lvl w:ilvl="1" w:tplc="20000019" w:tentative="1">
      <w:start w:val="1"/>
      <w:numFmt w:val="lowerLetter"/>
      <w:lvlText w:val="%2."/>
      <w:lvlJc w:val="left"/>
      <w:pPr>
        <w:ind w:left="2342" w:hanging="360"/>
      </w:pPr>
    </w:lvl>
    <w:lvl w:ilvl="2" w:tplc="2000001B" w:tentative="1">
      <w:start w:val="1"/>
      <w:numFmt w:val="lowerRoman"/>
      <w:lvlText w:val="%3."/>
      <w:lvlJc w:val="right"/>
      <w:pPr>
        <w:ind w:left="3062" w:hanging="180"/>
      </w:pPr>
    </w:lvl>
    <w:lvl w:ilvl="3" w:tplc="2000000F" w:tentative="1">
      <w:start w:val="1"/>
      <w:numFmt w:val="decimal"/>
      <w:lvlText w:val="%4."/>
      <w:lvlJc w:val="left"/>
      <w:pPr>
        <w:ind w:left="3782" w:hanging="360"/>
      </w:pPr>
    </w:lvl>
    <w:lvl w:ilvl="4" w:tplc="20000019" w:tentative="1">
      <w:start w:val="1"/>
      <w:numFmt w:val="lowerLetter"/>
      <w:lvlText w:val="%5."/>
      <w:lvlJc w:val="left"/>
      <w:pPr>
        <w:ind w:left="4502" w:hanging="360"/>
      </w:pPr>
    </w:lvl>
    <w:lvl w:ilvl="5" w:tplc="2000001B" w:tentative="1">
      <w:start w:val="1"/>
      <w:numFmt w:val="lowerRoman"/>
      <w:lvlText w:val="%6."/>
      <w:lvlJc w:val="right"/>
      <w:pPr>
        <w:ind w:left="5222" w:hanging="180"/>
      </w:pPr>
    </w:lvl>
    <w:lvl w:ilvl="6" w:tplc="2000000F" w:tentative="1">
      <w:start w:val="1"/>
      <w:numFmt w:val="decimal"/>
      <w:lvlText w:val="%7."/>
      <w:lvlJc w:val="left"/>
      <w:pPr>
        <w:ind w:left="5942" w:hanging="360"/>
      </w:pPr>
    </w:lvl>
    <w:lvl w:ilvl="7" w:tplc="20000019" w:tentative="1">
      <w:start w:val="1"/>
      <w:numFmt w:val="lowerLetter"/>
      <w:lvlText w:val="%8."/>
      <w:lvlJc w:val="left"/>
      <w:pPr>
        <w:ind w:left="6662" w:hanging="360"/>
      </w:pPr>
    </w:lvl>
    <w:lvl w:ilvl="8" w:tplc="200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0" w15:restartNumberingAfterBreak="0">
    <w:nsid w:val="7E2947AD"/>
    <w:multiLevelType w:val="hybridMultilevel"/>
    <w:tmpl w:val="35F2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45189">
    <w:abstractNumId w:val="12"/>
  </w:num>
  <w:num w:numId="2" w16cid:durableId="813717792">
    <w:abstractNumId w:val="8"/>
  </w:num>
  <w:num w:numId="3" w16cid:durableId="2052921147">
    <w:abstractNumId w:val="7"/>
  </w:num>
  <w:num w:numId="4" w16cid:durableId="1642735451">
    <w:abstractNumId w:val="5"/>
  </w:num>
  <w:num w:numId="5" w16cid:durableId="660474285">
    <w:abstractNumId w:val="4"/>
  </w:num>
  <w:num w:numId="6" w16cid:durableId="1198817113">
    <w:abstractNumId w:val="20"/>
  </w:num>
  <w:num w:numId="7" w16cid:durableId="1847089854">
    <w:abstractNumId w:val="19"/>
  </w:num>
  <w:num w:numId="8" w16cid:durableId="894437614">
    <w:abstractNumId w:val="2"/>
  </w:num>
  <w:num w:numId="9" w16cid:durableId="2077777761">
    <w:abstractNumId w:val="18"/>
  </w:num>
  <w:num w:numId="10" w16cid:durableId="296300194">
    <w:abstractNumId w:val="17"/>
  </w:num>
  <w:num w:numId="11" w16cid:durableId="1162543633">
    <w:abstractNumId w:val="13"/>
  </w:num>
  <w:num w:numId="12" w16cid:durableId="2056277085">
    <w:abstractNumId w:val="9"/>
  </w:num>
  <w:num w:numId="13" w16cid:durableId="411509210">
    <w:abstractNumId w:val="11"/>
  </w:num>
  <w:num w:numId="14" w16cid:durableId="1259098526">
    <w:abstractNumId w:val="3"/>
  </w:num>
  <w:num w:numId="15" w16cid:durableId="1959332790">
    <w:abstractNumId w:val="0"/>
  </w:num>
  <w:num w:numId="16" w16cid:durableId="183593758">
    <w:abstractNumId w:val="14"/>
  </w:num>
  <w:num w:numId="17" w16cid:durableId="741485889">
    <w:abstractNumId w:val="1"/>
  </w:num>
  <w:num w:numId="18" w16cid:durableId="966159458">
    <w:abstractNumId w:val="6"/>
  </w:num>
  <w:num w:numId="19" w16cid:durableId="413937632">
    <w:abstractNumId w:val="15"/>
  </w:num>
  <w:num w:numId="20" w16cid:durableId="291181115">
    <w:abstractNumId w:val="16"/>
  </w:num>
  <w:num w:numId="21" w16cid:durableId="293683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40"/>
    <w:rsid w:val="0000674A"/>
    <w:rsid w:val="000076B4"/>
    <w:rsid w:val="0001183F"/>
    <w:rsid w:val="0003455B"/>
    <w:rsid w:val="0003465B"/>
    <w:rsid w:val="00044140"/>
    <w:rsid w:val="000500CA"/>
    <w:rsid w:val="000542C7"/>
    <w:rsid w:val="00054307"/>
    <w:rsid w:val="00057FAF"/>
    <w:rsid w:val="00063FC9"/>
    <w:rsid w:val="00065653"/>
    <w:rsid w:val="0006654F"/>
    <w:rsid w:val="00066561"/>
    <w:rsid w:val="0007575E"/>
    <w:rsid w:val="00075917"/>
    <w:rsid w:val="00090E9E"/>
    <w:rsid w:val="000946AD"/>
    <w:rsid w:val="000A2B1F"/>
    <w:rsid w:val="000B222A"/>
    <w:rsid w:val="000C5000"/>
    <w:rsid w:val="000C7814"/>
    <w:rsid w:val="000E0DD5"/>
    <w:rsid w:val="000F1D92"/>
    <w:rsid w:val="000F393A"/>
    <w:rsid w:val="000F5F5C"/>
    <w:rsid w:val="000F7797"/>
    <w:rsid w:val="0010665E"/>
    <w:rsid w:val="00112423"/>
    <w:rsid w:val="00145E1F"/>
    <w:rsid w:val="00146EAD"/>
    <w:rsid w:val="001510B6"/>
    <w:rsid w:val="00151249"/>
    <w:rsid w:val="00152230"/>
    <w:rsid w:val="00153B39"/>
    <w:rsid w:val="001575F5"/>
    <w:rsid w:val="00160B71"/>
    <w:rsid w:val="00163562"/>
    <w:rsid w:val="00166102"/>
    <w:rsid w:val="001669E6"/>
    <w:rsid w:val="001706E6"/>
    <w:rsid w:val="00172BE7"/>
    <w:rsid w:val="00173A1E"/>
    <w:rsid w:val="00173B26"/>
    <w:rsid w:val="00177F36"/>
    <w:rsid w:val="001801B3"/>
    <w:rsid w:val="00182840"/>
    <w:rsid w:val="001828C3"/>
    <w:rsid w:val="001A098B"/>
    <w:rsid w:val="001A6FC2"/>
    <w:rsid w:val="001B20B7"/>
    <w:rsid w:val="001B3C8E"/>
    <w:rsid w:val="001C437D"/>
    <w:rsid w:val="001D0F05"/>
    <w:rsid w:val="001D2111"/>
    <w:rsid w:val="001D22C1"/>
    <w:rsid w:val="001D3A24"/>
    <w:rsid w:val="001D61C5"/>
    <w:rsid w:val="001D7F8B"/>
    <w:rsid w:val="001E13DE"/>
    <w:rsid w:val="001E4D7B"/>
    <w:rsid w:val="001F455F"/>
    <w:rsid w:val="00213DA0"/>
    <w:rsid w:val="00214C66"/>
    <w:rsid w:val="00215710"/>
    <w:rsid w:val="002202FC"/>
    <w:rsid w:val="00222B3B"/>
    <w:rsid w:val="00231593"/>
    <w:rsid w:val="00235FE1"/>
    <w:rsid w:val="002415DF"/>
    <w:rsid w:val="00241A6B"/>
    <w:rsid w:val="002454D9"/>
    <w:rsid w:val="0025334D"/>
    <w:rsid w:val="002538AF"/>
    <w:rsid w:val="0025415E"/>
    <w:rsid w:val="00257F9D"/>
    <w:rsid w:val="00263B70"/>
    <w:rsid w:val="00266950"/>
    <w:rsid w:val="00271AE3"/>
    <w:rsid w:val="00274955"/>
    <w:rsid w:val="00274C1D"/>
    <w:rsid w:val="002757F2"/>
    <w:rsid w:val="0027756F"/>
    <w:rsid w:val="00277CE1"/>
    <w:rsid w:val="0028241E"/>
    <w:rsid w:val="00283F45"/>
    <w:rsid w:val="0028520A"/>
    <w:rsid w:val="002925D7"/>
    <w:rsid w:val="0029385C"/>
    <w:rsid w:val="0029612D"/>
    <w:rsid w:val="002A0E32"/>
    <w:rsid w:val="002A160D"/>
    <w:rsid w:val="002A4C4B"/>
    <w:rsid w:val="002A7807"/>
    <w:rsid w:val="002B1686"/>
    <w:rsid w:val="002B772D"/>
    <w:rsid w:val="002C4175"/>
    <w:rsid w:val="002D44BB"/>
    <w:rsid w:val="002F0FC0"/>
    <w:rsid w:val="002F276D"/>
    <w:rsid w:val="003013E7"/>
    <w:rsid w:val="00306D09"/>
    <w:rsid w:val="003118FC"/>
    <w:rsid w:val="00325850"/>
    <w:rsid w:val="003447FC"/>
    <w:rsid w:val="00347DB3"/>
    <w:rsid w:val="00351FB3"/>
    <w:rsid w:val="00360829"/>
    <w:rsid w:val="00362463"/>
    <w:rsid w:val="003650E5"/>
    <w:rsid w:val="00365E6F"/>
    <w:rsid w:val="003914E5"/>
    <w:rsid w:val="0039431E"/>
    <w:rsid w:val="00394844"/>
    <w:rsid w:val="003A1385"/>
    <w:rsid w:val="003A2FDB"/>
    <w:rsid w:val="003A3CF0"/>
    <w:rsid w:val="003B262A"/>
    <w:rsid w:val="003B581F"/>
    <w:rsid w:val="003C16FF"/>
    <w:rsid w:val="003C41A1"/>
    <w:rsid w:val="003D2B80"/>
    <w:rsid w:val="003D34CB"/>
    <w:rsid w:val="003E3341"/>
    <w:rsid w:val="003E76A5"/>
    <w:rsid w:val="003F2CB8"/>
    <w:rsid w:val="003F3965"/>
    <w:rsid w:val="00402D7C"/>
    <w:rsid w:val="004053F3"/>
    <w:rsid w:val="004140A4"/>
    <w:rsid w:val="00414BA8"/>
    <w:rsid w:val="00431F6E"/>
    <w:rsid w:val="0045262A"/>
    <w:rsid w:val="0045423C"/>
    <w:rsid w:val="00473709"/>
    <w:rsid w:val="0047504D"/>
    <w:rsid w:val="00477B62"/>
    <w:rsid w:val="00481110"/>
    <w:rsid w:val="00481AFF"/>
    <w:rsid w:val="00481DC0"/>
    <w:rsid w:val="00484988"/>
    <w:rsid w:val="00485367"/>
    <w:rsid w:val="00490C17"/>
    <w:rsid w:val="00496D89"/>
    <w:rsid w:val="004A32A1"/>
    <w:rsid w:val="004A577D"/>
    <w:rsid w:val="004B2107"/>
    <w:rsid w:val="004B3014"/>
    <w:rsid w:val="004C2B75"/>
    <w:rsid w:val="004C3BE4"/>
    <w:rsid w:val="004D0AC1"/>
    <w:rsid w:val="004E4257"/>
    <w:rsid w:val="004F1029"/>
    <w:rsid w:val="004F1CB7"/>
    <w:rsid w:val="004F5742"/>
    <w:rsid w:val="00500303"/>
    <w:rsid w:val="00503277"/>
    <w:rsid w:val="00507C8F"/>
    <w:rsid w:val="00511D75"/>
    <w:rsid w:val="00521047"/>
    <w:rsid w:val="00525997"/>
    <w:rsid w:val="00535381"/>
    <w:rsid w:val="005364EB"/>
    <w:rsid w:val="005411FC"/>
    <w:rsid w:val="00544AFA"/>
    <w:rsid w:val="00545F04"/>
    <w:rsid w:val="0054600A"/>
    <w:rsid w:val="00547E6D"/>
    <w:rsid w:val="00547F6E"/>
    <w:rsid w:val="00552963"/>
    <w:rsid w:val="005577CA"/>
    <w:rsid w:val="00572F30"/>
    <w:rsid w:val="0058013B"/>
    <w:rsid w:val="00581402"/>
    <w:rsid w:val="005931EE"/>
    <w:rsid w:val="00594F44"/>
    <w:rsid w:val="00594FA8"/>
    <w:rsid w:val="005955FF"/>
    <w:rsid w:val="005970B5"/>
    <w:rsid w:val="005A486F"/>
    <w:rsid w:val="005A7337"/>
    <w:rsid w:val="005B73F6"/>
    <w:rsid w:val="005B7B55"/>
    <w:rsid w:val="005C0729"/>
    <w:rsid w:val="005D2A1F"/>
    <w:rsid w:val="005D2D39"/>
    <w:rsid w:val="005D6030"/>
    <w:rsid w:val="005E754E"/>
    <w:rsid w:val="005F68F4"/>
    <w:rsid w:val="0060749F"/>
    <w:rsid w:val="00622041"/>
    <w:rsid w:val="006308B1"/>
    <w:rsid w:val="00632D2F"/>
    <w:rsid w:val="0066388E"/>
    <w:rsid w:val="00667B15"/>
    <w:rsid w:val="0067022F"/>
    <w:rsid w:val="00671C4C"/>
    <w:rsid w:val="00676CC2"/>
    <w:rsid w:val="00677388"/>
    <w:rsid w:val="00680F2A"/>
    <w:rsid w:val="00691EB3"/>
    <w:rsid w:val="006928B8"/>
    <w:rsid w:val="00692D93"/>
    <w:rsid w:val="00692F70"/>
    <w:rsid w:val="00696CA7"/>
    <w:rsid w:val="006972E6"/>
    <w:rsid w:val="006A2986"/>
    <w:rsid w:val="006A300C"/>
    <w:rsid w:val="006A4D13"/>
    <w:rsid w:val="006B1449"/>
    <w:rsid w:val="006B75F9"/>
    <w:rsid w:val="006C1155"/>
    <w:rsid w:val="006C4CCD"/>
    <w:rsid w:val="006D1D19"/>
    <w:rsid w:val="006D4378"/>
    <w:rsid w:val="006E18C4"/>
    <w:rsid w:val="006E1A08"/>
    <w:rsid w:val="006E2221"/>
    <w:rsid w:val="007073A1"/>
    <w:rsid w:val="0072032E"/>
    <w:rsid w:val="00723A14"/>
    <w:rsid w:val="00724786"/>
    <w:rsid w:val="00726070"/>
    <w:rsid w:val="007657C6"/>
    <w:rsid w:val="007766FE"/>
    <w:rsid w:val="007876A7"/>
    <w:rsid w:val="00790065"/>
    <w:rsid w:val="0079054F"/>
    <w:rsid w:val="007920FF"/>
    <w:rsid w:val="0079223C"/>
    <w:rsid w:val="00794EDE"/>
    <w:rsid w:val="007979D6"/>
    <w:rsid w:val="00797DB2"/>
    <w:rsid w:val="007A477F"/>
    <w:rsid w:val="007A52BB"/>
    <w:rsid w:val="007A6F69"/>
    <w:rsid w:val="007C0ACA"/>
    <w:rsid w:val="007C3146"/>
    <w:rsid w:val="007D3966"/>
    <w:rsid w:val="007D42AA"/>
    <w:rsid w:val="007D4F81"/>
    <w:rsid w:val="007E077B"/>
    <w:rsid w:val="007E4042"/>
    <w:rsid w:val="0081105E"/>
    <w:rsid w:val="008126B9"/>
    <w:rsid w:val="0081504B"/>
    <w:rsid w:val="00820A92"/>
    <w:rsid w:val="00825E86"/>
    <w:rsid w:val="008301C2"/>
    <w:rsid w:val="00833483"/>
    <w:rsid w:val="008452C8"/>
    <w:rsid w:val="00855FA0"/>
    <w:rsid w:val="008576D5"/>
    <w:rsid w:val="00871CE4"/>
    <w:rsid w:val="0087768C"/>
    <w:rsid w:val="0088302F"/>
    <w:rsid w:val="00883C23"/>
    <w:rsid w:val="0089111F"/>
    <w:rsid w:val="008947A3"/>
    <w:rsid w:val="008A0E7B"/>
    <w:rsid w:val="008A37BB"/>
    <w:rsid w:val="008B478D"/>
    <w:rsid w:val="008B4BF4"/>
    <w:rsid w:val="008C3CF1"/>
    <w:rsid w:val="008F5BB1"/>
    <w:rsid w:val="00900C6A"/>
    <w:rsid w:val="00902D0F"/>
    <w:rsid w:val="00906D60"/>
    <w:rsid w:val="009110CF"/>
    <w:rsid w:val="00912E41"/>
    <w:rsid w:val="0091459C"/>
    <w:rsid w:val="009152ED"/>
    <w:rsid w:val="00915884"/>
    <w:rsid w:val="009249E2"/>
    <w:rsid w:val="00925D8C"/>
    <w:rsid w:val="0094061B"/>
    <w:rsid w:val="009408CE"/>
    <w:rsid w:val="00945992"/>
    <w:rsid w:val="00951B49"/>
    <w:rsid w:val="00951C57"/>
    <w:rsid w:val="009659E3"/>
    <w:rsid w:val="00965F80"/>
    <w:rsid w:val="00967C33"/>
    <w:rsid w:val="009721B4"/>
    <w:rsid w:val="00976335"/>
    <w:rsid w:val="00984C16"/>
    <w:rsid w:val="0098560C"/>
    <w:rsid w:val="00985A67"/>
    <w:rsid w:val="00987D9A"/>
    <w:rsid w:val="00991BA6"/>
    <w:rsid w:val="0099463F"/>
    <w:rsid w:val="00995CEB"/>
    <w:rsid w:val="009A08CE"/>
    <w:rsid w:val="009A384F"/>
    <w:rsid w:val="009B4BAA"/>
    <w:rsid w:val="009C3062"/>
    <w:rsid w:val="009C7F7F"/>
    <w:rsid w:val="009E533A"/>
    <w:rsid w:val="00A005F0"/>
    <w:rsid w:val="00A01A5E"/>
    <w:rsid w:val="00A125F4"/>
    <w:rsid w:val="00A12F4D"/>
    <w:rsid w:val="00A20992"/>
    <w:rsid w:val="00A2190D"/>
    <w:rsid w:val="00A242BE"/>
    <w:rsid w:val="00A27A04"/>
    <w:rsid w:val="00A30DD0"/>
    <w:rsid w:val="00A31C48"/>
    <w:rsid w:val="00A40E40"/>
    <w:rsid w:val="00A50883"/>
    <w:rsid w:val="00A6372C"/>
    <w:rsid w:val="00A71076"/>
    <w:rsid w:val="00A72C93"/>
    <w:rsid w:val="00A75376"/>
    <w:rsid w:val="00A75BB8"/>
    <w:rsid w:val="00A76D47"/>
    <w:rsid w:val="00A9311A"/>
    <w:rsid w:val="00A94A3D"/>
    <w:rsid w:val="00A95AB9"/>
    <w:rsid w:val="00A972A1"/>
    <w:rsid w:val="00A97709"/>
    <w:rsid w:val="00A97DD1"/>
    <w:rsid w:val="00AA0A16"/>
    <w:rsid w:val="00AA405E"/>
    <w:rsid w:val="00AD0039"/>
    <w:rsid w:val="00AD1625"/>
    <w:rsid w:val="00AD1B80"/>
    <w:rsid w:val="00AD6867"/>
    <w:rsid w:val="00AE1463"/>
    <w:rsid w:val="00AE1B35"/>
    <w:rsid w:val="00AE433C"/>
    <w:rsid w:val="00AF058C"/>
    <w:rsid w:val="00AF07F8"/>
    <w:rsid w:val="00AF0C19"/>
    <w:rsid w:val="00AF5239"/>
    <w:rsid w:val="00B03F15"/>
    <w:rsid w:val="00B04B34"/>
    <w:rsid w:val="00B17198"/>
    <w:rsid w:val="00B341B5"/>
    <w:rsid w:val="00B40701"/>
    <w:rsid w:val="00B40DE8"/>
    <w:rsid w:val="00B44402"/>
    <w:rsid w:val="00B4460C"/>
    <w:rsid w:val="00B449CA"/>
    <w:rsid w:val="00B459C9"/>
    <w:rsid w:val="00B50BF3"/>
    <w:rsid w:val="00B50E78"/>
    <w:rsid w:val="00B63910"/>
    <w:rsid w:val="00B863C8"/>
    <w:rsid w:val="00B87AA6"/>
    <w:rsid w:val="00B90B04"/>
    <w:rsid w:val="00B9147D"/>
    <w:rsid w:val="00B92212"/>
    <w:rsid w:val="00B94DE1"/>
    <w:rsid w:val="00B953B9"/>
    <w:rsid w:val="00B955D5"/>
    <w:rsid w:val="00BA087D"/>
    <w:rsid w:val="00BA2509"/>
    <w:rsid w:val="00BA69C4"/>
    <w:rsid w:val="00BB4F07"/>
    <w:rsid w:val="00BB57CB"/>
    <w:rsid w:val="00BC0DBC"/>
    <w:rsid w:val="00BC2538"/>
    <w:rsid w:val="00BD2865"/>
    <w:rsid w:val="00BD6056"/>
    <w:rsid w:val="00BD6435"/>
    <w:rsid w:val="00BD7412"/>
    <w:rsid w:val="00BE593D"/>
    <w:rsid w:val="00BF4A87"/>
    <w:rsid w:val="00C00C2A"/>
    <w:rsid w:val="00C02F5F"/>
    <w:rsid w:val="00C16BF3"/>
    <w:rsid w:val="00C16DFC"/>
    <w:rsid w:val="00C23C86"/>
    <w:rsid w:val="00C264D6"/>
    <w:rsid w:val="00C30873"/>
    <w:rsid w:val="00C343D1"/>
    <w:rsid w:val="00C35DC1"/>
    <w:rsid w:val="00C36F23"/>
    <w:rsid w:val="00C5288C"/>
    <w:rsid w:val="00C61861"/>
    <w:rsid w:val="00C6220F"/>
    <w:rsid w:val="00C629AC"/>
    <w:rsid w:val="00C70A8A"/>
    <w:rsid w:val="00C71535"/>
    <w:rsid w:val="00C71EEC"/>
    <w:rsid w:val="00CB1D73"/>
    <w:rsid w:val="00CC1D4B"/>
    <w:rsid w:val="00CD06E9"/>
    <w:rsid w:val="00CD6461"/>
    <w:rsid w:val="00CE19E8"/>
    <w:rsid w:val="00CF0939"/>
    <w:rsid w:val="00CF7C4D"/>
    <w:rsid w:val="00D10182"/>
    <w:rsid w:val="00D12F9D"/>
    <w:rsid w:val="00D168D6"/>
    <w:rsid w:val="00D2114E"/>
    <w:rsid w:val="00D27A24"/>
    <w:rsid w:val="00D31C75"/>
    <w:rsid w:val="00D31C95"/>
    <w:rsid w:val="00D33AED"/>
    <w:rsid w:val="00D35F15"/>
    <w:rsid w:val="00D50FF0"/>
    <w:rsid w:val="00D55D68"/>
    <w:rsid w:val="00D61B3F"/>
    <w:rsid w:val="00D62150"/>
    <w:rsid w:val="00D64C6D"/>
    <w:rsid w:val="00D66A55"/>
    <w:rsid w:val="00D67F6F"/>
    <w:rsid w:val="00D71493"/>
    <w:rsid w:val="00D819B6"/>
    <w:rsid w:val="00D90B83"/>
    <w:rsid w:val="00D930E0"/>
    <w:rsid w:val="00DA644E"/>
    <w:rsid w:val="00DB0C07"/>
    <w:rsid w:val="00DC10DC"/>
    <w:rsid w:val="00DD1E63"/>
    <w:rsid w:val="00DD3934"/>
    <w:rsid w:val="00DE0309"/>
    <w:rsid w:val="00DE5364"/>
    <w:rsid w:val="00DE6C6B"/>
    <w:rsid w:val="00DF1F21"/>
    <w:rsid w:val="00E0022A"/>
    <w:rsid w:val="00E04111"/>
    <w:rsid w:val="00E04340"/>
    <w:rsid w:val="00E05563"/>
    <w:rsid w:val="00E12EA9"/>
    <w:rsid w:val="00E21875"/>
    <w:rsid w:val="00E22735"/>
    <w:rsid w:val="00E412FC"/>
    <w:rsid w:val="00E42EBF"/>
    <w:rsid w:val="00E44120"/>
    <w:rsid w:val="00E468F3"/>
    <w:rsid w:val="00E47F07"/>
    <w:rsid w:val="00E53BA3"/>
    <w:rsid w:val="00E55460"/>
    <w:rsid w:val="00E60E00"/>
    <w:rsid w:val="00E67FE3"/>
    <w:rsid w:val="00E72562"/>
    <w:rsid w:val="00E743B4"/>
    <w:rsid w:val="00E80564"/>
    <w:rsid w:val="00E81292"/>
    <w:rsid w:val="00E943AC"/>
    <w:rsid w:val="00EA4A54"/>
    <w:rsid w:val="00EA5950"/>
    <w:rsid w:val="00EB0618"/>
    <w:rsid w:val="00EB2681"/>
    <w:rsid w:val="00EB5EE9"/>
    <w:rsid w:val="00EB66D4"/>
    <w:rsid w:val="00EC0BC1"/>
    <w:rsid w:val="00EC55BF"/>
    <w:rsid w:val="00EC6551"/>
    <w:rsid w:val="00ED7243"/>
    <w:rsid w:val="00ED7363"/>
    <w:rsid w:val="00EE0C5A"/>
    <w:rsid w:val="00EF325F"/>
    <w:rsid w:val="00EF5977"/>
    <w:rsid w:val="00EF7140"/>
    <w:rsid w:val="00EF7D78"/>
    <w:rsid w:val="00F01187"/>
    <w:rsid w:val="00F01280"/>
    <w:rsid w:val="00F04D7A"/>
    <w:rsid w:val="00F115B4"/>
    <w:rsid w:val="00F11DC3"/>
    <w:rsid w:val="00F15385"/>
    <w:rsid w:val="00F15A5A"/>
    <w:rsid w:val="00F21AD0"/>
    <w:rsid w:val="00F23B55"/>
    <w:rsid w:val="00F3369E"/>
    <w:rsid w:val="00F34405"/>
    <w:rsid w:val="00F354AB"/>
    <w:rsid w:val="00F4042E"/>
    <w:rsid w:val="00F446DD"/>
    <w:rsid w:val="00F464B4"/>
    <w:rsid w:val="00F46985"/>
    <w:rsid w:val="00F55BD1"/>
    <w:rsid w:val="00F7030C"/>
    <w:rsid w:val="00F83756"/>
    <w:rsid w:val="00F83A16"/>
    <w:rsid w:val="00F95730"/>
    <w:rsid w:val="00FB11F7"/>
    <w:rsid w:val="00FB6188"/>
    <w:rsid w:val="00FB7590"/>
    <w:rsid w:val="00FE1456"/>
    <w:rsid w:val="00FE2F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0A05"/>
  <w15:docId w15:val="{D10BCA46-AC7F-4DFA-A56E-FD5356C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65"/>
    <w:pPr>
      <w:ind w:left="720"/>
      <w:contextualSpacing/>
    </w:pPr>
  </w:style>
  <w:style w:type="table" w:styleId="TableGrid">
    <w:name w:val="Table Grid"/>
    <w:basedOn w:val="TableNormal"/>
    <w:uiPriority w:val="59"/>
    <w:rsid w:val="00E0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EC"/>
  </w:style>
  <w:style w:type="paragraph" w:styleId="Footer">
    <w:name w:val="footer"/>
    <w:basedOn w:val="Normal"/>
    <w:link w:val="FooterChar"/>
    <w:uiPriority w:val="99"/>
    <w:unhideWhenUsed/>
    <w:rsid w:val="00C7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EC"/>
  </w:style>
  <w:style w:type="paragraph" w:styleId="BalloonText">
    <w:name w:val="Balloon Text"/>
    <w:basedOn w:val="Normal"/>
    <w:link w:val="BalloonTextChar"/>
    <w:uiPriority w:val="99"/>
    <w:semiHidden/>
    <w:unhideWhenUsed/>
    <w:rsid w:val="00D1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12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7388"/>
    <w:rPr>
      <w:rFonts w:ascii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8B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instrument">
    <w:name w:val="toc-instrument"/>
    <w:basedOn w:val="Normal"/>
    <w:rsid w:val="0069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oc-instrument-enum">
    <w:name w:val="toc-instrument-enum"/>
    <w:basedOn w:val="DefaultParagraphFont"/>
    <w:rsid w:val="00696CA7"/>
  </w:style>
  <w:style w:type="character" w:styleId="Hyperlink">
    <w:name w:val="Hyperlink"/>
    <w:basedOn w:val="DefaultParagraphFont"/>
    <w:uiPriority w:val="99"/>
    <w:unhideWhenUsed/>
    <w:rsid w:val="008830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02F"/>
    <w:rPr>
      <w:color w:val="605E5C"/>
      <w:shd w:val="clear" w:color="auto" w:fill="E1DFDD"/>
    </w:rPr>
  </w:style>
  <w:style w:type="character" w:customStyle="1" w:styleId="Bodytext3">
    <w:name w:val="Body text (3)_"/>
    <w:basedOn w:val="DefaultParagraphFont"/>
    <w:link w:val="Bodytext30"/>
    <w:locked/>
    <w:rsid w:val="003B581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B581F"/>
    <w:pPr>
      <w:shd w:val="clear" w:color="auto" w:fill="FFFFFF"/>
      <w:spacing w:before="540" w:after="1080" w:line="379" w:lineRule="exact"/>
      <w:jc w:val="center"/>
    </w:pPr>
    <w:rPr>
      <w:rFonts w:ascii="Arial" w:eastAsia="Arial" w:hAnsi="Arial" w:cs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B5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0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3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5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alathi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E46E-2E53-4083-A900-DC7606AC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Theodoros Theodorou</dc:creator>
  <cp:lastModifiedBy>Chariklia Christodoulou</cp:lastModifiedBy>
  <cp:revision>54</cp:revision>
  <cp:lastPrinted>2023-03-27T08:42:00Z</cp:lastPrinted>
  <dcterms:created xsi:type="dcterms:W3CDTF">2023-04-26T09:26:00Z</dcterms:created>
  <dcterms:modified xsi:type="dcterms:W3CDTF">2023-12-06T15:15:00Z</dcterms:modified>
</cp:coreProperties>
</file>