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4BA0" w14:textId="3F36D760" w:rsidR="001C175A" w:rsidRPr="004B3CFF" w:rsidRDefault="001C175A" w:rsidP="00967D3F">
      <w:pPr>
        <w:spacing w:after="0" w:line="48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4B3CFF">
        <w:rPr>
          <w:rFonts w:ascii="Arial" w:hAnsi="Arial" w:cs="Arial"/>
          <w:sz w:val="24"/>
          <w:szCs w:val="24"/>
        </w:rPr>
        <w:t>ΝΟΜΟ</w:t>
      </w:r>
      <w:r w:rsidR="00967D3F">
        <w:rPr>
          <w:rFonts w:ascii="Arial" w:hAnsi="Arial" w:cs="Arial"/>
          <w:sz w:val="24"/>
          <w:szCs w:val="24"/>
        </w:rPr>
        <w:t>Σ</w:t>
      </w:r>
      <w:r w:rsidRPr="004B3CFF">
        <w:rPr>
          <w:rFonts w:ascii="Arial" w:hAnsi="Arial" w:cs="Arial"/>
          <w:sz w:val="24"/>
          <w:szCs w:val="24"/>
        </w:rPr>
        <w:t xml:space="preserve"> ΠΟΥ ΤΡΟΠΟΠΟΙΕΙ ΤΟ</w:t>
      </w:r>
      <w:r w:rsidR="00496078" w:rsidRPr="004B3CFF">
        <w:rPr>
          <w:rFonts w:ascii="Arial" w:hAnsi="Arial" w:cs="Arial"/>
          <w:sz w:val="24"/>
          <w:szCs w:val="24"/>
        </w:rPr>
        <w:t>ΥΣ</w:t>
      </w:r>
      <w:r w:rsidRPr="004B3CFF">
        <w:rPr>
          <w:rFonts w:ascii="Arial" w:hAnsi="Arial" w:cs="Arial"/>
          <w:sz w:val="24"/>
          <w:szCs w:val="24"/>
        </w:rPr>
        <w:t xml:space="preserve"> ΠΕΡ</w:t>
      </w:r>
      <w:r w:rsidR="00822F7D" w:rsidRPr="004B3CFF">
        <w:rPr>
          <w:rFonts w:ascii="Arial" w:hAnsi="Arial" w:cs="Arial"/>
          <w:sz w:val="24"/>
          <w:szCs w:val="24"/>
        </w:rPr>
        <w:t>Ι ΤΟΥΡΚΟΚΥΠΡΙΑΚΩΝ</w:t>
      </w:r>
      <w:r w:rsidR="00BD26C5">
        <w:rPr>
          <w:rFonts w:ascii="Arial" w:hAnsi="Arial" w:cs="Arial"/>
          <w:sz w:val="24"/>
          <w:szCs w:val="24"/>
        </w:rPr>
        <w:t xml:space="preserve"> </w:t>
      </w:r>
      <w:r w:rsidR="00822F7D" w:rsidRPr="004B3CFF">
        <w:rPr>
          <w:rFonts w:ascii="Arial" w:hAnsi="Arial" w:cs="Arial"/>
          <w:sz w:val="24"/>
          <w:szCs w:val="24"/>
        </w:rPr>
        <w:t>ΠΕΡΙΟΥΣΙΩΝ (ΔΙ</w:t>
      </w:r>
      <w:r w:rsidRPr="004B3CFF">
        <w:rPr>
          <w:rFonts w:ascii="Arial" w:hAnsi="Arial" w:cs="Arial"/>
          <w:sz w:val="24"/>
          <w:szCs w:val="24"/>
        </w:rPr>
        <w:t>ΑΧΕΙΡΙΣΗ</w:t>
      </w:r>
      <w:r w:rsidR="00822F7D" w:rsidRPr="004B3CFF">
        <w:rPr>
          <w:rFonts w:ascii="Arial" w:hAnsi="Arial" w:cs="Arial"/>
          <w:sz w:val="24"/>
          <w:szCs w:val="24"/>
        </w:rPr>
        <w:t xml:space="preserve"> ΚΑΙ ΑΛΛΑ ΘΕΜΑΤΑ) (ΠΡΟΣΩΡΙΝΕΣ ΔΙ</w:t>
      </w:r>
      <w:r w:rsidRPr="004B3CFF">
        <w:rPr>
          <w:rFonts w:ascii="Arial" w:hAnsi="Arial" w:cs="Arial"/>
          <w:sz w:val="24"/>
          <w:szCs w:val="24"/>
        </w:rPr>
        <w:t>ΑΤΑΞΕΙΣ) ΝΟΜΟ</w:t>
      </w:r>
      <w:r w:rsidR="0094112F" w:rsidRPr="004B3CFF">
        <w:rPr>
          <w:rFonts w:ascii="Arial" w:hAnsi="Arial" w:cs="Arial"/>
          <w:sz w:val="24"/>
          <w:szCs w:val="24"/>
        </w:rPr>
        <w:t>ΥΣ ΤΟΥ 1991 ΕΩΣ 202</w:t>
      </w:r>
      <w:r w:rsidR="00BD26C5">
        <w:rPr>
          <w:rFonts w:ascii="Arial" w:hAnsi="Arial" w:cs="Arial"/>
          <w:sz w:val="24"/>
          <w:szCs w:val="24"/>
        </w:rPr>
        <w:t>3</w:t>
      </w:r>
    </w:p>
    <w:p w14:paraId="65BC2BD7" w14:textId="77777777" w:rsidR="00A16B85" w:rsidRPr="004B3CFF" w:rsidRDefault="00A16B85" w:rsidP="00B06B7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806" w:type="dxa"/>
        <w:tblLook w:val="04A0" w:firstRow="1" w:lastRow="0" w:firstColumn="1" w:lastColumn="0" w:noHBand="0" w:noVBand="1"/>
      </w:tblPr>
      <w:tblGrid>
        <w:gridCol w:w="2025"/>
        <w:gridCol w:w="2139"/>
        <w:gridCol w:w="5642"/>
      </w:tblGrid>
      <w:tr w:rsidR="009E774C" w:rsidRPr="004B3CFF" w14:paraId="737D8123" w14:textId="77777777" w:rsidTr="00071127">
        <w:tc>
          <w:tcPr>
            <w:tcW w:w="2025" w:type="dxa"/>
            <w:shd w:val="clear" w:color="auto" w:fill="auto"/>
          </w:tcPr>
          <w:p w14:paraId="1447F018" w14:textId="46A4C6C4" w:rsidR="009E774C" w:rsidRPr="004B3CFF" w:rsidRDefault="009E774C" w:rsidP="00B06B78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Προοίμιο.</w:t>
            </w:r>
          </w:p>
        </w:tc>
        <w:tc>
          <w:tcPr>
            <w:tcW w:w="7781" w:type="dxa"/>
            <w:gridSpan w:val="2"/>
            <w:shd w:val="clear" w:color="auto" w:fill="auto"/>
          </w:tcPr>
          <w:p w14:paraId="26D27920" w14:textId="7C037934" w:rsidR="009E774C" w:rsidRPr="004B3CFF" w:rsidRDefault="009E774C" w:rsidP="00B06B78">
            <w:pPr>
              <w:tabs>
                <w:tab w:val="left" w:pos="567"/>
                <w:tab w:val="left" w:pos="4962"/>
              </w:tabs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ΕΠΕΙΔΗ</w:t>
            </w:r>
            <w:r w:rsidR="00BC537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μεγάλος αριθμός προσφύγων κατέχουν τουρκοκυπριακές οικίες επί σειρά ετών, </w:t>
            </w:r>
            <w:r w:rsidR="00A553FA">
              <w:rPr>
                <w:rFonts w:ascii="Arial" w:hAnsi="Arial" w:cs="Arial"/>
                <w:sz w:val="24"/>
                <w:szCs w:val="24"/>
              </w:rPr>
              <w:t xml:space="preserve">χρονικό </w:t>
            </w:r>
            <w:r>
              <w:rPr>
                <w:rFonts w:ascii="Arial" w:hAnsi="Arial" w:cs="Arial"/>
                <w:sz w:val="24"/>
                <w:szCs w:val="24"/>
              </w:rPr>
              <w:t xml:space="preserve">διάστημα κατά το οποίο έχουν προβεί σε επιδιορθώσεις των εν λόγω οικιών με δική τους οικονομική επιβάρυνση για την αναγκαία συντήρησή τους, προκειμένου να μπορούν </w:t>
            </w:r>
            <w:r w:rsidRPr="00706423">
              <w:rPr>
                <w:rFonts w:ascii="Arial" w:hAnsi="Arial" w:cs="Arial"/>
                <w:sz w:val="24"/>
                <w:szCs w:val="24"/>
              </w:rPr>
              <w:t>να διαβιούν σε αυτές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9E774C" w:rsidRPr="004B3CFF" w14:paraId="2D3E5A2F" w14:textId="77777777" w:rsidTr="00071127">
        <w:tc>
          <w:tcPr>
            <w:tcW w:w="2025" w:type="dxa"/>
            <w:shd w:val="clear" w:color="auto" w:fill="auto"/>
          </w:tcPr>
          <w:p w14:paraId="5BAFE2EF" w14:textId="77777777" w:rsidR="009E774C" w:rsidRPr="004B3CFF" w:rsidRDefault="009E774C" w:rsidP="00B06B78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1" w:type="dxa"/>
            <w:gridSpan w:val="2"/>
            <w:shd w:val="clear" w:color="auto" w:fill="auto"/>
          </w:tcPr>
          <w:p w14:paraId="05A1DA3F" w14:textId="77777777" w:rsidR="009E774C" w:rsidRPr="004B3CFF" w:rsidRDefault="009E774C" w:rsidP="00B06B78">
            <w:pPr>
              <w:tabs>
                <w:tab w:val="left" w:pos="284"/>
                <w:tab w:val="left" w:pos="567"/>
                <w:tab w:val="left" w:pos="851"/>
              </w:tabs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74C" w:rsidRPr="004B3CFF" w14:paraId="7DED4718" w14:textId="77777777" w:rsidTr="00071127">
        <w:tc>
          <w:tcPr>
            <w:tcW w:w="2025" w:type="dxa"/>
            <w:shd w:val="clear" w:color="auto" w:fill="auto"/>
          </w:tcPr>
          <w:p w14:paraId="33DFEA5A" w14:textId="77777777" w:rsidR="009E774C" w:rsidRPr="004B3CFF" w:rsidRDefault="009E774C" w:rsidP="00B06B78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1" w:type="dxa"/>
            <w:gridSpan w:val="2"/>
            <w:shd w:val="clear" w:color="auto" w:fill="auto"/>
          </w:tcPr>
          <w:p w14:paraId="302E5E88" w14:textId="07D94C22" w:rsidR="009E774C" w:rsidRPr="004B3CFF" w:rsidRDefault="009E774C" w:rsidP="00B06B78">
            <w:pPr>
              <w:tabs>
                <w:tab w:val="left" w:pos="567"/>
                <w:tab w:val="left" w:pos="4962"/>
              </w:tabs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ΚΑΙ ΕΠΕΙΔΗ</w:t>
            </w:r>
            <w:r w:rsidR="00BC537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με βάση τις διατάξεις της βασικής νομοθεσίας</w:t>
            </w:r>
            <w:r w:rsidR="00362BE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το δικαίωμα κατοχής τουρκοκυπριακής οικίας που </w:t>
            </w:r>
            <w:r w:rsidR="00BC5377">
              <w:rPr>
                <w:rFonts w:ascii="Arial" w:hAnsi="Arial" w:cs="Arial"/>
                <w:sz w:val="24"/>
                <w:szCs w:val="24"/>
              </w:rPr>
              <w:t>παραχωρήθηκε</w:t>
            </w:r>
            <w:r>
              <w:rPr>
                <w:rFonts w:ascii="Arial" w:hAnsi="Arial" w:cs="Arial"/>
                <w:sz w:val="24"/>
                <w:szCs w:val="24"/>
              </w:rPr>
              <w:t xml:space="preserve"> σε πρόσφυγ</w:t>
            </w:r>
            <w:r w:rsidR="00BC5377">
              <w:rPr>
                <w:rFonts w:ascii="Arial" w:hAnsi="Arial" w:cs="Arial"/>
                <w:sz w:val="24"/>
                <w:szCs w:val="24"/>
              </w:rPr>
              <w:t>ες</w:t>
            </w:r>
            <w:r>
              <w:rPr>
                <w:rFonts w:ascii="Arial" w:hAnsi="Arial" w:cs="Arial"/>
                <w:sz w:val="24"/>
                <w:szCs w:val="24"/>
              </w:rPr>
              <w:t xml:space="preserve"> για σκοπούς στέγασης</w:t>
            </w:r>
            <w:r w:rsidR="00362B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μετά την τουρκική εισβολή </w:t>
            </w:r>
            <w:r w:rsidR="00BC5377">
              <w:rPr>
                <w:rFonts w:ascii="Arial" w:hAnsi="Arial" w:cs="Arial"/>
                <w:sz w:val="24"/>
                <w:szCs w:val="24"/>
              </w:rPr>
              <w:t xml:space="preserve">παύει να υφίσταται </w:t>
            </w:r>
            <w:r>
              <w:rPr>
                <w:rFonts w:ascii="Arial" w:hAnsi="Arial" w:cs="Arial"/>
                <w:sz w:val="24"/>
                <w:szCs w:val="24"/>
              </w:rPr>
              <w:t>λόγω απόκτησης ιδιόκτητης οικίας,</w:t>
            </w:r>
          </w:p>
        </w:tc>
      </w:tr>
      <w:tr w:rsidR="009E774C" w:rsidRPr="004B3CFF" w14:paraId="7FFF816B" w14:textId="77777777" w:rsidTr="00071127">
        <w:tc>
          <w:tcPr>
            <w:tcW w:w="2025" w:type="dxa"/>
            <w:shd w:val="clear" w:color="auto" w:fill="auto"/>
          </w:tcPr>
          <w:p w14:paraId="5E2EF4B2" w14:textId="77777777" w:rsidR="009E774C" w:rsidRPr="004B3CFF" w:rsidRDefault="009E774C" w:rsidP="00B06B78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1" w:type="dxa"/>
            <w:gridSpan w:val="2"/>
            <w:shd w:val="clear" w:color="auto" w:fill="auto"/>
          </w:tcPr>
          <w:p w14:paraId="4A6E2EA0" w14:textId="77777777" w:rsidR="009E774C" w:rsidRPr="004B3CFF" w:rsidRDefault="009E774C" w:rsidP="00B06B78">
            <w:pPr>
              <w:tabs>
                <w:tab w:val="left" w:pos="284"/>
                <w:tab w:val="left" w:pos="567"/>
                <w:tab w:val="left" w:pos="851"/>
              </w:tabs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74C" w:rsidRPr="004B3CFF" w14:paraId="6338CF1F" w14:textId="77777777" w:rsidTr="00071127">
        <w:tc>
          <w:tcPr>
            <w:tcW w:w="2025" w:type="dxa"/>
            <w:shd w:val="clear" w:color="auto" w:fill="auto"/>
          </w:tcPr>
          <w:p w14:paraId="39773FC4" w14:textId="77777777" w:rsidR="009E774C" w:rsidRPr="004B3CFF" w:rsidRDefault="009E774C" w:rsidP="00B06B78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1" w:type="dxa"/>
            <w:gridSpan w:val="2"/>
            <w:shd w:val="clear" w:color="auto" w:fill="auto"/>
          </w:tcPr>
          <w:p w14:paraId="2ED602DE" w14:textId="156F61CE" w:rsidR="009E774C" w:rsidRPr="004B3CFF" w:rsidRDefault="009E774C" w:rsidP="00B06B78">
            <w:pPr>
              <w:tabs>
                <w:tab w:val="left" w:pos="567"/>
                <w:tab w:val="left" w:pos="4962"/>
              </w:tabs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ΚΑΙ ΕΠΕΙΔΗ</w:t>
            </w:r>
            <w:r w:rsidR="00BC537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κρίνεται αναγκαία η άρση της άνισης μεταχείρισης μεταξύ προσφύγων στους οποίους παραχωρήθηκε από το κράτος τίτλος ιδιοκτησίας σε κυβερνητικούς οικισμούς ή οποιαδήποτε άλλη οικονομική βοήθεια για σκοπούς στέγασης</w:t>
            </w:r>
            <w:r w:rsidR="00964C13">
              <w:rPr>
                <w:rFonts w:ascii="Arial" w:hAnsi="Arial" w:cs="Arial"/>
                <w:sz w:val="24"/>
                <w:szCs w:val="24"/>
              </w:rPr>
              <w:t xml:space="preserve"> και προσφύγων κατόχων τουρκοκυπριακών οικιών</w:t>
            </w:r>
            <w:r w:rsidR="007F3DD5">
              <w:rPr>
                <w:rFonts w:ascii="Arial" w:hAnsi="Arial" w:cs="Arial"/>
                <w:sz w:val="24"/>
                <w:szCs w:val="24"/>
              </w:rPr>
              <w:t xml:space="preserve"> των οποίων το δικαίωμα κατοχής τουρκοκυπριακής οικίας παύει να υφίσταται</w:t>
            </w:r>
            <w:r w:rsidR="00BC5377">
              <w:rPr>
                <w:rFonts w:ascii="Arial" w:hAnsi="Arial" w:cs="Arial"/>
                <w:sz w:val="24"/>
                <w:szCs w:val="24"/>
              </w:rPr>
              <w:t xml:space="preserve"> σε περίπτωση απόκτησης ιδιόκτητης οικίας,</w:t>
            </w:r>
          </w:p>
        </w:tc>
      </w:tr>
      <w:tr w:rsidR="009E774C" w:rsidRPr="004B3CFF" w14:paraId="0A9838FB" w14:textId="77777777" w:rsidTr="00071127">
        <w:tc>
          <w:tcPr>
            <w:tcW w:w="2025" w:type="dxa"/>
            <w:shd w:val="clear" w:color="auto" w:fill="auto"/>
          </w:tcPr>
          <w:p w14:paraId="0A0127AE" w14:textId="77777777" w:rsidR="009E774C" w:rsidRPr="004B3CFF" w:rsidRDefault="009E774C" w:rsidP="00B06B78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1" w:type="dxa"/>
            <w:gridSpan w:val="2"/>
            <w:shd w:val="clear" w:color="auto" w:fill="auto"/>
          </w:tcPr>
          <w:p w14:paraId="695C077D" w14:textId="77777777" w:rsidR="009E774C" w:rsidRPr="004B3CFF" w:rsidRDefault="009E774C" w:rsidP="00B06B78">
            <w:pPr>
              <w:tabs>
                <w:tab w:val="left" w:pos="284"/>
                <w:tab w:val="left" w:pos="567"/>
                <w:tab w:val="left" w:pos="851"/>
              </w:tabs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774C" w:rsidRPr="004B3CFF" w14:paraId="6B364265" w14:textId="77777777" w:rsidTr="00071127">
        <w:tc>
          <w:tcPr>
            <w:tcW w:w="2025" w:type="dxa"/>
            <w:shd w:val="clear" w:color="auto" w:fill="auto"/>
          </w:tcPr>
          <w:p w14:paraId="23F782E4" w14:textId="77777777" w:rsidR="009E774C" w:rsidRPr="004B3CFF" w:rsidRDefault="009E774C" w:rsidP="00B06B78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1" w:type="dxa"/>
            <w:gridSpan w:val="2"/>
            <w:shd w:val="clear" w:color="auto" w:fill="auto"/>
          </w:tcPr>
          <w:p w14:paraId="69653885" w14:textId="70495068" w:rsidR="009E774C" w:rsidRPr="004B3CFF" w:rsidRDefault="009E774C" w:rsidP="00B06B78">
            <w:pPr>
              <w:tabs>
                <w:tab w:val="left" w:pos="284"/>
                <w:tab w:val="left" w:pos="567"/>
                <w:tab w:val="left" w:pos="851"/>
              </w:tabs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Για όλους τους πιο πάνω λόγους, η Βουλή των Αντιπροσώπων ψηφίζει ως ακολούθως:</w:t>
            </w:r>
          </w:p>
        </w:tc>
      </w:tr>
      <w:tr w:rsidR="009E774C" w:rsidRPr="004B3CFF" w14:paraId="207EA8C5" w14:textId="77777777" w:rsidTr="00071127">
        <w:tc>
          <w:tcPr>
            <w:tcW w:w="2025" w:type="dxa"/>
            <w:shd w:val="clear" w:color="auto" w:fill="auto"/>
          </w:tcPr>
          <w:p w14:paraId="2FEF09F4" w14:textId="77777777" w:rsidR="009E774C" w:rsidRPr="004B3CFF" w:rsidRDefault="009E774C" w:rsidP="00B06B78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1" w:type="dxa"/>
            <w:gridSpan w:val="2"/>
            <w:shd w:val="clear" w:color="auto" w:fill="auto"/>
          </w:tcPr>
          <w:p w14:paraId="005D908A" w14:textId="77777777" w:rsidR="009E774C" w:rsidRPr="004B3CFF" w:rsidRDefault="009E774C" w:rsidP="00B06B78">
            <w:pPr>
              <w:tabs>
                <w:tab w:val="left" w:pos="284"/>
                <w:tab w:val="left" w:pos="567"/>
                <w:tab w:val="left" w:pos="851"/>
              </w:tabs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142" w:rsidRPr="004B3CFF" w14:paraId="1841B179" w14:textId="77777777" w:rsidTr="00071127">
        <w:tc>
          <w:tcPr>
            <w:tcW w:w="2025" w:type="dxa"/>
            <w:shd w:val="clear" w:color="auto" w:fill="auto"/>
          </w:tcPr>
          <w:p w14:paraId="77233505" w14:textId="77777777" w:rsidR="004B3CFF" w:rsidRDefault="002237EF" w:rsidP="00B06B78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4B3CFF">
              <w:rPr>
                <w:rFonts w:ascii="Arial" w:hAnsi="Arial" w:cs="Arial"/>
                <w:sz w:val="24"/>
                <w:szCs w:val="24"/>
              </w:rPr>
              <w:lastRenderedPageBreak/>
              <w:t>Συνοπτικός</w:t>
            </w:r>
          </w:p>
          <w:p w14:paraId="25AFEE61" w14:textId="07EBAB9C" w:rsidR="002237EF" w:rsidRPr="004B3CFF" w:rsidRDefault="002237EF" w:rsidP="00B06B78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4B3CFF">
              <w:rPr>
                <w:rFonts w:ascii="Arial" w:hAnsi="Arial" w:cs="Arial"/>
                <w:sz w:val="24"/>
                <w:szCs w:val="24"/>
              </w:rPr>
              <w:t>τίτλος.</w:t>
            </w:r>
          </w:p>
          <w:p w14:paraId="7811EF68" w14:textId="1CF4A107" w:rsidR="0094112F" w:rsidRPr="004B3CFF" w:rsidRDefault="0094112F" w:rsidP="00B06B78">
            <w:pPr>
              <w:spacing w:after="0" w:line="48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3CFF">
              <w:rPr>
                <w:rFonts w:ascii="Arial" w:hAnsi="Arial" w:cs="Arial"/>
                <w:sz w:val="24"/>
                <w:szCs w:val="24"/>
              </w:rPr>
              <w:t>139 του 1991</w:t>
            </w:r>
          </w:p>
          <w:p w14:paraId="6958CB70" w14:textId="635CBED5" w:rsidR="002237EF" w:rsidRPr="004B3CFF" w:rsidRDefault="002237EF" w:rsidP="00B06B78">
            <w:pPr>
              <w:spacing w:after="0" w:line="48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3CFF">
              <w:rPr>
                <w:rFonts w:ascii="Arial" w:hAnsi="Arial" w:cs="Arial"/>
                <w:sz w:val="24"/>
                <w:szCs w:val="24"/>
              </w:rPr>
              <w:t>99(Ι) του 1992</w:t>
            </w:r>
          </w:p>
          <w:p w14:paraId="0E817D7A" w14:textId="77777777" w:rsidR="002237EF" w:rsidRPr="004B3CFF" w:rsidRDefault="002237EF" w:rsidP="00B06B78">
            <w:pPr>
              <w:spacing w:after="0" w:line="48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3CFF">
              <w:rPr>
                <w:rFonts w:ascii="Arial" w:hAnsi="Arial" w:cs="Arial"/>
                <w:sz w:val="24"/>
                <w:szCs w:val="24"/>
              </w:rPr>
              <w:t>35(Ι) του 1994</w:t>
            </w:r>
          </w:p>
          <w:p w14:paraId="18B7797B" w14:textId="77777777" w:rsidR="002237EF" w:rsidRPr="004B3CFF" w:rsidRDefault="002237EF" w:rsidP="00B06B78">
            <w:pPr>
              <w:spacing w:after="0" w:line="48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3CFF">
              <w:rPr>
                <w:rFonts w:ascii="Arial" w:hAnsi="Arial" w:cs="Arial"/>
                <w:sz w:val="24"/>
                <w:szCs w:val="24"/>
              </w:rPr>
              <w:t>7(Ι) του 1996</w:t>
            </w:r>
          </w:p>
          <w:p w14:paraId="51BC1416" w14:textId="77777777" w:rsidR="002237EF" w:rsidRPr="004B3CFF" w:rsidRDefault="002237EF" w:rsidP="00B06B78">
            <w:pPr>
              <w:spacing w:after="0" w:line="48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3CFF">
              <w:rPr>
                <w:rFonts w:ascii="Arial" w:hAnsi="Arial" w:cs="Arial"/>
                <w:sz w:val="24"/>
                <w:szCs w:val="24"/>
              </w:rPr>
              <w:t>33(Ι) του 1998</w:t>
            </w:r>
          </w:p>
          <w:p w14:paraId="375B76DF" w14:textId="77777777" w:rsidR="002237EF" w:rsidRPr="004B3CFF" w:rsidRDefault="002237EF" w:rsidP="00B06B78">
            <w:pPr>
              <w:spacing w:after="0" w:line="48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3CFF">
              <w:rPr>
                <w:rFonts w:ascii="Arial" w:hAnsi="Arial" w:cs="Arial"/>
                <w:sz w:val="24"/>
                <w:szCs w:val="24"/>
              </w:rPr>
              <w:t>59(Ι) του 2003</w:t>
            </w:r>
          </w:p>
          <w:p w14:paraId="4AEC0B8C" w14:textId="77777777" w:rsidR="002237EF" w:rsidRPr="004B3CFF" w:rsidRDefault="002237EF" w:rsidP="00B06B78">
            <w:pPr>
              <w:spacing w:after="0" w:line="48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3CFF">
              <w:rPr>
                <w:rFonts w:ascii="Arial" w:hAnsi="Arial" w:cs="Arial"/>
                <w:sz w:val="24"/>
                <w:szCs w:val="24"/>
              </w:rPr>
              <w:t>56(Ι) του 2006</w:t>
            </w:r>
          </w:p>
          <w:p w14:paraId="5C83DF16" w14:textId="77777777" w:rsidR="002237EF" w:rsidRPr="004B3CFF" w:rsidRDefault="002237EF" w:rsidP="00B06B78">
            <w:pPr>
              <w:spacing w:after="0" w:line="48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3CFF">
              <w:rPr>
                <w:rFonts w:ascii="Arial" w:hAnsi="Arial" w:cs="Arial"/>
                <w:sz w:val="24"/>
                <w:szCs w:val="24"/>
              </w:rPr>
              <w:t>119(Ι) του 2007</w:t>
            </w:r>
          </w:p>
          <w:p w14:paraId="4A12380B" w14:textId="77777777" w:rsidR="002237EF" w:rsidRPr="004B3CFF" w:rsidRDefault="002237EF" w:rsidP="00B06B78">
            <w:pPr>
              <w:spacing w:after="0" w:line="48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3CFF">
              <w:rPr>
                <w:rFonts w:ascii="Arial" w:hAnsi="Arial" w:cs="Arial"/>
                <w:sz w:val="24"/>
                <w:szCs w:val="24"/>
              </w:rPr>
              <w:t>141(Ι) του 2009</w:t>
            </w:r>
          </w:p>
          <w:p w14:paraId="37FCCACC" w14:textId="77777777" w:rsidR="002237EF" w:rsidRPr="004B3CFF" w:rsidRDefault="002237EF" w:rsidP="00B06B78">
            <w:pPr>
              <w:spacing w:after="0" w:line="48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3CFF">
              <w:rPr>
                <w:rFonts w:ascii="Arial" w:hAnsi="Arial" w:cs="Arial"/>
                <w:sz w:val="24"/>
                <w:szCs w:val="24"/>
              </w:rPr>
              <w:t>39(Ι) του 2010</w:t>
            </w:r>
          </w:p>
          <w:p w14:paraId="77FCD4EA" w14:textId="77777777" w:rsidR="002237EF" w:rsidRPr="004B3CFF" w:rsidRDefault="002237EF" w:rsidP="00B06B78">
            <w:pPr>
              <w:spacing w:after="0" w:line="48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3CFF">
              <w:rPr>
                <w:rFonts w:ascii="Arial" w:hAnsi="Arial" w:cs="Arial"/>
                <w:sz w:val="24"/>
                <w:szCs w:val="24"/>
              </w:rPr>
              <w:t>68(Ι) του 2012</w:t>
            </w:r>
          </w:p>
          <w:p w14:paraId="398108EC" w14:textId="77777777" w:rsidR="00FF48E7" w:rsidRPr="004B3CFF" w:rsidRDefault="002237EF" w:rsidP="00B06B78">
            <w:pPr>
              <w:spacing w:after="0" w:line="48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3CFF">
              <w:rPr>
                <w:rFonts w:ascii="Arial" w:hAnsi="Arial" w:cs="Arial"/>
                <w:sz w:val="24"/>
                <w:szCs w:val="24"/>
              </w:rPr>
              <w:t>144(Ι) του 2018</w:t>
            </w:r>
          </w:p>
          <w:p w14:paraId="14DB913E" w14:textId="55E8AF32" w:rsidR="00BD26C5" w:rsidRDefault="00626FD0" w:rsidP="00626FD0">
            <w:pPr>
              <w:spacing w:after="0" w:line="48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5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8E7" w:rsidRPr="004B3CFF">
              <w:rPr>
                <w:rFonts w:ascii="Arial" w:hAnsi="Arial" w:cs="Arial"/>
                <w:sz w:val="24"/>
                <w:szCs w:val="24"/>
              </w:rPr>
              <w:t>85(Ι) του 2022</w:t>
            </w:r>
          </w:p>
          <w:p w14:paraId="26401F93" w14:textId="17C6AF40" w:rsidR="002237EF" w:rsidRPr="004B3CFF" w:rsidRDefault="00BD26C5" w:rsidP="00B06B78">
            <w:pPr>
              <w:spacing w:after="0" w:line="48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5(Ι) του 2023</w:t>
            </w:r>
            <w:r w:rsidR="002237EF" w:rsidRPr="004B3C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81" w:type="dxa"/>
            <w:gridSpan w:val="2"/>
            <w:shd w:val="clear" w:color="auto" w:fill="auto"/>
          </w:tcPr>
          <w:p w14:paraId="05081C14" w14:textId="703063BC" w:rsidR="004400E8" w:rsidRPr="004B3CFF" w:rsidRDefault="004400E8" w:rsidP="00B06B78">
            <w:pPr>
              <w:tabs>
                <w:tab w:val="left" w:pos="284"/>
                <w:tab w:val="left" w:pos="567"/>
                <w:tab w:val="left" w:pos="851"/>
              </w:tabs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CFF">
              <w:rPr>
                <w:rFonts w:ascii="Arial" w:hAnsi="Arial" w:cs="Arial"/>
                <w:sz w:val="24"/>
                <w:szCs w:val="24"/>
              </w:rPr>
              <w:t>1.</w:t>
            </w:r>
            <w:r w:rsidR="006B090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B3CFF">
              <w:rPr>
                <w:rFonts w:ascii="Arial" w:hAnsi="Arial" w:cs="Arial"/>
                <w:sz w:val="24"/>
                <w:szCs w:val="24"/>
              </w:rPr>
              <w:t xml:space="preserve">Ο παρών Νόμος θα αναφέρεται ως ο </w:t>
            </w:r>
            <w:bookmarkStart w:id="0" w:name="_Hlk128059697"/>
            <w:r w:rsidRPr="004B3CFF">
              <w:rPr>
                <w:rFonts w:ascii="Arial" w:hAnsi="Arial" w:cs="Arial"/>
                <w:sz w:val="24"/>
                <w:szCs w:val="24"/>
              </w:rPr>
              <w:t>περί</w:t>
            </w:r>
            <w:r w:rsidR="002721B1" w:rsidRPr="004B3CFF">
              <w:rPr>
                <w:rFonts w:ascii="Arial" w:hAnsi="Arial" w:cs="Arial"/>
                <w:sz w:val="24"/>
                <w:szCs w:val="24"/>
              </w:rPr>
              <w:t xml:space="preserve"> Τουρκοκυπριακών Περιουσιών (Δια</w:t>
            </w:r>
            <w:r w:rsidRPr="004B3CFF">
              <w:rPr>
                <w:rFonts w:ascii="Arial" w:hAnsi="Arial" w:cs="Arial"/>
                <w:sz w:val="24"/>
                <w:szCs w:val="24"/>
              </w:rPr>
              <w:t xml:space="preserve">χείριση και Άλλα Θέματα) (Προσωρινές </w:t>
            </w:r>
            <w:r w:rsidR="002721B1" w:rsidRPr="004B3CFF">
              <w:rPr>
                <w:rFonts w:ascii="Arial" w:hAnsi="Arial" w:cs="Arial"/>
                <w:sz w:val="24"/>
                <w:szCs w:val="24"/>
              </w:rPr>
              <w:t>Διατάξεις</w:t>
            </w:r>
            <w:r w:rsidRPr="004B3CFF">
              <w:rPr>
                <w:rFonts w:ascii="Arial" w:hAnsi="Arial" w:cs="Arial"/>
                <w:sz w:val="24"/>
                <w:szCs w:val="24"/>
              </w:rPr>
              <w:t>) (Τροποποιητικός</w:t>
            </w:r>
            <w:r w:rsidR="0094112F" w:rsidRPr="004B3CFF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BD26C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BD26C5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BD26C5">
              <w:rPr>
                <w:rFonts w:ascii="Arial" w:hAnsi="Arial" w:cs="Arial"/>
                <w:sz w:val="24"/>
                <w:szCs w:val="24"/>
              </w:rPr>
              <w:t xml:space="preserve">. 2) </w:t>
            </w:r>
            <w:r w:rsidRPr="004B3CFF">
              <w:rPr>
                <w:rFonts w:ascii="Arial" w:hAnsi="Arial" w:cs="Arial"/>
                <w:sz w:val="24"/>
                <w:szCs w:val="24"/>
              </w:rPr>
              <w:t>Νόμος</w:t>
            </w:r>
            <w:bookmarkEnd w:id="0"/>
            <w:r w:rsidRPr="004B3CFF">
              <w:rPr>
                <w:rFonts w:ascii="Arial" w:hAnsi="Arial" w:cs="Arial"/>
                <w:sz w:val="24"/>
                <w:szCs w:val="24"/>
              </w:rPr>
              <w:t xml:space="preserve"> του 202</w:t>
            </w:r>
            <w:r w:rsidR="00B8633E">
              <w:rPr>
                <w:rFonts w:ascii="Arial" w:hAnsi="Arial" w:cs="Arial"/>
                <w:sz w:val="24"/>
                <w:szCs w:val="24"/>
              </w:rPr>
              <w:t>3</w:t>
            </w:r>
            <w:r w:rsidRPr="004B3CFF">
              <w:rPr>
                <w:rFonts w:ascii="Arial" w:hAnsi="Arial" w:cs="Arial"/>
                <w:sz w:val="24"/>
                <w:szCs w:val="24"/>
              </w:rPr>
              <w:t xml:space="preserve"> και θα διαβάζεται μαζί με τους περί </w:t>
            </w:r>
            <w:r w:rsidR="002721B1" w:rsidRPr="004B3CFF">
              <w:rPr>
                <w:rFonts w:ascii="Arial" w:hAnsi="Arial" w:cs="Arial"/>
                <w:sz w:val="24"/>
                <w:szCs w:val="24"/>
              </w:rPr>
              <w:t>Τουρκοκυπριακών Περιουσιών (Διαχ</w:t>
            </w:r>
            <w:r w:rsidRPr="004B3CFF">
              <w:rPr>
                <w:rFonts w:ascii="Arial" w:hAnsi="Arial" w:cs="Arial"/>
                <w:sz w:val="24"/>
                <w:szCs w:val="24"/>
              </w:rPr>
              <w:t xml:space="preserve">είριση και Άλλα Θέματα) (Προσωρινές </w:t>
            </w:r>
            <w:r w:rsidR="002721B1" w:rsidRPr="004B3CFF">
              <w:rPr>
                <w:rFonts w:ascii="Arial" w:hAnsi="Arial" w:cs="Arial"/>
                <w:sz w:val="24"/>
                <w:szCs w:val="24"/>
              </w:rPr>
              <w:t>Διατάξεις</w:t>
            </w:r>
            <w:r w:rsidRPr="004B3CFF">
              <w:rPr>
                <w:rFonts w:ascii="Arial" w:hAnsi="Arial" w:cs="Arial"/>
                <w:sz w:val="24"/>
                <w:szCs w:val="24"/>
              </w:rPr>
              <w:t xml:space="preserve">) Νόμους του 1991 έως </w:t>
            </w:r>
            <w:r w:rsidR="00E057FD" w:rsidRPr="004B3CFF">
              <w:rPr>
                <w:rFonts w:ascii="Arial" w:hAnsi="Arial" w:cs="Arial"/>
                <w:sz w:val="24"/>
                <w:szCs w:val="24"/>
              </w:rPr>
              <w:t>20</w:t>
            </w:r>
            <w:r w:rsidR="00FF48E7" w:rsidRPr="004B3CFF">
              <w:rPr>
                <w:rFonts w:ascii="Arial" w:hAnsi="Arial" w:cs="Arial"/>
                <w:sz w:val="24"/>
                <w:szCs w:val="24"/>
              </w:rPr>
              <w:t>2</w:t>
            </w:r>
            <w:r w:rsidR="00BD26C5">
              <w:rPr>
                <w:rFonts w:ascii="Arial" w:hAnsi="Arial" w:cs="Arial"/>
                <w:sz w:val="24"/>
                <w:szCs w:val="24"/>
              </w:rPr>
              <w:t>3</w:t>
            </w:r>
            <w:r w:rsidR="00E057FD" w:rsidRPr="004B3C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3CFF">
              <w:rPr>
                <w:rFonts w:ascii="Arial" w:hAnsi="Arial" w:cs="Arial"/>
                <w:sz w:val="24"/>
                <w:szCs w:val="24"/>
              </w:rPr>
              <w:t xml:space="preserve">(που στο εξής θα αναφέρονται ως </w:t>
            </w:r>
            <w:r w:rsidR="004B3CFF">
              <w:rPr>
                <w:rFonts w:ascii="Arial" w:hAnsi="Arial" w:cs="Arial"/>
                <w:sz w:val="24"/>
                <w:szCs w:val="24"/>
              </w:rPr>
              <w:t>«</w:t>
            </w:r>
            <w:r w:rsidRPr="004B3CFF">
              <w:rPr>
                <w:rFonts w:ascii="Arial" w:hAnsi="Arial" w:cs="Arial"/>
                <w:sz w:val="24"/>
                <w:szCs w:val="24"/>
              </w:rPr>
              <w:t>ο βασικός νόμος</w:t>
            </w:r>
            <w:r w:rsidR="004B3CFF">
              <w:rPr>
                <w:rFonts w:ascii="Arial" w:hAnsi="Arial" w:cs="Arial"/>
                <w:sz w:val="24"/>
                <w:szCs w:val="24"/>
              </w:rPr>
              <w:t>»</w:t>
            </w:r>
            <w:r w:rsidRPr="004B3CFF">
              <w:rPr>
                <w:rFonts w:ascii="Arial" w:hAnsi="Arial" w:cs="Arial"/>
                <w:sz w:val="24"/>
                <w:szCs w:val="24"/>
              </w:rPr>
              <w:t>) και ο βασικός νόμος και ο παρών Νόμος θα αναφέρονται μαζί ως οι περί Τουρκο</w:t>
            </w:r>
            <w:r w:rsidR="002721B1" w:rsidRPr="004B3CFF">
              <w:rPr>
                <w:rFonts w:ascii="Arial" w:hAnsi="Arial" w:cs="Arial"/>
                <w:sz w:val="24"/>
                <w:szCs w:val="24"/>
              </w:rPr>
              <w:t>κυπριακών Περιουσιών (Διαχείριση</w:t>
            </w:r>
            <w:r w:rsidRPr="004B3CFF">
              <w:rPr>
                <w:rFonts w:ascii="Arial" w:hAnsi="Arial" w:cs="Arial"/>
                <w:sz w:val="24"/>
                <w:szCs w:val="24"/>
              </w:rPr>
              <w:t xml:space="preserve"> και Άλλα Θέματα) (Προσωρινές </w:t>
            </w:r>
            <w:r w:rsidR="002721B1" w:rsidRPr="004B3CFF">
              <w:rPr>
                <w:rFonts w:ascii="Arial" w:hAnsi="Arial" w:cs="Arial"/>
                <w:sz w:val="24"/>
                <w:szCs w:val="24"/>
              </w:rPr>
              <w:t>Διατάξεις</w:t>
            </w:r>
            <w:r w:rsidRPr="004B3CFF">
              <w:rPr>
                <w:rFonts w:ascii="Arial" w:hAnsi="Arial" w:cs="Arial"/>
                <w:sz w:val="24"/>
                <w:szCs w:val="24"/>
              </w:rPr>
              <w:t>) Νόμοι του 1991 έως</w:t>
            </w:r>
            <w:r w:rsidR="00BD26C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BD26C5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BD26C5">
              <w:rPr>
                <w:rFonts w:ascii="Arial" w:hAnsi="Arial" w:cs="Arial"/>
                <w:sz w:val="24"/>
                <w:szCs w:val="24"/>
              </w:rPr>
              <w:t>. 2) του</w:t>
            </w:r>
            <w:r w:rsidR="0094112F" w:rsidRPr="004B3C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3CFF">
              <w:rPr>
                <w:rFonts w:ascii="Arial" w:hAnsi="Arial" w:cs="Arial"/>
                <w:sz w:val="24"/>
                <w:szCs w:val="24"/>
              </w:rPr>
              <w:t>202</w:t>
            </w:r>
            <w:r w:rsidR="00B8633E">
              <w:rPr>
                <w:rFonts w:ascii="Arial" w:hAnsi="Arial" w:cs="Arial"/>
                <w:sz w:val="24"/>
                <w:szCs w:val="24"/>
              </w:rPr>
              <w:t>3</w:t>
            </w:r>
            <w:r w:rsidRPr="004B3CF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29DE4B" w14:textId="77777777" w:rsidR="002237EF" w:rsidRPr="004B3CFF" w:rsidRDefault="002237EF" w:rsidP="00B06B78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142" w:rsidRPr="004B3CFF" w14:paraId="0D1C8D9B" w14:textId="77777777" w:rsidTr="00071127">
        <w:tc>
          <w:tcPr>
            <w:tcW w:w="2025" w:type="dxa"/>
            <w:shd w:val="clear" w:color="auto" w:fill="auto"/>
          </w:tcPr>
          <w:p w14:paraId="2B423AB6" w14:textId="77777777" w:rsidR="002237EF" w:rsidRPr="004B3CFF" w:rsidRDefault="002237EF" w:rsidP="00B06B78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1" w:type="dxa"/>
            <w:gridSpan w:val="2"/>
            <w:shd w:val="clear" w:color="auto" w:fill="auto"/>
          </w:tcPr>
          <w:p w14:paraId="26D32419" w14:textId="77777777" w:rsidR="002237EF" w:rsidRPr="004B3CFF" w:rsidRDefault="002237EF" w:rsidP="00B06B78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142" w:rsidRPr="004B3CFF" w14:paraId="4B3DB8BB" w14:textId="77777777" w:rsidTr="00071127">
        <w:tc>
          <w:tcPr>
            <w:tcW w:w="2025" w:type="dxa"/>
            <w:shd w:val="clear" w:color="auto" w:fill="auto"/>
          </w:tcPr>
          <w:p w14:paraId="1B712178" w14:textId="57935338" w:rsidR="002237EF" w:rsidRPr="004B3CFF" w:rsidRDefault="004400E8" w:rsidP="00B06B78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4B3CFF">
              <w:rPr>
                <w:rFonts w:ascii="Arial" w:hAnsi="Arial" w:cs="Arial"/>
                <w:sz w:val="24"/>
                <w:szCs w:val="24"/>
              </w:rPr>
              <w:t>Τροποποίηση του βασικού νόμου</w:t>
            </w:r>
            <w:r w:rsidR="007E65FC">
              <w:rPr>
                <w:rFonts w:ascii="Arial" w:hAnsi="Arial" w:cs="Arial"/>
                <w:sz w:val="24"/>
                <w:szCs w:val="24"/>
              </w:rPr>
              <w:t xml:space="preserve"> με την προσθήκη ειδικής διάταξης</w:t>
            </w:r>
            <w:r w:rsidRPr="004B3C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81" w:type="dxa"/>
            <w:gridSpan w:val="2"/>
            <w:shd w:val="clear" w:color="auto" w:fill="auto"/>
          </w:tcPr>
          <w:p w14:paraId="53D5C6F0" w14:textId="410CD411" w:rsidR="00EA6C24" w:rsidRPr="004B3CFF" w:rsidRDefault="004400E8" w:rsidP="00B06B78">
            <w:pPr>
              <w:tabs>
                <w:tab w:val="left" w:pos="284"/>
                <w:tab w:val="left" w:pos="567"/>
                <w:tab w:val="left" w:pos="851"/>
              </w:tabs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CFF">
              <w:rPr>
                <w:rFonts w:ascii="Arial" w:hAnsi="Arial" w:cs="Arial"/>
                <w:sz w:val="24"/>
                <w:szCs w:val="24"/>
              </w:rPr>
              <w:t>2.</w:t>
            </w:r>
            <w:r w:rsidR="004B3CFF">
              <w:rPr>
                <w:rFonts w:ascii="Arial" w:hAnsi="Arial" w:cs="Arial"/>
                <w:sz w:val="24"/>
                <w:szCs w:val="24"/>
              </w:rPr>
              <w:tab/>
            </w:r>
            <w:r w:rsidR="004B3CFF">
              <w:rPr>
                <w:rFonts w:ascii="Arial" w:hAnsi="Arial" w:cs="Arial"/>
                <w:sz w:val="24"/>
                <w:szCs w:val="24"/>
              </w:rPr>
              <w:tab/>
            </w:r>
            <w:r w:rsidR="007E65FC">
              <w:rPr>
                <w:rFonts w:ascii="Arial" w:hAnsi="Arial" w:cs="Arial"/>
                <w:sz w:val="24"/>
                <w:szCs w:val="24"/>
              </w:rPr>
              <w:t>Ο βασικός</w:t>
            </w:r>
            <w:r w:rsidRPr="004B3CFF">
              <w:rPr>
                <w:rFonts w:ascii="Arial" w:hAnsi="Arial" w:cs="Arial"/>
                <w:sz w:val="24"/>
                <w:szCs w:val="24"/>
              </w:rPr>
              <w:t xml:space="preserve"> νόμο</w:t>
            </w:r>
            <w:r w:rsidR="007E65FC">
              <w:rPr>
                <w:rFonts w:ascii="Arial" w:hAnsi="Arial" w:cs="Arial"/>
                <w:sz w:val="24"/>
                <w:szCs w:val="24"/>
              </w:rPr>
              <w:t>ς</w:t>
            </w:r>
            <w:r w:rsidRPr="004B3CFF">
              <w:rPr>
                <w:rFonts w:ascii="Arial" w:hAnsi="Arial" w:cs="Arial"/>
                <w:sz w:val="24"/>
                <w:szCs w:val="24"/>
              </w:rPr>
              <w:t xml:space="preserve"> τροποποιείται</w:t>
            </w:r>
            <w:r w:rsidR="0094112F" w:rsidRPr="004B3CFF">
              <w:rPr>
                <w:rFonts w:ascii="Arial" w:hAnsi="Arial" w:cs="Arial"/>
                <w:sz w:val="24"/>
                <w:szCs w:val="24"/>
              </w:rPr>
              <w:t xml:space="preserve"> μ</w:t>
            </w:r>
            <w:r w:rsidR="00EA6C24" w:rsidRPr="004B3CFF">
              <w:rPr>
                <w:rFonts w:ascii="Arial" w:hAnsi="Arial" w:cs="Arial"/>
                <w:sz w:val="24"/>
                <w:szCs w:val="24"/>
              </w:rPr>
              <w:t>ε την προσθήκη</w:t>
            </w:r>
            <w:r w:rsidR="009403E4" w:rsidRPr="004B3CFF">
              <w:rPr>
                <w:rFonts w:ascii="Arial" w:hAnsi="Arial" w:cs="Arial"/>
                <w:sz w:val="24"/>
                <w:szCs w:val="24"/>
              </w:rPr>
              <w:t>,</w:t>
            </w:r>
            <w:r w:rsidR="0094112F" w:rsidRPr="004B3C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65FC">
              <w:rPr>
                <w:rFonts w:ascii="Arial" w:hAnsi="Arial" w:cs="Arial"/>
                <w:sz w:val="24"/>
                <w:szCs w:val="24"/>
              </w:rPr>
              <w:t>αμέσως μετά το άρθρο 15, του ακόλουθου νέου άρθρου:</w:t>
            </w:r>
          </w:p>
        </w:tc>
      </w:tr>
      <w:tr w:rsidR="004B3CFF" w:rsidRPr="004B3CFF" w14:paraId="474A99D9" w14:textId="77777777" w:rsidTr="00071127">
        <w:tc>
          <w:tcPr>
            <w:tcW w:w="2025" w:type="dxa"/>
            <w:shd w:val="clear" w:color="auto" w:fill="auto"/>
          </w:tcPr>
          <w:p w14:paraId="617D5C78" w14:textId="77777777" w:rsidR="004B3CFF" w:rsidRPr="004B3CFF" w:rsidRDefault="004B3CFF" w:rsidP="00B06B78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1" w:type="dxa"/>
            <w:gridSpan w:val="2"/>
            <w:shd w:val="clear" w:color="auto" w:fill="auto"/>
          </w:tcPr>
          <w:p w14:paraId="21514ED9" w14:textId="77777777" w:rsidR="004B3CFF" w:rsidRPr="004B3CFF" w:rsidRDefault="004B3CFF" w:rsidP="00B06B78">
            <w:pPr>
              <w:tabs>
                <w:tab w:val="left" w:pos="284"/>
                <w:tab w:val="left" w:pos="567"/>
                <w:tab w:val="left" w:pos="851"/>
              </w:tabs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5FC" w:rsidRPr="004B3CFF" w14:paraId="2FA67168" w14:textId="77777777" w:rsidTr="00071127">
        <w:tc>
          <w:tcPr>
            <w:tcW w:w="2025" w:type="dxa"/>
            <w:shd w:val="clear" w:color="auto" w:fill="auto"/>
          </w:tcPr>
          <w:p w14:paraId="4A237C82" w14:textId="77777777" w:rsidR="007E65FC" w:rsidRPr="004B3CFF" w:rsidRDefault="007E65FC" w:rsidP="00B06B78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14:paraId="3ADD99BE" w14:textId="77777777" w:rsidR="007E65FC" w:rsidRDefault="007E65FC" w:rsidP="00B06B78">
            <w:pPr>
              <w:tabs>
                <w:tab w:val="left" w:pos="284"/>
                <w:tab w:val="left" w:pos="851"/>
              </w:tabs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«Ειδική διάταξη αναφορικά </w:t>
            </w:r>
          </w:p>
          <w:p w14:paraId="7F4FDAB1" w14:textId="44097BC2" w:rsidR="007E65FC" w:rsidRPr="004B3CFF" w:rsidRDefault="007E65FC" w:rsidP="00B06B78">
            <w:pPr>
              <w:tabs>
                <w:tab w:val="left" w:pos="284"/>
                <w:tab w:val="left" w:pos="851"/>
              </w:tabs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με τη διατήρηση της κατοχής τουρκοκυπριακών οικιών.</w:t>
            </w:r>
          </w:p>
        </w:tc>
        <w:tc>
          <w:tcPr>
            <w:tcW w:w="5642" w:type="dxa"/>
            <w:shd w:val="clear" w:color="auto" w:fill="auto"/>
          </w:tcPr>
          <w:p w14:paraId="4E6C6689" w14:textId="3A9FD4C1" w:rsidR="007E65FC" w:rsidRPr="004B3CFF" w:rsidRDefault="007E65FC" w:rsidP="00B06B78">
            <w:pPr>
              <w:tabs>
                <w:tab w:val="left" w:pos="284"/>
                <w:tab w:val="left" w:pos="851"/>
              </w:tabs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Pr="007E65FC">
              <w:rPr>
                <w:rFonts w:ascii="Arial" w:hAnsi="Arial" w:cs="Arial"/>
                <w:sz w:val="24"/>
                <w:szCs w:val="24"/>
              </w:rPr>
              <w:t>Α</w:t>
            </w:r>
            <w:r>
              <w:rPr>
                <w:rFonts w:ascii="Arial" w:hAnsi="Arial" w:cs="Arial"/>
                <w:sz w:val="24"/>
                <w:szCs w:val="24"/>
              </w:rPr>
              <w:t>.  Ανεξ</w:t>
            </w:r>
            <w:r w:rsidR="002F3E10">
              <w:rPr>
                <w:rFonts w:ascii="Arial" w:hAnsi="Arial" w:cs="Arial"/>
                <w:sz w:val="24"/>
                <w:szCs w:val="24"/>
              </w:rPr>
              <w:t>αρτήτως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493E">
              <w:rPr>
                <w:rFonts w:ascii="Arial" w:hAnsi="Arial" w:cs="Arial"/>
                <w:sz w:val="24"/>
                <w:szCs w:val="24"/>
              </w:rPr>
              <w:t>των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493E">
              <w:rPr>
                <w:rFonts w:ascii="Arial" w:hAnsi="Arial" w:cs="Arial"/>
                <w:sz w:val="24"/>
                <w:szCs w:val="24"/>
              </w:rPr>
              <w:t>διατάξεων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παρόντος Νόμου ή των προνοιών των δυνάμει αυτού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εκδιδόμενων Κανονισμών, </w:t>
            </w:r>
            <w:r w:rsidR="00A13BB8">
              <w:rPr>
                <w:rFonts w:ascii="Arial" w:hAnsi="Arial" w:cs="Arial"/>
                <w:sz w:val="24"/>
                <w:szCs w:val="24"/>
              </w:rPr>
              <w:t>η απόκτηση ιδιόκτητης οικίας από κάτοχο τουρκοκυπριακής οικίας δεν αποτελεί αιτία τερματισμού της κατοχής της τουρκοκυπριακής οικίας</w:t>
            </w:r>
            <w:r w:rsidR="00EF1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3E10">
              <w:rPr>
                <w:rFonts w:ascii="Arial" w:hAnsi="Arial" w:cs="Arial"/>
                <w:sz w:val="24"/>
                <w:szCs w:val="24"/>
              </w:rPr>
              <w:t>η οποία του παραχωρήθηκε</w:t>
            </w:r>
            <w:r w:rsidR="00071127">
              <w:rPr>
                <w:rFonts w:ascii="Arial" w:hAnsi="Arial" w:cs="Arial"/>
                <w:sz w:val="24"/>
                <w:szCs w:val="24"/>
              </w:rPr>
              <w:t>.».</w:t>
            </w:r>
          </w:p>
        </w:tc>
      </w:tr>
    </w:tbl>
    <w:p w14:paraId="3CE474A5" w14:textId="77777777" w:rsidR="008B582E" w:rsidRDefault="008B582E" w:rsidP="00B06B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1895B1D" w14:textId="77777777" w:rsidR="008B582E" w:rsidRDefault="008B582E" w:rsidP="00B06B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CF0D287" w14:textId="77777777" w:rsidR="008B582E" w:rsidRDefault="008B582E" w:rsidP="00B06B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2FE4E1A" w14:textId="6106F91C" w:rsidR="00500CAD" w:rsidRDefault="00500CAD" w:rsidP="00B06B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38F93D1" w14:textId="0700B562" w:rsidR="00500CAD" w:rsidRDefault="00500CAD" w:rsidP="00B06B7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.: 23.02.064.006-2023</w:t>
      </w:r>
    </w:p>
    <w:p w14:paraId="240355BD" w14:textId="77777777" w:rsidR="008B582E" w:rsidRDefault="008B582E" w:rsidP="00B06B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3BA16BF" w14:textId="2CCE147B" w:rsidR="001718CD" w:rsidRDefault="00AE6097" w:rsidP="00362B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Λ.Μυριάνθους</w:t>
      </w:r>
      <w:proofErr w:type="spellEnd"/>
      <w:r>
        <w:rPr>
          <w:rFonts w:ascii="Arial" w:hAnsi="Arial" w:cs="Arial"/>
          <w:sz w:val="24"/>
          <w:szCs w:val="24"/>
        </w:rPr>
        <w:t>/ΓΧ</w:t>
      </w:r>
    </w:p>
    <w:p w14:paraId="5918DE57" w14:textId="3FB6DF5D" w:rsidR="00AE6097" w:rsidRDefault="00AE6097" w:rsidP="00362B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ΣΚ</w:t>
      </w:r>
    </w:p>
    <w:p w14:paraId="68F01F92" w14:textId="62002C76" w:rsidR="004132F3" w:rsidRDefault="004132F3" w:rsidP="00B06B7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4132F3" w:rsidSect="00FD1068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1DCD" w14:textId="77777777" w:rsidR="000E6983" w:rsidRDefault="000E6983" w:rsidP="002721B1">
      <w:pPr>
        <w:spacing w:after="0" w:line="240" w:lineRule="auto"/>
      </w:pPr>
      <w:r>
        <w:separator/>
      </w:r>
    </w:p>
  </w:endnote>
  <w:endnote w:type="continuationSeparator" w:id="0">
    <w:p w14:paraId="46BC7749" w14:textId="77777777" w:rsidR="000E6983" w:rsidRDefault="000E6983" w:rsidP="0027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2EC0" w14:textId="77777777" w:rsidR="000E6983" w:rsidRDefault="000E6983" w:rsidP="002721B1">
      <w:pPr>
        <w:spacing w:after="0" w:line="240" w:lineRule="auto"/>
      </w:pPr>
      <w:r>
        <w:separator/>
      </w:r>
    </w:p>
  </w:footnote>
  <w:footnote w:type="continuationSeparator" w:id="0">
    <w:p w14:paraId="6DB0BC14" w14:textId="77777777" w:rsidR="000E6983" w:rsidRDefault="000E6983" w:rsidP="0027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F928" w14:textId="77777777" w:rsidR="002721B1" w:rsidRDefault="002721B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2334">
      <w:rPr>
        <w:noProof/>
      </w:rPr>
      <w:t>3</w:t>
    </w:r>
    <w:r>
      <w:rPr>
        <w:noProof/>
      </w:rPr>
      <w:fldChar w:fldCharType="end"/>
    </w:r>
  </w:p>
  <w:p w14:paraId="6F2C511D" w14:textId="77777777" w:rsidR="002721B1" w:rsidRDefault="00272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7C1"/>
    <w:multiLevelType w:val="hybridMultilevel"/>
    <w:tmpl w:val="04CC5FB0"/>
    <w:lvl w:ilvl="0" w:tplc="3CE6A4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B65CE"/>
    <w:multiLevelType w:val="hybridMultilevel"/>
    <w:tmpl w:val="C13A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32268"/>
    <w:multiLevelType w:val="hybridMultilevel"/>
    <w:tmpl w:val="FB44E7F6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14932"/>
    <w:multiLevelType w:val="hybridMultilevel"/>
    <w:tmpl w:val="B9E2AABA"/>
    <w:lvl w:ilvl="0" w:tplc="C102F72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97010548">
    <w:abstractNumId w:val="2"/>
  </w:num>
  <w:num w:numId="2" w16cid:durableId="1097218780">
    <w:abstractNumId w:val="0"/>
  </w:num>
  <w:num w:numId="3" w16cid:durableId="1018391827">
    <w:abstractNumId w:val="3"/>
  </w:num>
  <w:num w:numId="4" w16cid:durableId="1100831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03"/>
    <w:rsid w:val="00016089"/>
    <w:rsid w:val="00016139"/>
    <w:rsid w:val="00021F68"/>
    <w:rsid w:val="0005186F"/>
    <w:rsid w:val="00066ECC"/>
    <w:rsid w:val="00071127"/>
    <w:rsid w:val="000820D7"/>
    <w:rsid w:val="0008292F"/>
    <w:rsid w:val="000A410C"/>
    <w:rsid w:val="000A7C1A"/>
    <w:rsid w:val="000B0D09"/>
    <w:rsid w:val="000B4B0C"/>
    <w:rsid w:val="000C0EE1"/>
    <w:rsid w:val="000E6983"/>
    <w:rsid w:val="000F2CAD"/>
    <w:rsid w:val="000F3317"/>
    <w:rsid w:val="001110B5"/>
    <w:rsid w:val="001170E8"/>
    <w:rsid w:val="001302BE"/>
    <w:rsid w:val="00146B88"/>
    <w:rsid w:val="00161C66"/>
    <w:rsid w:val="001718CD"/>
    <w:rsid w:val="0018620E"/>
    <w:rsid w:val="001C175A"/>
    <w:rsid w:val="001C7D68"/>
    <w:rsid w:val="001D136F"/>
    <w:rsid w:val="001D6CB5"/>
    <w:rsid w:val="001E3FAB"/>
    <w:rsid w:val="0021468A"/>
    <w:rsid w:val="002237EF"/>
    <w:rsid w:val="00235B9E"/>
    <w:rsid w:val="00243660"/>
    <w:rsid w:val="0024396E"/>
    <w:rsid w:val="00245708"/>
    <w:rsid w:val="0026067F"/>
    <w:rsid w:val="002721B1"/>
    <w:rsid w:val="00273247"/>
    <w:rsid w:val="00274022"/>
    <w:rsid w:val="00282FFF"/>
    <w:rsid w:val="002924AF"/>
    <w:rsid w:val="002A5B81"/>
    <w:rsid w:val="002B7E99"/>
    <w:rsid w:val="002F3E10"/>
    <w:rsid w:val="00302368"/>
    <w:rsid w:val="00323EB8"/>
    <w:rsid w:val="00341F98"/>
    <w:rsid w:val="00346F4E"/>
    <w:rsid w:val="00352E98"/>
    <w:rsid w:val="00362BEC"/>
    <w:rsid w:val="00385134"/>
    <w:rsid w:val="003A170F"/>
    <w:rsid w:val="003B11FF"/>
    <w:rsid w:val="003C07E7"/>
    <w:rsid w:val="003D2D91"/>
    <w:rsid w:val="003D49EE"/>
    <w:rsid w:val="003E4401"/>
    <w:rsid w:val="003F3785"/>
    <w:rsid w:val="00400FDD"/>
    <w:rsid w:val="004132F3"/>
    <w:rsid w:val="0041674C"/>
    <w:rsid w:val="00437062"/>
    <w:rsid w:val="004400E8"/>
    <w:rsid w:val="00444800"/>
    <w:rsid w:val="00453071"/>
    <w:rsid w:val="00456019"/>
    <w:rsid w:val="0047779D"/>
    <w:rsid w:val="00496078"/>
    <w:rsid w:val="004A7469"/>
    <w:rsid w:val="004B3CFF"/>
    <w:rsid w:val="004C37D9"/>
    <w:rsid w:val="00500CAD"/>
    <w:rsid w:val="00501B51"/>
    <w:rsid w:val="00534402"/>
    <w:rsid w:val="0053650D"/>
    <w:rsid w:val="005617DF"/>
    <w:rsid w:val="005717AE"/>
    <w:rsid w:val="005761FD"/>
    <w:rsid w:val="005C3542"/>
    <w:rsid w:val="005C4266"/>
    <w:rsid w:val="005D3898"/>
    <w:rsid w:val="005E093E"/>
    <w:rsid w:val="005E646C"/>
    <w:rsid w:val="00612DB7"/>
    <w:rsid w:val="006214E7"/>
    <w:rsid w:val="00624B76"/>
    <w:rsid w:val="00626FD0"/>
    <w:rsid w:val="00630F05"/>
    <w:rsid w:val="006775B8"/>
    <w:rsid w:val="00693F49"/>
    <w:rsid w:val="006A15C5"/>
    <w:rsid w:val="006B090D"/>
    <w:rsid w:val="006B444A"/>
    <w:rsid w:val="006B493E"/>
    <w:rsid w:val="006C6A7F"/>
    <w:rsid w:val="006E4F97"/>
    <w:rsid w:val="00706423"/>
    <w:rsid w:val="0072066F"/>
    <w:rsid w:val="0073087A"/>
    <w:rsid w:val="00740C3F"/>
    <w:rsid w:val="007421DB"/>
    <w:rsid w:val="0074512C"/>
    <w:rsid w:val="007515F0"/>
    <w:rsid w:val="00752AAA"/>
    <w:rsid w:val="00753881"/>
    <w:rsid w:val="007668BF"/>
    <w:rsid w:val="00783B82"/>
    <w:rsid w:val="007940C5"/>
    <w:rsid w:val="00794D04"/>
    <w:rsid w:val="007A1C10"/>
    <w:rsid w:val="007C399F"/>
    <w:rsid w:val="007D572E"/>
    <w:rsid w:val="007E65FC"/>
    <w:rsid w:val="007F3DD5"/>
    <w:rsid w:val="00807601"/>
    <w:rsid w:val="00822F7D"/>
    <w:rsid w:val="008466BA"/>
    <w:rsid w:val="00852FAD"/>
    <w:rsid w:val="00892334"/>
    <w:rsid w:val="008B582E"/>
    <w:rsid w:val="008B6FD7"/>
    <w:rsid w:val="008E22BF"/>
    <w:rsid w:val="008E5575"/>
    <w:rsid w:val="008E7B62"/>
    <w:rsid w:val="008F25CE"/>
    <w:rsid w:val="00904C4D"/>
    <w:rsid w:val="009403E4"/>
    <w:rsid w:val="0094112F"/>
    <w:rsid w:val="00964C13"/>
    <w:rsid w:val="00967D3F"/>
    <w:rsid w:val="00973E4A"/>
    <w:rsid w:val="00985210"/>
    <w:rsid w:val="009B4F53"/>
    <w:rsid w:val="009B7202"/>
    <w:rsid w:val="009C77BF"/>
    <w:rsid w:val="009E47DE"/>
    <w:rsid w:val="009E774C"/>
    <w:rsid w:val="009F6655"/>
    <w:rsid w:val="00A01924"/>
    <w:rsid w:val="00A05F67"/>
    <w:rsid w:val="00A0672F"/>
    <w:rsid w:val="00A13BB8"/>
    <w:rsid w:val="00A14F1C"/>
    <w:rsid w:val="00A16B85"/>
    <w:rsid w:val="00A22D42"/>
    <w:rsid w:val="00A26142"/>
    <w:rsid w:val="00A272B0"/>
    <w:rsid w:val="00A42B31"/>
    <w:rsid w:val="00A553FA"/>
    <w:rsid w:val="00A55C13"/>
    <w:rsid w:val="00A6594C"/>
    <w:rsid w:val="00A73DF4"/>
    <w:rsid w:val="00A76869"/>
    <w:rsid w:val="00A82811"/>
    <w:rsid w:val="00AA1D48"/>
    <w:rsid w:val="00AA3E9F"/>
    <w:rsid w:val="00AA6DD5"/>
    <w:rsid w:val="00AB258D"/>
    <w:rsid w:val="00AB25F4"/>
    <w:rsid w:val="00AE6097"/>
    <w:rsid w:val="00AE70E9"/>
    <w:rsid w:val="00B019E7"/>
    <w:rsid w:val="00B06B78"/>
    <w:rsid w:val="00B23ECE"/>
    <w:rsid w:val="00B340D8"/>
    <w:rsid w:val="00B36155"/>
    <w:rsid w:val="00B36BDE"/>
    <w:rsid w:val="00B43D32"/>
    <w:rsid w:val="00B53AA4"/>
    <w:rsid w:val="00B55874"/>
    <w:rsid w:val="00B55BDF"/>
    <w:rsid w:val="00B70611"/>
    <w:rsid w:val="00B72880"/>
    <w:rsid w:val="00B8633E"/>
    <w:rsid w:val="00B86C35"/>
    <w:rsid w:val="00BB610F"/>
    <w:rsid w:val="00BC5377"/>
    <w:rsid w:val="00BD26C5"/>
    <w:rsid w:val="00BD4B7D"/>
    <w:rsid w:val="00BE2F11"/>
    <w:rsid w:val="00BE304D"/>
    <w:rsid w:val="00BE6AF9"/>
    <w:rsid w:val="00BF2935"/>
    <w:rsid w:val="00BF75D5"/>
    <w:rsid w:val="00C079A4"/>
    <w:rsid w:val="00C40738"/>
    <w:rsid w:val="00C57082"/>
    <w:rsid w:val="00C91334"/>
    <w:rsid w:val="00C919C3"/>
    <w:rsid w:val="00C9295D"/>
    <w:rsid w:val="00C968ED"/>
    <w:rsid w:val="00C9699E"/>
    <w:rsid w:val="00CA3D1E"/>
    <w:rsid w:val="00CD2826"/>
    <w:rsid w:val="00CD690D"/>
    <w:rsid w:val="00D121D7"/>
    <w:rsid w:val="00D12E5C"/>
    <w:rsid w:val="00D2237A"/>
    <w:rsid w:val="00D37AC5"/>
    <w:rsid w:val="00D54A75"/>
    <w:rsid w:val="00D6367A"/>
    <w:rsid w:val="00D811C4"/>
    <w:rsid w:val="00DA0A1C"/>
    <w:rsid w:val="00DA17F3"/>
    <w:rsid w:val="00DA51E0"/>
    <w:rsid w:val="00DA6830"/>
    <w:rsid w:val="00DC7B02"/>
    <w:rsid w:val="00DD1D52"/>
    <w:rsid w:val="00DD7BD8"/>
    <w:rsid w:val="00DF7D7C"/>
    <w:rsid w:val="00E057FD"/>
    <w:rsid w:val="00E078EA"/>
    <w:rsid w:val="00E12A2A"/>
    <w:rsid w:val="00E359DA"/>
    <w:rsid w:val="00E40D18"/>
    <w:rsid w:val="00E605E4"/>
    <w:rsid w:val="00E60699"/>
    <w:rsid w:val="00E65EFA"/>
    <w:rsid w:val="00E84FE0"/>
    <w:rsid w:val="00E913B9"/>
    <w:rsid w:val="00EA68FA"/>
    <w:rsid w:val="00EA6C24"/>
    <w:rsid w:val="00EB31A1"/>
    <w:rsid w:val="00EC3B1A"/>
    <w:rsid w:val="00ED5547"/>
    <w:rsid w:val="00EF1124"/>
    <w:rsid w:val="00EF138A"/>
    <w:rsid w:val="00F040C2"/>
    <w:rsid w:val="00F1301F"/>
    <w:rsid w:val="00F26A0B"/>
    <w:rsid w:val="00F66E03"/>
    <w:rsid w:val="00F73EA8"/>
    <w:rsid w:val="00F7603D"/>
    <w:rsid w:val="00FD1068"/>
    <w:rsid w:val="00FD3094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C2DB"/>
  <w15:chartTrackingRefBased/>
  <w15:docId w15:val="{D3917C7A-6443-4373-AB2E-B717ECBC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8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16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6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B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6B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6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800"/>
    <w:pPr>
      <w:ind w:left="720"/>
      <w:contextualSpacing/>
    </w:pPr>
  </w:style>
  <w:style w:type="paragraph" w:styleId="NoSpacing">
    <w:name w:val="No Spacing"/>
    <w:uiPriority w:val="1"/>
    <w:qFormat/>
    <w:rsid w:val="00E913B9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2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1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21B1"/>
    <w:rPr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2721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21B1"/>
    <w:rPr>
      <w:sz w:val="22"/>
      <w:szCs w:val="22"/>
      <w:lang w:val="el-GR"/>
    </w:rPr>
  </w:style>
  <w:style w:type="character" w:styleId="Hyperlink">
    <w:name w:val="Hyperlink"/>
    <w:uiPriority w:val="99"/>
    <w:semiHidden/>
    <w:unhideWhenUsed/>
    <w:rsid w:val="00B43D32"/>
    <w:rPr>
      <w:color w:val="0000FF"/>
      <w:u w:val="single"/>
    </w:rPr>
  </w:style>
  <w:style w:type="paragraph" w:styleId="Revision">
    <w:name w:val="Revision"/>
    <w:hidden/>
    <w:uiPriority w:val="99"/>
    <w:semiHidden/>
    <w:rsid w:val="00352E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Sofocleous</dc:creator>
  <cp:keywords/>
  <dc:description/>
  <cp:lastModifiedBy>Gianna Christoforou</cp:lastModifiedBy>
  <cp:revision>3</cp:revision>
  <cp:lastPrinted>2023-03-22T11:11:00Z</cp:lastPrinted>
  <dcterms:created xsi:type="dcterms:W3CDTF">2023-07-03T08:11:00Z</dcterms:created>
  <dcterms:modified xsi:type="dcterms:W3CDTF">2023-07-03T08:12:00Z</dcterms:modified>
</cp:coreProperties>
</file>