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4B59" w14:textId="06AF23A1" w:rsidR="0009791A" w:rsidRDefault="0009791A" w:rsidP="002E654D">
      <w:pPr>
        <w:spacing w:after="0" w:line="360" w:lineRule="auto"/>
        <w:jc w:val="center"/>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ΝΟΜΟΣ ΠΟΥ ΠΡΟΒΛΕΠΕΙ ΓΙΑ ΤΟΝ ΠΡΟΥΠΟΛΟΓΙΣΜΟ ΤΗΣ ΑΡΧΗΣ ΗΛΕΚΤΡΙΣΜΟΥ ΚΥΠΡΟΥ ΓΙΑ ΤΟ ΟΙΚΟΝΟΜΙΚΟ ΕΤΟΣ ΠΟΥ ΛΗΓΕΙ ΤΗΝ ΤΡΙΑΚΟΣΤΗ ΠΡΩΤΗ ΔΕΚΕΜΒΡΙΟΥ ΤΟΥ ΕΤΟΥΣ ΔΥΟ ΧΙΛΙΑΔΕΣ ΕΙΚΟΣΙ ΤΡΙΑ</w:t>
      </w:r>
    </w:p>
    <w:p w14:paraId="07F693BC" w14:textId="77777777" w:rsidR="0009791A" w:rsidRPr="0009791A" w:rsidRDefault="0009791A" w:rsidP="002E654D">
      <w:pPr>
        <w:spacing w:after="0" w:line="360" w:lineRule="auto"/>
        <w:jc w:val="center"/>
        <w:rPr>
          <w:lang w:val="el-GR"/>
        </w:rPr>
      </w:pPr>
    </w:p>
    <w:tbl>
      <w:tblPr>
        <w:tblW w:w="9504" w:type="dxa"/>
        <w:tblInd w:w="93" w:type="dxa"/>
        <w:tblLook w:val="04A0" w:firstRow="1" w:lastRow="0" w:firstColumn="1" w:lastColumn="0" w:noHBand="0" w:noVBand="1"/>
      </w:tblPr>
      <w:tblGrid>
        <w:gridCol w:w="2142"/>
        <w:gridCol w:w="1134"/>
        <w:gridCol w:w="141"/>
        <w:gridCol w:w="1437"/>
        <w:gridCol w:w="4650"/>
      </w:tblGrid>
      <w:tr w:rsidR="0009791A" w:rsidRPr="00145567" w14:paraId="76CA3D63" w14:textId="77777777" w:rsidTr="00300533">
        <w:trPr>
          <w:trHeight w:val="1679"/>
        </w:trPr>
        <w:tc>
          <w:tcPr>
            <w:tcW w:w="2142" w:type="dxa"/>
            <w:shd w:val="clear" w:color="auto" w:fill="auto"/>
            <w:hideMark/>
          </w:tcPr>
          <w:p w14:paraId="4EB810E2"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Προοίμιο.</w:t>
            </w:r>
          </w:p>
          <w:p w14:paraId="066C809A" w14:textId="77777777"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194 του 1987</w:t>
            </w:r>
          </w:p>
          <w:p w14:paraId="0B8E46E6" w14:textId="77777777"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318 του 1987</w:t>
            </w:r>
          </w:p>
          <w:p w14:paraId="6C42ACCF" w14:textId="0E1094BD"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52 του 1988</w:t>
            </w:r>
          </w:p>
          <w:p w14:paraId="54EC776F" w14:textId="4530C65C"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69 του 1989</w:t>
            </w:r>
          </w:p>
          <w:p w14:paraId="0EAECF71" w14:textId="77777777"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186 του 1991</w:t>
            </w:r>
          </w:p>
          <w:p w14:paraId="6358EE07" w14:textId="77777777"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19(Ι) του 2001</w:t>
            </w:r>
          </w:p>
          <w:p w14:paraId="3AE3211E" w14:textId="7E967D3E" w:rsidR="0009791A" w:rsidRPr="0009791A" w:rsidRDefault="0009791A" w:rsidP="002E654D">
            <w:pPr>
              <w:widowControl w:val="0"/>
              <w:tabs>
                <w:tab w:val="left" w:pos="284"/>
                <w:tab w:val="left" w:pos="567"/>
              </w:tabs>
              <w:spacing w:after="0" w:line="360" w:lineRule="auto"/>
              <w:ind w:right="57"/>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35(Ι) του 2012.</w:t>
            </w:r>
          </w:p>
        </w:tc>
        <w:tc>
          <w:tcPr>
            <w:tcW w:w="7362" w:type="dxa"/>
            <w:gridSpan w:val="4"/>
            <w:shd w:val="clear" w:color="auto" w:fill="auto"/>
            <w:hideMark/>
          </w:tcPr>
          <w:p w14:paraId="0D970C94" w14:textId="730C0DD4"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ΕΠΕΙΔΗ, σύμφωνα με τις διατάξεις του άρθρου 3 του περί Νομικών Προσώπων Δημοσίου Δικαίου (Ψήφιση Προϋπολογισμών) Νόμου, ο ετήσιος προϋπολογισμός κάθε νομικού προσώπου δημοσίου δικαίου και κάθε συμπληρωματικός προϋπολογισμός αυτού, καταρτίζονται και κατατίθενται στη Βουλή των Αντιπροσώπων για ψήφιση με τον ίδιο τρόπο και διαδικασία που αναφέρονται σε αυτόν,</w:t>
            </w:r>
          </w:p>
        </w:tc>
      </w:tr>
      <w:tr w:rsidR="002E654D" w:rsidRPr="00145567" w14:paraId="61FE1D18" w14:textId="77777777" w:rsidTr="002E654D">
        <w:trPr>
          <w:trHeight w:val="182"/>
        </w:trPr>
        <w:tc>
          <w:tcPr>
            <w:tcW w:w="2142" w:type="dxa"/>
            <w:shd w:val="clear" w:color="auto" w:fill="auto"/>
          </w:tcPr>
          <w:p w14:paraId="073F3B8D" w14:textId="77777777" w:rsidR="002E654D" w:rsidRPr="0009791A" w:rsidRDefault="002E654D"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tcPr>
          <w:p w14:paraId="1FDC5037" w14:textId="77777777" w:rsidR="002E654D" w:rsidRPr="0009791A" w:rsidRDefault="002E654D"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248CAF57" w14:textId="77777777" w:rsidTr="00300533">
        <w:trPr>
          <w:trHeight w:val="1185"/>
        </w:trPr>
        <w:tc>
          <w:tcPr>
            <w:tcW w:w="2142" w:type="dxa"/>
            <w:shd w:val="clear" w:color="auto" w:fill="auto"/>
          </w:tcPr>
          <w:p w14:paraId="47A204F0" w14:textId="0DEC5CCC"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20(Ι) του 2014</w:t>
            </w:r>
          </w:p>
          <w:p w14:paraId="2DA43C56" w14:textId="77777777"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123(Ι) του 2016</w:t>
            </w:r>
          </w:p>
          <w:p w14:paraId="10AB7E38" w14:textId="77777777"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133(Ι) του 2016</w:t>
            </w:r>
          </w:p>
          <w:p w14:paraId="1E15EF0E" w14:textId="77777777" w:rsidR="0009791A" w:rsidRPr="0009791A" w:rsidRDefault="0009791A" w:rsidP="002E654D">
            <w:pPr>
              <w:widowControl w:val="0"/>
              <w:tabs>
                <w:tab w:val="left" w:pos="284"/>
                <w:tab w:val="left" w:pos="567"/>
              </w:tabs>
              <w:spacing w:after="0" w:line="360" w:lineRule="auto"/>
              <w:ind w:right="57"/>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159(Ι) του 2017.</w:t>
            </w:r>
          </w:p>
        </w:tc>
        <w:tc>
          <w:tcPr>
            <w:tcW w:w="7362" w:type="dxa"/>
            <w:gridSpan w:val="4"/>
            <w:shd w:val="clear" w:color="auto" w:fill="auto"/>
          </w:tcPr>
          <w:p w14:paraId="46B4E39C" w14:textId="7A7D0F01"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ΚΑΙ ΕΠΕΙΔΗ, με βάση τις διατάξεις του περί της Δημοσιονομικής Ευθύνης και του Δημοσιονομικού Πλαισίου Νόμου, ο ετήσιος προϋπολογισμός των κρατικών οργανισμών και κάθε αναθεωρημένος προϋπολογισμός αυτού, καταρτίζονται και κατατίθενται στη Βουλή των Αντιπροσώπων για ψήφιση κατά τον ίδιο τρόπο και διαδικασία που αναφέρονται σε αυτόν,</w:t>
            </w:r>
          </w:p>
        </w:tc>
      </w:tr>
      <w:tr w:rsidR="0009791A" w:rsidRPr="00145567" w14:paraId="1C8563EF" w14:textId="77777777" w:rsidTr="002E654D">
        <w:trPr>
          <w:trHeight w:val="181"/>
        </w:trPr>
        <w:tc>
          <w:tcPr>
            <w:tcW w:w="2142" w:type="dxa"/>
            <w:shd w:val="clear" w:color="auto" w:fill="auto"/>
          </w:tcPr>
          <w:p w14:paraId="55504171" w14:textId="77777777"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p>
        </w:tc>
        <w:tc>
          <w:tcPr>
            <w:tcW w:w="7362" w:type="dxa"/>
            <w:gridSpan w:val="4"/>
            <w:shd w:val="clear" w:color="auto" w:fill="auto"/>
          </w:tcPr>
          <w:p w14:paraId="02EB6B70"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0C4489F3" w14:textId="77777777" w:rsidTr="00300533">
        <w:trPr>
          <w:trHeight w:val="750"/>
        </w:trPr>
        <w:tc>
          <w:tcPr>
            <w:tcW w:w="2142" w:type="dxa"/>
            <w:shd w:val="clear" w:color="auto" w:fill="auto"/>
            <w:hideMark/>
          </w:tcPr>
          <w:p w14:paraId="442F6403"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hideMark/>
          </w:tcPr>
          <w:p w14:paraId="0AEEF548" w14:textId="3544B5C5"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ΚΑΙ ΕΠΕΙΔΗ, είναι αναγκαία η πρόβλεψη για εκείνες τις δαπάνες της Αρχής Ηλεκτρισμού Κύπρου για το έτος που λήγει την 31</w:t>
            </w:r>
            <w:r w:rsidRPr="0009791A">
              <w:rPr>
                <w:rFonts w:ascii="Arial" w:eastAsia="Times New Roman" w:hAnsi="Arial" w:cs="Arial"/>
                <w:color w:val="000000"/>
                <w:sz w:val="24"/>
                <w:szCs w:val="24"/>
                <w:vertAlign w:val="superscript"/>
                <w:lang w:val="el-GR"/>
              </w:rPr>
              <w:t>η</w:t>
            </w:r>
            <w:r w:rsidRPr="0009791A">
              <w:rPr>
                <w:rFonts w:ascii="Arial" w:eastAsia="Times New Roman" w:hAnsi="Arial" w:cs="Arial"/>
                <w:color w:val="000000"/>
                <w:sz w:val="24"/>
                <w:szCs w:val="24"/>
                <w:lang w:val="el-GR"/>
              </w:rPr>
              <w:t xml:space="preserve"> Δεκεμβρίου 2023 για τις οποίες δεν έχει ήδη γίνει πρόβλεψη ή δε</w:t>
            </w:r>
            <w:r w:rsidR="00AC3310">
              <w:rPr>
                <w:rFonts w:ascii="Arial" w:eastAsia="Times New Roman" w:hAnsi="Arial" w:cs="Arial"/>
                <w:color w:val="000000"/>
                <w:sz w:val="24"/>
                <w:szCs w:val="24"/>
                <w:lang w:val="el-GR"/>
              </w:rPr>
              <w:t>ν</w:t>
            </w:r>
            <w:r w:rsidRPr="0009791A">
              <w:rPr>
                <w:rFonts w:ascii="Arial" w:eastAsia="Times New Roman" w:hAnsi="Arial" w:cs="Arial"/>
                <w:color w:val="000000"/>
                <w:sz w:val="24"/>
                <w:szCs w:val="24"/>
                <w:lang w:val="el-GR"/>
              </w:rPr>
              <w:t xml:space="preserve"> θα γίνει τέτοια αργότερα από οποιο</w:t>
            </w:r>
            <w:r w:rsidR="00AC3310">
              <w:rPr>
                <w:rFonts w:ascii="Arial" w:eastAsia="Times New Roman" w:hAnsi="Arial" w:cs="Arial"/>
                <w:color w:val="000000"/>
                <w:sz w:val="24"/>
                <w:szCs w:val="24"/>
                <w:lang w:val="el-GR"/>
              </w:rPr>
              <w:t>ν</w:t>
            </w:r>
            <w:r w:rsidRPr="0009791A">
              <w:rPr>
                <w:rFonts w:ascii="Arial" w:eastAsia="Times New Roman" w:hAnsi="Arial" w:cs="Arial"/>
                <w:color w:val="000000"/>
                <w:sz w:val="24"/>
                <w:szCs w:val="24"/>
                <w:lang w:val="el-GR"/>
              </w:rPr>
              <w:t>δήποτε Νόμο,</w:t>
            </w:r>
          </w:p>
        </w:tc>
      </w:tr>
      <w:tr w:rsidR="001763EC" w:rsidRPr="00145567" w14:paraId="21DC1C3C" w14:textId="77777777" w:rsidTr="00300533">
        <w:trPr>
          <w:trHeight w:val="413"/>
        </w:trPr>
        <w:tc>
          <w:tcPr>
            <w:tcW w:w="2142" w:type="dxa"/>
            <w:shd w:val="clear" w:color="auto" w:fill="auto"/>
          </w:tcPr>
          <w:p w14:paraId="7FCE39E5" w14:textId="77777777" w:rsidR="001763EC" w:rsidRPr="0009791A" w:rsidRDefault="001763EC"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tcPr>
          <w:p w14:paraId="259009FE" w14:textId="77777777" w:rsidR="001763EC" w:rsidRPr="0009791A" w:rsidRDefault="001763EC"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7151E7AC" w14:textId="77777777" w:rsidTr="00300533">
        <w:trPr>
          <w:trHeight w:val="413"/>
        </w:trPr>
        <w:tc>
          <w:tcPr>
            <w:tcW w:w="2142" w:type="dxa"/>
            <w:shd w:val="clear" w:color="auto" w:fill="auto"/>
            <w:hideMark/>
          </w:tcPr>
          <w:p w14:paraId="3C6CEAFF"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hideMark/>
          </w:tcPr>
          <w:p w14:paraId="7FFB9361"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ΚΑΙ ΕΠΕΙΔΗ, είναι αναγκαία η δημιουργία ορισμένων νέων θέσεων και η κατάργηση ορισμένων υφισταμένων θέσεων,</w:t>
            </w:r>
          </w:p>
        </w:tc>
      </w:tr>
      <w:tr w:rsidR="0009791A" w:rsidRPr="00145567" w14:paraId="67F68DF2" w14:textId="77777777" w:rsidTr="002E654D">
        <w:trPr>
          <w:trHeight w:val="414"/>
        </w:trPr>
        <w:tc>
          <w:tcPr>
            <w:tcW w:w="2142" w:type="dxa"/>
            <w:shd w:val="clear" w:color="auto" w:fill="auto"/>
            <w:noWrap/>
            <w:vAlign w:val="bottom"/>
            <w:hideMark/>
          </w:tcPr>
          <w:p w14:paraId="6E31A000" w14:textId="77777777"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p>
        </w:tc>
        <w:tc>
          <w:tcPr>
            <w:tcW w:w="7362" w:type="dxa"/>
            <w:gridSpan w:val="4"/>
            <w:shd w:val="clear" w:color="auto" w:fill="auto"/>
            <w:noWrap/>
            <w:hideMark/>
          </w:tcPr>
          <w:p w14:paraId="647141CF" w14:textId="77777777" w:rsidR="0009791A" w:rsidRPr="0009791A" w:rsidRDefault="0009791A"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p>
        </w:tc>
      </w:tr>
      <w:tr w:rsidR="0009791A" w:rsidRPr="00145567" w14:paraId="4B7F78F2" w14:textId="77777777" w:rsidTr="00300533">
        <w:trPr>
          <w:trHeight w:val="240"/>
        </w:trPr>
        <w:tc>
          <w:tcPr>
            <w:tcW w:w="2142" w:type="dxa"/>
            <w:shd w:val="clear" w:color="auto" w:fill="auto"/>
            <w:hideMark/>
          </w:tcPr>
          <w:p w14:paraId="78B069DB"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hideMark/>
          </w:tcPr>
          <w:p w14:paraId="1F77A19B" w14:textId="2D5F93EB"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Για όλους τους πιο πάνω λόγους, η Βουλή των Αντιπροσώπων ψηφίζει ως ακολούθως:</w:t>
            </w:r>
          </w:p>
        </w:tc>
      </w:tr>
      <w:tr w:rsidR="0009791A" w:rsidRPr="00145567" w14:paraId="01B61C48" w14:textId="77777777" w:rsidTr="002E654D">
        <w:trPr>
          <w:trHeight w:val="414"/>
        </w:trPr>
        <w:tc>
          <w:tcPr>
            <w:tcW w:w="2142" w:type="dxa"/>
            <w:shd w:val="clear" w:color="auto" w:fill="auto"/>
            <w:noWrap/>
            <w:vAlign w:val="bottom"/>
            <w:hideMark/>
          </w:tcPr>
          <w:p w14:paraId="744FBA3F"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noWrap/>
            <w:vAlign w:val="bottom"/>
            <w:hideMark/>
          </w:tcPr>
          <w:p w14:paraId="3A199000"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r>
      <w:tr w:rsidR="0009791A" w:rsidRPr="00145567" w14:paraId="72FC2ABB" w14:textId="77777777" w:rsidTr="00300533">
        <w:trPr>
          <w:trHeight w:val="480"/>
        </w:trPr>
        <w:tc>
          <w:tcPr>
            <w:tcW w:w="2142" w:type="dxa"/>
            <w:shd w:val="clear" w:color="auto" w:fill="auto"/>
            <w:hideMark/>
          </w:tcPr>
          <w:p w14:paraId="4267A62F" w14:textId="77777777" w:rsidR="0009791A" w:rsidRPr="002E654D"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2E654D">
              <w:rPr>
                <w:rFonts w:ascii="Arial" w:eastAsia="Times New Roman" w:hAnsi="Arial" w:cs="Arial"/>
                <w:color w:val="000000"/>
                <w:sz w:val="24"/>
                <w:szCs w:val="24"/>
                <w:lang w:val="el-GR"/>
              </w:rPr>
              <w:t>Συνοπτικός τίτλος.</w:t>
            </w:r>
          </w:p>
        </w:tc>
        <w:tc>
          <w:tcPr>
            <w:tcW w:w="7362" w:type="dxa"/>
            <w:gridSpan w:val="4"/>
            <w:shd w:val="clear" w:color="auto" w:fill="auto"/>
            <w:hideMark/>
          </w:tcPr>
          <w:p w14:paraId="6AAC6719" w14:textId="01BEB33F" w:rsidR="0009791A" w:rsidRPr="001763EC" w:rsidRDefault="001763EC" w:rsidP="002E654D">
            <w:pPr>
              <w:pStyle w:val="ListParagraph"/>
              <w:widowControl w:val="0"/>
              <w:numPr>
                <w:ilvl w:val="0"/>
                <w:numId w:val="2"/>
              </w:numPr>
              <w:tabs>
                <w:tab w:val="left" w:pos="284"/>
                <w:tab w:val="left" w:pos="567"/>
              </w:tabs>
              <w:spacing w:after="0" w:line="360" w:lineRule="auto"/>
              <w:ind w:left="0" w:firstLine="0"/>
              <w:contextualSpacing w:val="0"/>
              <w:jc w:val="both"/>
              <w:rPr>
                <w:rFonts w:ascii="Arial" w:eastAsia="Times New Roman" w:hAnsi="Arial" w:cs="Arial"/>
                <w:color w:val="000000"/>
                <w:sz w:val="24"/>
                <w:szCs w:val="24"/>
                <w:lang w:val="el-GR"/>
              </w:rPr>
            </w:pPr>
            <w:r w:rsidRPr="00FA43C5">
              <w:rPr>
                <w:rFonts w:ascii="Arial" w:eastAsia="Times New Roman" w:hAnsi="Arial" w:cs="Arial"/>
                <w:color w:val="000000"/>
                <w:sz w:val="24"/>
                <w:szCs w:val="24"/>
                <w:lang w:val="el-GR"/>
              </w:rPr>
              <w:tab/>
            </w:r>
            <w:r w:rsidR="0009791A" w:rsidRPr="001763EC">
              <w:rPr>
                <w:rFonts w:ascii="Arial" w:eastAsia="Times New Roman" w:hAnsi="Arial" w:cs="Arial"/>
                <w:color w:val="000000"/>
                <w:sz w:val="24"/>
                <w:szCs w:val="24"/>
                <w:lang w:val="el-GR"/>
              </w:rPr>
              <w:t>Ο παρών Νόμος θα αναφέρεται ως ο περί Προϋπολογισμού της Αρχής Ηλεκτρισμού Κύπρου του 2023 Νόμος του 2022.</w:t>
            </w:r>
          </w:p>
        </w:tc>
      </w:tr>
      <w:tr w:rsidR="0009791A" w:rsidRPr="00145567" w14:paraId="629B3F82" w14:textId="77777777" w:rsidTr="002E654D">
        <w:trPr>
          <w:cantSplit/>
          <w:trHeight w:val="78"/>
        </w:trPr>
        <w:tc>
          <w:tcPr>
            <w:tcW w:w="2142" w:type="dxa"/>
            <w:shd w:val="clear" w:color="auto" w:fill="auto"/>
            <w:noWrap/>
            <w:vAlign w:val="bottom"/>
            <w:hideMark/>
          </w:tcPr>
          <w:p w14:paraId="4F00436A"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noWrap/>
            <w:vAlign w:val="bottom"/>
            <w:hideMark/>
          </w:tcPr>
          <w:p w14:paraId="0AA82C61" w14:textId="77777777" w:rsid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p>
          <w:p w14:paraId="7017F83D" w14:textId="5DBF302E" w:rsidR="00B94914" w:rsidRPr="00B94914" w:rsidRDefault="00B94914" w:rsidP="00B94914">
            <w:pPr>
              <w:rPr>
                <w:rFonts w:ascii="Arial" w:eastAsia="Times New Roman" w:hAnsi="Arial" w:cs="Arial"/>
                <w:sz w:val="24"/>
                <w:szCs w:val="24"/>
                <w:lang w:val="el-GR"/>
              </w:rPr>
            </w:pPr>
          </w:p>
        </w:tc>
      </w:tr>
      <w:tr w:rsidR="0009791A" w:rsidRPr="00145567" w14:paraId="2229A754" w14:textId="77777777" w:rsidTr="00300533">
        <w:trPr>
          <w:trHeight w:val="1465"/>
        </w:trPr>
        <w:tc>
          <w:tcPr>
            <w:tcW w:w="2142" w:type="dxa"/>
            <w:shd w:val="clear" w:color="auto" w:fill="auto"/>
            <w:hideMark/>
          </w:tcPr>
          <w:p w14:paraId="35872DA3" w14:textId="0E17A236" w:rsidR="00FA43C5" w:rsidRDefault="0009791A" w:rsidP="002E654D">
            <w:pPr>
              <w:widowControl w:val="0"/>
              <w:tabs>
                <w:tab w:val="left" w:pos="284"/>
                <w:tab w:val="left" w:pos="567"/>
              </w:tabs>
              <w:spacing w:after="0" w:line="360" w:lineRule="auto"/>
              <w:rPr>
                <w:rFonts w:ascii="Arial" w:eastAsia="Times New Roman" w:hAnsi="Arial" w:cs="Arial"/>
                <w:sz w:val="24"/>
                <w:szCs w:val="24"/>
                <w:lang w:val="el-GR"/>
              </w:rPr>
            </w:pPr>
            <w:r w:rsidRPr="0009791A">
              <w:rPr>
                <w:rFonts w:ascii="Arial" w:eastAsia="Times New Roman" w:hAnsi="Arial" w:cs="Arial"/>
                <w:sz w:val="24"/>
                <w:szCs w:val="24"/>
                <w:lang w:val="el-GR"/>
              </w:rPr>
              <w:lastRenderedPageBreak/>
              <w:t>Έγκριση κονδυλίων</w:t>
            </w:r>
          </w:p>
          <w:p w14:paraId="78E04819" w14:textId="671897DF" w:rsidR="0009791A" w:rsidRPr="0009791A" w:rsidRDefault="0009791A" w:rsidP="002E654D">
            <w:pPr>
              <w:widowControl w:val="0"/>
              <w:tabs>
                <w:tab w:val="left" w:pos="284"/>
                <w:tab w:val="left" w:pos="567"/>
              </w:tabs>
              <w:spacing w:after="0" w:line="360" w:lineRule="auto"/>
              <w:rPr>
                <w:rFonts w:ascii="Arial" w:eastAsia="Times New Roman" w:hAnsi="Arial" w:cs="Arial"/>
                <w:sz w:val="24"/>
                <w:szCs w:val="24"/>
                <w:lang w:val="el-GR"/>
              </w:rPr>
            </w:pPr>
            <w:r w:rsidRPr="0009791A">
              <w:rPr>
                <w:rFonts w:ascii="Arial" w:eastAsia="Times New Roman" w:hAnsi="Arial" w:cs="Arial"/>
                <w:sz w:val="24"/>
                <w:szCs w:val="24"/>
                <w:lang w:val="el-GR"/>
              </w:rPr>
              <w:t>ύψους €2.743.461.000 για τη χρήση του έτους που λήγει την 31</w:t>
            </w:r>
            <w:r w:rsidRPr="0009791A">
              <w:rPr>
                <w:rFonts w:ascii="Arial" w:eastAsia="Times New Roman" w:hAnsi="Arial" w:cs="Arial"/>
                <w:sz w:val="24"/>
                <w:szCs w:val="24"/>
                <w:vertAlign w:val="superscript"/>
                <w:lang w:val="el-GR"/>
              </w:rPr>
              <w:t>η</w:t>
            </w:r>
            <w:r w:rsidRPr="0009791A">
              <w:rPr>
                <w:rFonts w:ascii="Arial" w:eastAsia="Times New Roman" w:hAnsi="Arial" w:cs="Arial"/>
                <w:sz w:val="24"/>
                <w:szCs w:val="24"/>
                <w:lang w:val="el-GR"/>
              </w:rPr>
              <w:t xml:space="preserve"> Δεκεμβρίου 2023.</w:t>
            </w:r>
          </w:p>
        </w:tc>
        <w:tc>
          <w:tcPr>
            <w:tcW w:w="7362" w:type="dxa"/>
            <w:gridSpan w:val="4"/>
            <w:shd w:val="clear" w:color="auto" w:fill="auto"/>
            <w:hideMark/>
          </w:tcPr>
          <w:p w14:paraId="1FD0A3D3" w14:textId="3D05A1FB" w:rsidR="0009791A" w:rsidRPr="00FA43C5" w:rsidRDefault="00FA43C5" w:rsidP="002E654D">
            <w:pPr>
              <w:pStyle w:val="ListParagraph"/>
              <w:widowControl w:val="0"/>
              <w:numPr>
                <w:ilvl w:val="0"/>
                <w:numId w:val="2"/>
              </w:numPr>
              <w:tabs>
                <w:tab w:val="left" w:pos="284"/>
                <w:tab w:val="left" w:pos="567"/>
              </w:tabs>
              <w:spacing w:after="0" w:line="360" w:lineRule="auto"/>
              <w:ind w:left="0" w:firstLine="0"/>
              <w:contextualSpacing w:val="0"/>
              <w:jc w:val="both"/>
              <w:rPr>
                <w:rFonts w:ascii="Arial" w:eastAsia="Times New Roman" w:hAnsi="Arial" w:cs="Arial"/>
                <w:sz w:val="24"/>
                <w:szCs w:val="24"/>
                <w:lang w:val="el-GR"/>
              </w:rPr>
            </w:pPr>
            <w:r>
              <w:rPr>
                <w:rFonts w:ascii="Arial" w:eastAsia="Times New Roman" w:hAnsi="Arial" w:cs="Arial"/>
                <w:sz w:val="24"/>
                <w:szCs w:val="24"/>
                <w:lang w:val="el-GR"/>
              </w:rPr>
              <w:tab/>
            </w:r>
            <w:r w:rsidR="0009791A" w:rsidRPr="00FA43C5">
              <w:rPr>
                <w:rFonts w:ascii="Arial" w:eastAsia="Times New Roman" w:hAnsi="Arial" w:cs="Arial"/>
                <w:sz w:val="24"/>
                <w:szCs w:val="24"/>
                <w:lang w:val="el-GR"/>
              </w:rPr>
              <w:t>Επιπροσθέτως των ποσών που έχουν ήδη προϋπολογισθεί νόμιμα για τη χρήση της Αρχής Ηλεκτρισμού Κύπρου ή που θα προϋπολογιστούν αργότερα νόμιμα για τη χρήση αυτή, εγκρίνεται όπως χρησιμοποιηθεί από την Αρχή Ηλεκτρισμού Κύπρου για τη χρήση του έτους που λήγει την 31</w:t>
            </w:r>
            <w:r w:rsidR="0009791A" w:rsidRPr="00FA43C5">
              <w:rPr>
                <w:rFonts w:ascii="Arial" w:eastAsia="Times New Roman" w:hAnsi="Arial" w:cs="Arial"/>
                <w:sz w:val="24"/>
                <w:szCs w:val="24"/>
                <w:vertAlign w:val="superscript"/>
                <w:lang w:val="el-GR"/>
              </w:rPr>
              <w:t>η</w:t>
            </w:r>
            <w:r w:rsidR="0009791A" w:rsidRPr="00FA43C5">
              <w:rPr>
                <w:rFonts w:ascii="Arial" w:eastAsia="Times New Roman" w:hAnsi="Arial" w:cs="Arial"/>
                <w:sz w:val="24"/>
                <w:szCs w:val="24"/>
                <w:lang w:val="el-GR"/>
              </w:rPr>
              <w:t xml:space="preserve"> Δεκεμβρίου 2023 ποσό που δεν υπερβαίνει τα δύο δισεκατομμύρια επτακόσια σαράντα τρία εκατομμύρια τετρακόσιες εξήντα μία χιλιάδες ευρώ για την κάλυψη των δαπανών της Αρχής Ηλεκτρισμού Κύπρου για την περίοδο αυτή.</w:t>
            </w:r>
          </w:p>
        </w:tc>
      </w:tr>
      <w:tr w:rsidR="0009791A" w:rsidRPr="00145567" w14:paraId="763C9357" w14:textId="77777777" w:rsidTr="002E654D">
        <w:trPr>
          <w:trHeight w:val="414"/>
        </w:trPr>
        <w:tc>
          <w:tcPr>
            <w:tcW w:w="2142" w:type="dxa"/>
            <w:shd w:val="clear" w:color="auto" w:fill="auto"/>
            <w:noWrap/>
            <w:vAlign w:val="bottom"/>
            <w:hideMark/>
          </w:tcPr>
          <w:p w14:paraId="3304F48B"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noWrap/>
            <w:vAlign w:val="bottom"/>
            <w:hideMark/>
          </w:tcPr>
          <w:p w14:paraId="3773F2F6"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r>
      <w:tr w:rsidR="0009791A" w:rsidRPr="00145567" w14:paraId="69DB0497" w14:textId="77777777" w:rsidTr="00300533">
        <w:trPr>
          <w:trHeight w:val="525"/>
        </w:trPr>
        <w:tc>
          <w:tcPr>
            <w:tcW w:w="2142" w:type="dxa"/>
            <w:shd w:val="clear" w:color="auto" w:fill="auto"/>
            <w:hideMark/>
          </w:tcPr>
          <w:p w14:paraId="70A835CE" w14:textId="77777777" w:rsidR="007E7B7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Ειδίκευση των ποσών που θα δαπανηθούν. Πρώτος</w:t>
            </w:r>
          </w:p>
          <w:p w14:paraId="0CED77DB" w14:textId="00250FDC"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Πίνακας.</w:t>
            </w:r>
          </w:p>
        </w:tc>
        <w:tc>
          <w:tcPr>
            <w:tcW w:w="7362" w:type="dxa"/>
            <w:gridSpan w:val="4"/>
            <w:shd w:val="clear" w:color="auto" w:fill="auto"/>
            <w:hideMark/>
          </w:tcPr>
          <w:p w14:paraId="7BD9B3FE" w14:textId="5B42268C" w:rsidR="0009791A" w:rsidRPr="007E7B7A" w:rsidRDefault="007E7B7A" w:rsidP="002E654D">
            <w:pPr>
              <w:pStyle w:val="ListParagraph"/>
              <w:widowControl w:val="0"/>
              <w:numPr>
                <w:ilvl w:val="0"/>
                <w:numId w:val="2"/>
              </w:numPr>
              <w:tabs>
                <w:tab w:val="left" w:pos="284"/>
                <w:tab w:val="left" w:pos="567"/>
              </w:tabs>
              <w:spacing w:after="0" w:line="360" w:lineRule="auto"/>
              <w:ind w:left="0" w:firstLine="0"/>
              <w:contextualSpacing w:val="0"/>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09791A" w:rsidRPr="007E7B7A">
              <w:rPr>
                <w:rFonts w:ascii="Arial" w:eastAsia="Times New Roman" w:hAnsi="Arial" w:cs="Arial"/>
                <w:color w:val="000000"/>
                <w:sz w:val="24"/>
                <w:szCs w:val="24"/>
                <w:lang w:val="el-GR"/>
              </w:rPr>
              <w:t>Το ποσό που εγκρίνεται δυνάμει των διατάξεων του άρθρου 2 χορηγείται ως ειδικευμένη πίστωση</w:t>
            </w:r>
            <w:r w:rsidR="00AC3310">
              <w:rPr>
                <w:rFonts w:ascii="Arial" w:eastAsia="Times New Roman" w:hAnsi="Arial" w:cs="Arial"/>
                <w:color w:val="000000"/>
                <w:sz w:val="24"/>
                <w:szCs w:val="24"/>
                <w:lang w:val="el-GR"/>
              </w:rPr>
              <w:t>,</w:t>
            </w:r>
            <w:r w:rsidR="0009791A" w:rsidRPr="007E7B7A">
              <w:rPr>
                <w:rFonts w:ascii="Arial" w:eastAsia="Times New Roman" w:hAnsi="Arial" w:cs="Arial"/>
                <w:color w:val="000000"/>
                <w:sz w:val="24"/>
                <w:szCs w:val="24"/>
                <w:lang w:val="el-GR"/>
              </w:rPr>
              <w:t xml:space="preserve"> για τις υπηρεσίες και τους σκοπούς που αναφέρονται στο Δελτίο Δαπανών που περιλαμβάνεται στον Πρώτο Πίνακα.</w:t>
            </w:r>
          </w:p>
        </w:tc>
      </w:tr>
      <w:tr w:rsidR="0009791A" w:rsidRPr="00145567" w14:paraId="4BDCDE84" w14:textId="77777777" w:rsidTr="002E654D">
        <w:trPr>
          <w:trHeight w:val="414"/>
        </w:trPr>
        <w:tc>
          <w:tcPr>
            <w:tcW w:w="2142" w:type="dxa"/>
            <w:shd w:val="clear" w:color="auto" w:fill="auto"/>
            <w:noWrap/>
            <w:vAlign w:val="bottom"/>
            <w:hideMark/>
          </w:tcPr>
          <w:p w14:paraId="124C15A9"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noWrap/>
            <w:vAlign w:val="bottom"/>
            <w:hideMark/>
          </w:tcPr>
          <w:p w14:paraId="528177C7"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r>
      <w:tr w:rsidR="0009791A" w:rsidRPr="00145567" w14:paraId="1BB0AFC4" w14:textId="77777777" w:rsidTr="002E654D">
        <w:trPr>
          <w:trHeight w:val="454"/>
        </w:trPr>
        <w:tc>
          <w:tcPr>
            <w:tcW w:w="2142" w:type="dxa"/>
            <w:shd w:val="clear" w:color="auto" w:fill="auto"/>
            <w:hideMark/>
          </w:tcPr>
          <w:p w14:paraId="69B19E36" w14:textId="77777777" w:rsidR="007E7B7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 xml:space="preserve">Χρησιμοποίηση του περισσεύματος ορισμένων άρθρων για την κάλυψη του ελλείμματος άλλων άρθρων κάτω από το </w:t>
            </w:r>
          </w:p>
          <w:p w14:paraId="1285FC89" w14:textId="31815153" w:rsidR="007E7B7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 xml:space="preserve">ίδιο Κεφάλαιο. Πρώτος </w:t>
            </w:r>
          </w:p>
          <w:p w14:paraId="735143E5" w14:textId="5E0F7846"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Πίνακας.</w:t>
            </w:r>
          </w:p>
        </w:tc>
        <w:tc>
          <w:tcPr>
            <w:tcW w:w="7362" w:type="dxa"/>
            <w:gridSpan w:val="4"/>
            <w:shd w:val="clear" w:color="auto" w:fill="auto"/>
            <w:hideMark/>
          </w:tcPr>
          <w:p w14:paraId="03CE481A" w14:textId="56F0EA54" w:rsidR="0009791A" w:rsidRPr="0009791A" w:rsidRDefault="0009791A" w:rsidP="00435B40">
            <w:pPr>
              <w:keepNext/>
              <w:keepLines/>
              <w:tabs>
                <w:tab w:val="left" w:pos="284"/>
                <w:tab w:val="left" w:pos="567"/>
              </w:tabs>
              <w:spacing w:after="0" w:line="360" w:lineRule="auto"/>
              <w:jc w:val="both"/>
              <w:rPr>
                <w:rFonts w:ascii="Arial" w:eastAsia="Times New Roman" w:hAnsi="Arial" w:cs="Arial"/>
                <w:color w:val="000000"/>
                <w:sz w:val="24"/>
                <w:szCs w:val="24"/>
                <w:lang w:val="el-GR"/>
              </w:rPr>
            </w:pPr>
            <w:r w:rsidRPr="001763EC">
              <w:rPr>
                <w:rFonts w:ascii="Arial" w:eastAsia="Times New Roman" w:hAnsi="Arial" w:cs="Arial"/>
                <w:bCs/>
                <w:color w:val="000000"/>
                <w:sz w:val="24"/>
                <w:szCs w:val="24"/>
                <w:lang w:val="el-GR"/>
              </w:rPr>
              <w:t>4.</w:t>
            </w:r>
            <w:r w:rsidRPr="0009791A">
              <w:rPr>
                <w:rFonts w:ascii="Arial" w:eastAsia="Times New Roman" w:hAnsi="Arial" w:cs="Arial"/>
                <w:color w:val="000000"/>
                <w:sz w:val="24"/>
                <w:szCs w:val="24"/>
                <w:lang w:val="el-GR"/>
              </w:rPr>
              <w:t>-(1)</w:t>
            </w:r>
            <w:r w:rsidR="007E7B7A">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Τηρουμένων των διατάξεων των επιφυλάξεων, εφόσον το ολικό ποσό που θα δαπανηθεί για τις υπηρεσίες και τους σκοπούς που αναφέρονται και εξειδικεύονται, αντίστοιχα, κάτω από κάθε άρθρο στον Πρώτο Πίνακα δεν θα υπερβεί το ολικό ποσό που χορηγείται με τον παρόντα Νόμο ως ειδικευμένη πίστωση για τις εν λόγω υπηρεσίες και σκοπούς, αντίστοιχα, οποιοδήποτε περίσσευμα που προκύπτει από οποιοδήποτε άρθρο για τις εν λόγω υπηρεσίες και σκοπούς, είτε από την εξοικονόμηση δαπανών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διοικητικού συμβουλίου της Αρχής  Ηλεκτρισμού Κύπρου να διατεθεί και να δαπανηθεί για την κάλυψη του ελλείμματος οποιουδήποτε ποσού  δαπανήθηκε πάνω σε οποιοδήποτε άλλο άρθρο του ίδιου Κεφαλαίου του Πρώτου Πίνακα:</w:t>
            </w:r>
          </w:p>
        </w:tc>
      </w:tr>
      <w:tr w:rsidR="0009791A" w:rsidRPr="00145567" w14:paraId="5C8E8083" w14:textId="77777777" w:rsidTr="00300533">
        <w:trPr>
          <w:trHeight w:val="1815"/>
        </w:trPr>
        <w:tc>
          <w:tcPr>
            <w:tcW w:w="2142" w:type="dxa"/>
            <w:shd w:val="clear" w:color="auto" w:fill="auto"/>
            <w:hideMark/>
          </w:tcPr>
          <w:p w14:paraId="169CE5CA"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hideMark/>
          </w:tcPr>
          <w:p w14:paraId="4B3F7594" w14:textId="5A678BD9" w:rsidR="0009791A" w:rsidRPr="0009791A" w:rsidRDefault="007E7B7A" w:rsidP="00435B40">
            <w:pPr>
              <w:keepNext/>
              <w:keepLines/>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 xml:space="preserve">Νοείται ότι, οποιαδήποτε εξοικονόμηση πάνω στα άρθρα </w:t>
            </w:r>
            <w:r w:rsidR="00AC3310">
              <w:rPr>
                <w:rFonts w:ascii="Arial" w:eastAsia="Times New Roman" w:hAnsi="Arial" w:cs="Arial"/>
                <w:color w:val="000000"/>
                <w:sz w:val="24"/>
                <w:szCs w:val="24"/>
                <w:lang w:val="el-GR"/>
              </w:rPr>
              <w:t>«</w:t>
            </w:r>
            <w:r w:rsidR="0009791A" w:rsidRPr="0009791A">
              <w:rPr>
                <w:rFonts w:ascii="Arial" w:eastAsia="Times New Roman" w:hAnsi="Arial" w:cs="Arial"/>
                <w:color w:val="000000"/>
                <w:sz w:val="24"/>
                <w:szCs w:val="24"/>
                <w:lang w:val="el-GR"/>
              </w:rPr>
              <w:t>Απρόβλεπτες Δαπάνες λόγω ανωτέρας βίας σε Σταθμούς Μεταφοράς/Παραγωγής</w:t>
            </w:r>
            <w:r w:rsidR="00AC3310">
              <w:rPr>
                <w:rFonts w:ascii="Arial" w:eastAsia="Times New Roman" w:hAnsi="Arial" w:cs="Arial"/>
                <w:color w:val="000000"/>
                <w:sz w:val="24"/>
                <w:szCs w:val="24"/>
                <w:lang w:val="el-GR"/>
              </w:rPr>
              <w:t>»</w:t>
            </w:r>
            <w:r w:rsidR="0009791A" w:rsidRPr="0009791A">
              <w:rPr>
                <w:rFonts w:ascii="Arial" w:eastAsia="Times New Roman" w:hAnsi="Arial" w:cs="Arial"/>
                <w:color w:val="000000"/>
                <w:sz w:val="24"/>
                <w:szCs w:val="24"/>
                <w:lang w:val="el-GR"/>
              </w:rPr>
              <w:t xml:space="preserve"> και </w:t>
            </w:r>
            <w:r w:rsidR="00AC3310">
              <w:rPr>
                <w:rFonts w:ascii="Arial" w:eastAsia="Times New Roman" w:hAnsi="Arial" w:cs="Arial"/>
                <w:color w:val="000000"/>
                <w:sz w:val="24"/>
                <w:szCs w:val="24"/>
                <w:lang w:val="el-GR"/>
              </w:rPr>
              <w:t>«</w:t>
            </w:r>
            <w:r w:rsidR="0009791A" w:rsidRPr="0009791A">
              <w:rPr>
                <w:rFonts w:ascii="Arial" w:eastAsia="Times New Roman" w:hAnsi="Arial" w:cs="Arial"/>
                <w:color w:val="000000"/>
                <w:sz w:val="24"/>
                <w:szCs w:val="24"/>
                <w:lang w:val="el-GR"/>
              </w:rPr>
              <w:t>Μη Προβλέψιμες Δαπάνες Καυσίμων, Αγοράς Ηλεκτρικής Ενέργειας και Λειτουργού Αγοράς</w:t>
            </w:r>
            <w:r w:rsidR="00AC3310">
              <w:rPr>
                <w:rFonts w:ascii="Arial" w:eastAsia="Times New Roman" w:hAnsi="Arial" w:cs="Arial"/>
                <w:color w:val="000000"/>
                <w:sz w:val="24"/>
                <w:szCs w:val="24"/>
                <w:lang w:val="el-GR"/>
              </w:rPr>
              <w:t>»</w:t>
            </w:r>
            <w:r w:rsidR="0009791A" w:rsidRPr="0009791A">
              <w:rPr>
                <w:rFonts w:ascii="Arial" w:eastAsia="Times New Roman" w:hAnsi="Arial" w:cs="Arial"/>
                <w:color w:val="000000"/>
                <w:sz w:val="24"/>
                <w:szCs w:val="24"/>
                <w:lang w:val="el-GR"/>
              </w:rPr>
              <w:t xml:space="preserve"> του Κεφαλαίου 6 του Πρώτου Πίνακα δε</w:t>
            </w:r>
            <w:r w:rsidR="00AC3310">
              <w:rPr>
                <w:rFonts w:ascii="Arial" w:eastAsia="Times New Roman" w:hAnsi="Arial" w:cs="Arial"/>
                <w:color w:val="000000"/>
                <w:sz w:val="24"/>
                <w:szCs w:val="24"/>
                <w:lang w:val="el-GR"/>
              </w:rPr>
              <w:t>ν</w:t>
            </w:r>
            <w:r w:rsidR="0009791A" w:rsidRPr="0009791A">
              <w:rPr>
                <w:rFonts w:ascii="Arial" w:eastAsia="Times New Roman" w:hAnsi="Arial" w:cs="Arial"/>
                <w:color w:val="000000"/>
                <w:sz w:val="24"/>
                <w:szCs w:val="24"/>
                <w:lang w:val="el-GR"/>
              </w:rPr>
              <w:t xml:space="preserve"> δύναται να διατεθεί και να δαπανηθεί για την κάλυψη του ελλείμματος οποιουδήποτε ποσού που δαπανήθηκε πάνω σε οποιοδήποτε των προαναφερόμενων άρθρων ή πάνω σε οποιοδήποτε άλλο άρθρο του ίδιου Κεφαλαίου, αλλά ούτε και οποιαδήποτε εξοικονόμηση πάνω σε οποιοδήποτε άλλο άρθρο του ίδιου Κεφαλαίου δύναται να διατεθεί και δαπανηθεί για την κάλυψη του ελλείμματος οποιουδήποτε ποσού  από τα πάνω αναφερόμενα άρθρα:</w:t>
            </w:r>
          </w:p>
        </w:tc>
      </w:tr>
      <w:tr w:rsidR="0009791A" w:rsidRPr="00145567" w14:paraId="26AD5664" w14:textId="77777777" w:rsidTr="002E654D">
        <w:trPr>
          <w:trHeight w:val="414"/>
        </w:trPr>
        <w:tc>
          <w:tcPr>
            <w:tcW w:w="2142" w:type="dxa"/>
            <w:shd w:val="clear" w:color="auto" w:fill="auto"/>
            <w:hideMark/>
          </w:tcPr>
          <w:p w14:paraId="61E501F2"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hideMark/>
          </w:tcPr>
          <w:p w14:paraId="773E28BA"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65EFD3F1" w14:textId="77777777" w:rsidTr="00300533">
        <w:trPr>
          <w:trHeight w:val="480"/>
        </w:trPr>
        <w:tc>
          <w:tcPr>
            <w:tcW w:w="2142" w:type="dxa"/>
            <w:shd w:val="clear" w:color="auto" w:fill="auto"/>
            <w:hideMark/>
          </w:tcPr>
          <w:p w14:paraId="62D806AE"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hideMark/>
          </w:tcPr>
          <w:p w14:paraId="51F2AD51" w14:textId="5457130B" w:rsidR="0009791A" w:rsidRPr="0009791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Νοείται περαιτέρω ότι, οποιαδήποτε εξοικονόμηση από παράλειψη εκτέλεσης οποιασδήποτε υπηρεσίας ή σκοπού δε θεωρείται ως εξοικονόμηση για τους σκοπούς του παρόντος άρθρου.</w:t>
            </w:r>
          </w:p>
        </w:tc>
      </w:tr>
      <w:tr w:rsidR="007E7B7A" w:rsidRPr="00145567" w14:paraId="34C1FBB3" w14:textId="77777777" w:rsidTr="002E654D">
        <w:trPr>
          <w:trHeight w:val="414"/>
        </w:trPr>
        <w:tc>
          <w:tcPr>
            <w:tcW w:w="2142" w:type="dxa"/>
            <w:shd w:val="clear" w:color="auto" w:fill="auto"/>
          </w:tcPr>
          <w:p w14:paraId="7F996E24" w14:textId="77777777" w:rsidR="007E7B7A" w:rsidRPr="0009791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tcPr>
          <w:p w14:paraId="3C23640C" w14:textId="77777777" w:rsidR="007E7B7A" w:rsidRPr="0009791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7F9527DB" w14:textId="77777777" w:rsidTr="00300533">
        <w:trPr>
          <w:trHeight w:val="1260"/>
        </w:trPr>
        <w:tc>
          <w:tcPr>
            <w:tcW w:w="2142" w:type="dxa"/>
            <w:shd w:val="clear" w:color="auto" w:fill="auto"/>
            <w:hideMark/>
          </w:tcPr>
          <w:p w14:paraId="3CA2A462"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hideMark/>
          </w:tcPr>
          <w:p w14:paraId="555D83C6" w14:textId="06F55F98" w:rsidR="0009791A" w:rsidRPr="0009791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(2)</w:t>
            </w: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 xml:space="preserve">Σε περίπτωση που προκύπτει έλλειμμα από ποσό που δαπανήθηκε πάνω σε οποιοδήποτε άρθρο του Κεφαλαίου </w:t>
            </w:r>
            <w:r w:rsidR="00AC3310">
              <w:rPr>
                <w:rFonts w:ascii="Arial" w:eastAsia="Times New Roman" w:hAnsi="Arial" w:cs="Arial"/>
                <w:color w:val="000000"/>
                <w:sz w:val="24"/>
                <w:szCs w:val="24"/>
                <w:lang w:val="el-GR"/>
              </w:rPr>
              <w:t>«</w:t>
            </w:r>
            <w:r w:rsidR="0009791A" w:rsidRPr="0009791A">
              <w:rPr>
                <w:rFonts w:ascii="Arial" w:eastAsia="Times New Roman" w:hAnsi="Arial" w:cs="Arial"/>
                <w:color w:val="000000"/>
                <w:sz w:val="24"/>
                <w:szCs w:val="24"/>
                <w:lang w:val="el-GR"/>
              </w:rPr>
              <w:t>Δαπάνες Καυσίμων, Αγοράς Ηλεκτρικής Ενέργειας και Λειτουργού Αγοράς</w:t>
            </w:r>
            <w:r w:rsidR="00AC3310">
              <w:rPr>
                <w:rFonts w:ascii="Arial" w:eastAsia="Times New Roman" w:hAnsi="Arial" w:cs="Arial"/>
                <w:color w:val="000000"/>
                <w:sz w:val="24"/>
                <w:szCs w:val="24"/>
                <w:lang w:val="el-GR"/>
              </w:rPr>
              <w:t>»</w:t>
            </w:r>
            <w:r w:rsidR="0009791A" w:rsidRPr="0009791A">
              <w:rPr>
                <w:rFonts w:ascii="Arial" w:eastAsia="Times New Roman" w:hAnsi="Arial" w:cs="Arial"/>
                <w:color w:val="000000"/>
                <w:sz w:val="24"/>
                <w:szCs w:val="24"/>
                <w:lang w:val="el-GR"/>
              </w:rPr>
              <w:t xml:space="preserve"> του Πρώτου Πίνακα, δύναται, μετά από έγκριση του διοικητικού συμβουλίου της Αρχής Ηλεκτρισμού Κύπρου, να μεταφερθούν πιστώσεις από το άρθρο </w:t>
            </w:r>
            <w:r w:rsidR="00AC3310">
              <w:rPr>
                <w:rFonts w:ascii="Arial" w:eastAsia="Times New Roman" w:hAnsi="Arial" w:cs="Arial"/>
                <w:color w:val="000000"/>
                <w:sz w:val="24"/>
                <w:szCs w:val="24"/>
                <w:lang w:val="el-GR"/>
              </w:rPr>
              <w:t>«</w:t>
            </w:r>
            <w:r w:rsidR="0009791A" w:rsidRPr="0009791A">
              <w:rPr>
                <w:rFonts w:ascii="Arial" w:eastAsia="Times New Roman" w:hAnsi="Arial" w:cs="Arial"/>
                <w:color w:val="000000"/>
                <w:sz w:val="24"/>
                <w:szCs w:val="24"/>
                <w:lang w:val="el-GR"/>
              </w:rPr>
              <w:t>Μη Προβλέψιμες Δαπάνες Καυσίμων, Αγοράς Ηλεκτρικής Ενέργειας και Λειτουργού Αγοράς</w:t>
            </w:r>
            <w:r w:rsidR="00AC3310">
              <w:rPr>
                <w:rFonts w:ascii="Arial" w:eastAsia="Times New Roman" w:hAnsi="Arial" w:cs="Arial"/>
                <w:color w:val="000000"/>
                <w:sz w:val="24"/>
                <w:szCs w:val="24"/>
                <w:lang w:val="el-GR"/>
              </w:rPr>
              <w:t>»</w:t>
            </w:r>
            <w:r w:rsidR="0009791A" w:rsidRPr="0009791A">
              <w:rPr>
                <w:rFonts w:ascii="Arial" w:eastAsia="Times New Roman" w:hAnsi="Arial" w:cs="Arial"/>
                <w:color w:val="000000"/>
                <w:sz w:val="24"/>
                <w:szCs w:val="24"/>
                <w:lang w:val="el-GR"/>
              </w:rPr>
              <w:t xml:space="preserve"> του Κεφαλαίου </w:t>
            </w:r>
            <w:r w:rsidR="00AC3310">
              <w:rPr>
                <w:rFonts w:ascii="Arial" w:eastAsia="Times New Roman" w:hAnsi="Arial" w:cs="Arial"/>
                <w:color w:val="000000"/>
                <w:sz w:val="24"/>
                <w:szCs w:val="24"/>
                <w:lang w:val="el-GR"/>
              </w:rPr>
              <w:t>«</w:t>
            </w:r>
            <w:r w:rsidR="0009791A" w:rsidRPr="0009791A">
              <w:rPr>
                <w:rFonts w:ascii="Arial" w:eastAsia="Times New Roman" w:hAnsi="Arial" w:cs="Arial"/>
                <w:color w:val="000000"/>
                <w:sz w:val="24"/>
                <w:szCs w:val="24"/>
                <w:lang w:val="el-GR"/>
              </w:rPr>
              <w:t>Απρόβλεπτες Δαπάνες</w:t>
            </w:r>
            <w:r w:rsidR="00AC3310">
              <w:rPr>
                <w:rFonts w:ascii="Arial" w:eastAsia="Times New Roman" w:hAnsi="Arial" w:cs="Arial"/>
                <w:color w:val="000000"/>
                <w:sz w:val="24"/>
                <w:szCs w:val="24"/>
                <w:lang w:val="el-GR"/>
              </w:rPr>
              <w:t>»</w:t>
            </w:r>
            <w:r w:rsidR="0009791A" w:rsidRPr="0009791A">
              <w:rPr>
                <w:rFonts w:ascii="Arial" w:eastAsia="Times New Roman" w:hAnsi="Arial" w:cs="Arial"/>
                <w:color w:val="000000"/>
                <w:sz w:val="24"/>
                <w:szCs w:val="24"/>
                <w:lang w:val="el-GR"/>
              </w:rPr>
              <w:t xml:space="preserve"> του Πρώτου Πίνακα και να δαπανηθούν για την κάλυψη του αναφερόμενου ελλείμματος.</w:t>
            </w:r>
          </w:p>
        </w:tc>
      </w:tr>
      <w:tr w:rsidR="007E7B7A" w:rsidRPr="00145567" w14:paraId="16DAAAB9" w14:textId="77777777" w:rsidTr="002E654D">
        <w:trPr>
          <w:trHeight w:val="414"/>
        </w:trPr>
        <w:tc>
          <w:tcPr>
            <w:tcW w:w="2142" w:type="dxa"/>
            <w:shd w:val="clear" w:color="auto" w:fill="auto"/>
          </w:tcPr>
          <w:p w14:paraId="63016174" w14:textId="77777777" w:rsidR="007E7B7A" w:rsidRPr="0009791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tcPr>
          <w:p w14:paraId="47049BD2" w14:textId="77777777" w:rsidR="007E7B7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702591F1" w14:textId="77777777" w:rsidTr="00300533">
        <w:trPr>
          <w:trHeight w:val="141"/>
        </w:trPr>
        <w:tc>
          <w:tcPr>
            <w:tcW w:w="2142" w:type="dxa"/>
            <w:shd w:val="clear" w:color="auto" w:fill="auto"/>
            <w:hideMark/>
          </w:tcPr>
          <w:p w14:paraId="1826F01A"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hideMark/>
          </w:tcPr>
          <w:p w14:paraId="6C4D64EC" w14:textId="18EF2F2F" w:rsidR="0009791A" w:rsidRPr="0009791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(3)</w:t>
            </w: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Σε περίπτωση που δεν υπάρχουν εξοικονομήσεις, όπως προβλέπ</w:t>
            </w:r>
            <w:r w:rsidR="00AC3310">
              <w:rPr>
                <w:rFonts w:ascii="Arial" w:eastAsia="Times New Roman" w:hAnsi="Arial" w:cs="Arial"/>
                <w:color w:val="000000"/>
                <w:sz w:val="24"/>
                <w:szCs w:val="24"/>
                <w:lang w:val="el-GR"/>
              </w:rPr>
              <w:t>εται</w:t>
            </w:r>
            <w:r w:rsidR="0009791A" w:rsidRPr="0009791A">
              <w:rPr>
                <w:rFonts w:ascii="Arial" w:eastAsia="Times New Roman" w:hAnsi="Arial" w:cs="Arial"/>
                <w:color w:val="000000"/>
                <w:sz w:val="24"/>
                <w:szCs w:val="24"/>
                <w:lang w:val="el-GR"/>
              </w:rPr>
              <w:t xml:space="preserve"> στο εδάφιο (1), δύναται, μετά από έγκριση του διοικητικού συμβουλίου της Αρχής Ηλεκτρισμού Κύπρου, να μεταφερθούν πιστώσεις από το άρθρο "Μη Προβλέψιμες Δαπάνες και Αποθεματικό" του Κεφαλαίου "Απρόβλεπτες Δαπάνες" του Πρώτου Πίνακα και να δαπανηθούν για την κάλυψη του </w:t>
            </w:r>
            <w:r w:rsidR="0009791A" w:rsidRPr="0009791A">
              <w:rPr>
                <w:rFonts w:ascii="Arial" w:eastAsia="Times New Roman" w:hAnsi="Arial" w:cs="Arial"/>
                <w:color w:val="000000"/>
                <w:sz w:val="24"/>
                <w:szCs w:val="24"/>
                <w:lang w:val="el-GR"/>
              </w:rPr>
              <w:lastRenderedPageBreak/>
              <w:t>ελλείμματος οποιουδήποτε ποσού που δαπανήθηκε πάνω σε οποιοδήποτε άλλο άρθρο των Κεφαλαίων του Πρώτου Πίνακα.</w:t>
            </w:r>
          </w:p>
        </w:tc>
      </w:tr>
      <w:tr w:rsidR="007E7B7A" w:rsidRPr="00145567" w14:paraId="5A096D9F" w14:textId="77777777" w:rsidTr="002E654D">
        <w:trPr>
          <w:trHeight w:val="414"/>
        </w:trPr>
        <w:tc>
          <w:tcPr>
            <w:tcW w:w="2142" w:type="dxa"/>
            <w:shd w:val="clear" w:color="auto" w:fill="auto"/>
          </w:tcPr>
          <w:p w14:paraId="5ACC13EF" w14:textId="77777777" w:rsidR="007E7B7A" w:rsidRPr="0009791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tcPr>
          <w:p w14:paraId="6225AA76" w14:textId="77777777" w:rsidR="007E7B7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6F0F113C" w14:textId="77777777" w:rsidTr="00300533">
        <w:trPr>
          <w:trHeight w:val="1035"/>
        </w:trPr>
        <w:tc>
          <w:tcPr>
            <w:tcW w:w="2142" w:type="dxa"/>
            <w:shd w:val="clear" w:color="auto" w:fill="auto"/>
            <w:hideMark/>
          </w:tcPr>
          <w:p w14:paraId="6C5CAD14"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hideMark/>
          </w:tcPr>
          <w:p w14:paraId="6FB432D5" w14:textId="18E1296C" w:rsidR="0009791A" w:rsidRPr="0009791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(4)</w:t>
            </w: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Μέσα σε τρεις (3) μήνες από την παραχώρηση έγκρισης από το διοικητικό συμβούλιο της Αρχής Ηλεκτρισμού Κύπρου, σύμφωνα με τις διατάξεις των εδαφίων (1), (2) και (3) κατατίθεται από τον Υπουργό Ενέργειας, Εμπορίου και Βιομηχανίας ενώπιον της Βουλής των Αντιπροσώπων έκθεση που να δεικνύει τις περιπτώσεις για τις οποίες δόθηκε τέτοια έγκριση και τις συνθήκες κάτω από τις οποίες αυτή χορηγήθηκε.</w:t>
            </w:r>
          </w:p>
        </w:tc>
      </w:tr>
      <w:tr w:rsidR="007E7B7A" w:rsidRPr="00145567" w14:paraId="004553F9" w14:textId="77777777" w:rsidTr="002E654D">
        <w:trPr>
          <w:trHeight w:val="414"/>
        </w:trPr>
        <w:tc>
          <w:tcPr>
            <w:tcW w:w="2142" w:type="dxa"/>
            <w:shd w:val="clear" w:color="auto" w:fill="auto"/>
          </w:tcPr>
          <w:p w14:paraId="03105950" w14:textId="77777777" w:rsidR="007E7B7A" w:rsidRPr="0009791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tcPr>
          <w:p w14:paraId="253F1640" w14:textId="77777777" w:rsidR="007E7B7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4395CF09" w14:textId="77777777" w:rsidTr="00300533">
        <w:trPr>
          <w:trHeight w:val="1002"/>
        </w:trPr>
        <w:tc>
          <w:tcPr>
            <w:tcW w:w="2142" w:type="dxa"/>
            <w:shd w:val="clear" w:color="auto" w:fill="auto"/>
            <w:hideMark/>
          </w:tcPr>
          <w:p w14:paraId="30150E61"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hideMark/>
          </w:tcPr>
          <w:p w14:paraId="3F232D83" w14:textId="32A2B7FA" w:rsidR="0009791A" w:rsidRPr="0009791A" w:rsidRDefault="007E7B7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(5)</w:t>
            </w: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Κάθε υπέρβαση κονδυλίων κατά παράβαση της διαδικασίας που προβλέπονται στα εδάφια (1), (2) και (3)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09791A" w:rsidRPr="00145567" w14:paraId="4DA26BEF" w14:textId="77777777" w:rsidTr="002E654D">
        <w:trPr>
          <w:trHeight w:val="414"/>
        </w:trPr>
        <w:tc>
          <w:tcPr>
            <w:tcW w:w="2142" w:type="dxa"/>
            <w:shd w:val="clear" w:color="auto" w:fill="auto"/>
            <w:noWrap/>
            <w:vAlign w:val="bottom"/>
            <w:hideMark/>
          </w:tcPr>
          <w:p w14:paraId="65345AF1"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noWrap/>
            <w:vAlign w:val="bottom"/>
            <w:hideMark/>
          </w:tcPr>
          <w:p w14:paraId="0743C327"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r>
      <w:tr w:rsidR="0009791A" w:rsidRPr="00145567" w14:paraId="2CA26C08" w14:textId="77777777" w:rsidTr="00300533">
        <w:trPr>
          <w:trHeight w:val="730"/>
        </w:trPr>
        <w:tc>
          <w:tcPr>
            <w:tcW w:w="2142" w:type="dxa"/>
            <w:shd w:val="clear" w:color="auto" w:fill="auto"/>
            <w:hideMark/>
          </w:tcPr>
          <w:p w14:paraId="5BD1761D" w14:textId="77777777" w:rsidR="007E7B7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 xml:space="preserve">Δημιουργία </w:t>
            </w:r>
          </w:p>
          <w:p w14:paraId="6CB982A2" w14:textId="77777777" w:rsidR="00C8185F"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 xml:space="preserve">νέων </w:t>
            </w:r>
          </w:p>
          <w:p w14:paraId="1B0E2DAD" w14:textId="7DC43F33" w:rsidR="007E7B7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θέσεων.</w:t>
            </w:r>
          </w:p>
          <w:p w14:paraId="43922B7C" w14:textId="77777777" w:rsidR="007E7B7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 xml:space="preserve">Δεύτερος </w:t>
            </w:r>
          </w:p>
          <w:p w14:paraId="7C611524" w14:textId="4D88ED14" w:rsidR="007E7B7A" w:rsidRPr="00F1684F"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Πίνακας</w:t>
            </w:r>
            <w:r w:rsidR="00C8185F" w:rsidRPr="00F1684F">
              <w:rPr>
                <w:rFonts w:ascii="Arial" w:eastAsia="Times New Roman" w:hAnsi="Arial" w:cs="Arial"/>
                <w:color w:val="000000"/>
                <w:sz w:val="24"/>
                <w:szCs w:val="24"/>
                <w:lang w:val="el-GR"/>
              </w:rPr>
              <w:t>.</w:t>
            </w:r>
          </w:p>
          <w:p w14:paraId="56DA1050" w14:textId="77777777" w:rsidR="007E7B7A" w:rsidRDefault="007E7B7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Π</w:t>
            </w:r>
            <w:r w:rsidR="0009791A" w:rsidRPr="0009791A">
              <w:rPr>
                <w:rFonts w:ascii="Arial" w:eastAsia="Times New Roman" w:hAnsi="Arial" w:cs="Arial"/>
                <w:color w:val="000000"/>
                <w:sz w:val="24"/>
                <w:szCs w:val="24"/>
                <w:lang w:val="el-GR"/>
              </w:rPr>
              <w:t xml:space="preserve">ρώτο </w:t>
            </w:r>
          </w:p>
          <w:p w14:paraId="6B139593" w14:textId="6C3C0D60"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 xml:space="preserve">Μέρος. </w:t>
            </w:r>
          </w:p>
        </w:tc>
        <w:tc>
          <w:tcPr>
            <w:tcW w:w="7362" w:type="dxa"/>
            <w:gridSpan w:val="4"/>
            <w:shd w:val="clear" w:color="auto" w:fill="auto"/>
            <w:hideMark/>
          </w:tcPr>
          <w:p w14:paraId="5A5FEA0A" w14:textId="0F36E22C"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1763EC">
              <w:rPr>
                <w:rFonts w:ascii="Arial" w:eastAsia="Times New Roman" w:hAnsi="Arial" w:cs="Arial"/>
                <w:bCs/>
                <w:color w:val="000000"/>
                <w:sz w:val="24"/>
                <w:szCs w:val="24"/>
                <w:lang w:val="el-GR"/>
              </w:rPr>
              <w:t>5.</w:t>
            </w:r>
            <w:r w:rsidRPr="0009791A">
              <w:rPr>
                <w:rFonts w:ascii="Arial" w:eastAsia="Times New Roman" w:hAnsi="Arial" w:cs="Arial"/>
                <w:color w:val="000000"/>
                <w:sz w:val="24"/>
                <w:szCs w:val="24"/>
                <w:lang w:val="el-GR"/>
              </w:rPr>
              <w:t>-(1)</w:t>
            </w:r>
            <w:r w:rsidR="007E7B7A">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Δημιουργούνται οι νέες θέσεις που αναφέρονται στο Πρώτο Μέρος του Δευτέρου Πίνακα.</w:t>
            </w:r>
          </w:p>
        </w:tc>
      </w:tr>
      <w:tr w:rsidR="007E7B7A" w:rsidRPr="00145567" w14:paraId="6901B8AA" w14:textId="77777777" w:rsidTr="002E654D">
        <w:trPr>
          <w:trHeight w:val="414"/>
        </w:trPr>
        <w:tc>
          <w:tcPr>
            <w:tcW w:w="2142" w:type="dxa"/>
            <w:shd w:val="clear" w:color="auto" w:fill="auto"/>
          </w:tcPr>
          <w:p w14:paraId="7966B3C2" w14:textId="77777777" w:rsidR="007E7B7A" w:rsidRPr="0009791A" w:rsidRDefault="007E7B7A"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740B1A6D" w14:textId="77777777" w:rsidR="007E7B7A" w:rsidRPr="001763EC" w:rsidRDefault="007E7B7A" w:rsidP="002E654D">
            <w:pPr>
              <w:widowControl w:val="0"/>
              <w:tabs>
                <w:tab w:val="left" w:pos="284"/>
                <w:tab w:val="left" w:pos="567"/>
              </w:tabs>
              <w:spacing w:after="0" w:line="360" w:lineRule="auto"/>
              <w:jc w:val="both"/>
              <w:rPr>
                <w:rFonts w:ascii="Arial" w:eastAsia="Times New Roman" w:hAnsi="Arial" w:cs="Arial"/>
                <w:bCs/>
                <w:color w:val="000000"/>
                <w:sz w:val="24"/>
                <w:szCs w:val="24"/>
                <w:lang w:val="el-GR"/>
              </w:rPr>
            </w:pPr>
          </w:p>
        </w:tc>
      </w:tr>
      <w:tr w:rsidR="007E7B7A" w:rsidRPr="00145567" w14:paraId="2674FE5B" w14:textId="77777777" w:rsidTr="00300533">
        <w:trPr>
          <w:trHeight w:val="70"/>
        </w:trPr>
        <w:tc>
          <w:tcPr>
            <w:tcW w:w="2142" w:type="dxa"/>
            <w:shd w:val="clear" w:color="auto" w:fill="auto"/>
          </w:tcPr>
          <w:p w14:paraId="65546B89" w14:textId="77777777" w:rsidR="007E7B7A" w:rsidRPr="0009791A" w:rsidRDefault="007E7B7A"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72AE5EBA" w14:textId="00D4779B" w:rsidR="007E7B7A" w:rsidRPr="001763EC" w:rsidRDefault="007E7B7A" w:rsidP="002E654D">
            <w:pPr>
              <w:widowControl w:val="0"/>
              <w:tabs>
                <w:tab w:val="left" w:pos="284"/>
                <w:tab w:val="left" w:pos="567"/>
              </w:tabs>
              <w:spacing w:after="0" w:line="360" w:lineRule="auto"/>
              <w:jc w:val="both"/>
              <w:rPr>
                <w:rFonts w:ascii="Arial" w:eastAsia="Times New Roman" w:hAnsi="Arial" w:cs="Arial"/>
                <w:bCs/>
                <w:color w:val="000000"/>
                <w:sz w:val="24"/>
                <w:szCs w:val="24"/>
                <w:lang w:val="el-GR"/>
              </w:rPr>
            </w:pP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(2)</w:t>
            </w: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Κάθε διοριζόμενος σε οποιαδήποτε νέα θέση που δημιουργείται με βάση τις διατάξεις του παρόντος άρθρου είναι δυνατόν να υπαχθεί στο</w:t>
            </w:r>
            <w:r w:rsidR="00AC3310">
              <w:rPr>
                <w:rFonts w:ascii="Arial" w:eastAsia="Times New Roman" w:hAnsi="Arial" w:cs="Arial"/>
                <w:color w:val="000000"/>
                <w:sz w:val="24"/>
                <w:szCs w:val="24"/>
                <w:lang w:val="el-GR"/>
              </w:rPr>
              <w:t>ν</w:t>
            </w:r>
            <w:r w:rsidRPr="0009791A">
              <w:rPr>
                <w:rFonts w:ascii="Arial" w:eastAsia="Times New Roman" w:hAnsi="Arial" w:cs="Arial"/>
                <w:color w:val="000000"/>
                <w:sz w:val="24"/>
                <w:szCs w:val="24"/>
                <w:lang w:val="el-GR"/>
              </w:rPr>
              <w:t xml:space="preserve"> θεσμό της εναλλαξιμότητας, αν και όταν νόμος ήθελε προ</w:t>
            </w:r>
            <w:r w:rsidR="00AC3310">
              <w:rPr>
                <w:rFonts w:ascii="Arial" w:eastAsia="Times New Roman" w:hAnsi="Arial" w:cs="Arial"/>
                <w:color w:val="000000"/>
                <w:sz w:val="24"/>
                <w:szCs w:val="24"/>
                <w:lang w:val="el-GR"/>
              </w:rPr>
              <w:t>βλέψει</w:t>
            </w:r>
            <w:r w:rsidRPr="0009791A">
              <w:rPr>
                <w:rFonts w:ascii="Arial" w:eastAsia="Times New Roman" w:hAnsi="Arial" w:cs="Arial"/>
                <w:color w:val="000000"/>
                <w:sz w:val="24"/>
                <w:szCs w:val="24"/>
                <w:lang w:val="el-GR"/>
              </w:rPr>
              <w:t xml:space="preserve"> τούτο.</w:t>
            </w:r>
          </w:p>
        </w:tc>
      </w:tr>
      <w:tr w:rsidR="0009791A" w:rsidRPr="00145567" w14:paraId="202E57C6" w14:textId="77777777" w:rsidTr="002E654D">
        <w:trPr>
          <w:trHeight w:val="414"/>
        </w:trPr>
        <w:tc>
          <w:tcPr>
            <w:tcW w:w="2142" w:type="dxa"/>
            <w:shd w:val="clear" w:color="auto" w:fill="auto"/>
            <w:hideMark/>
          </w:tcPr>
          <w:p w14:paraId="6E17460C"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hideMark/>
          </w:tcPr>
          <w:p w14:paraId="766BC9EC" w14:textId="7F56EDDD"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B94914" w:rsidRPr="00145567" w14:paraId="2E1988B5" w14:textId="77777777" w:rsidTr="002E654D">
        <w:trPr>
          <w:trHeight w:val="414"/>
        </w:trPr>
        <w:tc>
          <w:tcPr>
            <w:tcW w:w="2142" w:type="dxa"/>
            <w:shd w:val="clear" w:color="auto" w:fill="auto"/>
          </w:tcPr>
          <w:p w14:paraId="38F582C1" w14:textId="77777777" w:rsidR="00B94914" w:rsidRDefault="00B94914"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Κατάργηση θέσεων.</w:t>
            </w:r>
          </w:p>
          <w:p w14:paraId="1CD84AE3" w14:textId="77777777" w:rsidR="00B94914" w:rsidRDefault="00B94914"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Δεύτερος </w:t>
            </w:r>
          </w:p>
          <w:p w14:paraId="7460A3EC" w14:textId="1BD28AF2" w:rsidR="00B94914" w:rsidRDefault="00AC3310"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Πίνακας</w:t>
            </w:r>
            <w:r w:rsidR="00B94914">
              <w:rPr>
                <w:rFonts w:ascii="Arial" w:eastAsia="Times New Roman" w:hAnsi="Arial" w:cs="Arial"/>
                <w:color w:val="000000"/>
                <w:sz w:val="24"/>
                <w:szCs w:val="24"/>
                <w:lang w:val="el-GR"/>
              </w:rPr>
              <w:t>.</w:t>
            </w:r>
          </w:p>
          <w:p w14:paraId="1989CC57" w14:textId="77777777" w:rsidR="00B94914" w:rsidRDefault="00B94914"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Δεύτερο</w:t>
            </w:r>
          </w:p>
          <w:p w14:paraId="10C89156" w14:textId="47972A3E" w:rsidR="00B94914" w:rsidRPr="0009791A" w:rsidRDefault="00B94914"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lastRenderedPageBreak/>
              <w:t>Μέρος.</w:t>
            </w:r>
          </w:p>
        </w:tc>
        <w:tc>
          <w:tcPr>
            <w:tcW w:w="7362" w:type="dxa"/>
            <w:gridSpan w:val="4"/>
            <w:shd w:val="clear" w:color="auto" w:fill="auto"/>
          </w:tcPr>
          <w:p w14:paraId="797C3C12" w14:textId="0F016CB2" w:rsidR="00B94914" w:rsidRPr="0009791A" w:rsidRDefault="00B94914"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lastRenderedPageBreak/>
              <w:t>6.</w:t>
            </w: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t>Οι θέσεις που αναφέρονται στο Δεύτερο Μέρος του Δεύτερου Πίνακα καταργούνται.</w:t>
            </w:r>
          </w:p>
        </w:tc>
      </w:tr>
      <w:tr w:rsidR="00B94914" w:rsidRPr="00145567" w14:paraId="444E9576" w14:textId="77777777" w:rsidTr="002E654D">
        <w:trPr>
          <w:trHeight w:val="414"/>
        </w:trPr>
        <w:tc>
          <w:tcPr>
            <w:tcW w:w="2142" w:type="dxa"/>
            <w:shd w:val="clear" w:color="auto" w:fill="auto"/>
          </w:tcPr>
          <w:p w14:paraId="3CF0D048" w14:textId="77777777" w:rsidR="00B94914" w:rsidRPr="0009791A" w:rsidRDefault="00B94914"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7D731DE3" w14:textId="77777777" w:rsidR="00B94914" w:rsidRPr="0009791A" w:rsidRDefault="00B94914"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2DB6F4E3" w14:textId="77777777" w:rsidTr="00300533">
        <w:trPr>
          <w:trHeight w:val="240"/>
        </w:trPr>
        <w:tc>
          <w:tcPr>
            <w:tcW w:w="2142" w:type="dxa"/>
            <w:shd w:val="clear" w:color="auto" w:fill="auto"/>
            <w:hideMark/>
          </w:tcPr>
          <w:p w14:paraId="3157F4EE" w14:textId="77777777" w:rsidR="00F1684F" w:rsidRDefault="00F1684F" w:rsidP="00F1684F">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 xml:space="preserve">Μείωση </w:t>
            </w:r>
          </w:p>
          <w:p w14:paraId="53369E23" w14:textId="6560E7B9" w:rsidR="004346D6" w:rsidRDefault="00F1684F" w:rsidP="00F1684F">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κλιμάκων εισδοχής</w:t>
            </w:r>
            <w:r>
              <w:rPr>
                <w:rFonts w:ascii="Arial" w:eastAsia="Times New Roman" w:hAnsi="Arial" w:cs="Arial"/>
                <w:color w:val="000000"/>
                <w:sz w:val="24"/>
                <w:szCs w:val="24"/>
                <w:lang w:val="el-GR"/>
              </w:rPr>
              <w:t>.</w:t>
            </w:r>
          </w:p>
          <w:p w14:paraId="2B84D6FC" w14:textId="77777777" w:rsidR="004346D6" w:rsidRDefault="004346D6"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p w14:paraId="62037117" w14:textId="77777777" w:rsidR="004346D6" w:rsidRDefault="004346D6"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p w14:paraId="2C87C0E3" w14:textId="77777777" w:rsidR="004346D6" w:rsidRDefault="004346D6"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p w14:paraId="5A6121F2" w14:textId="77777777" w:rsidR="004346D6" w:rsidRDefault="004346D6"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p w14:paraId="119BA807" w14:textId="77777777" w:rsidR="004346D6" w:rsidRDefault="004346D6"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p w14:paraId="12EA558A" w14:textId="77777777" w:rsidR="004346D6" w:rsidRDefault="004346D6"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p w14:paraId="31202411" w14:textId="77777777" w:rsidR="004346D6" w:rsidRDefault="004346D6"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p w14:paraId="6240759F" w14:textId="77777777" w:rsidR="004346D6" w:rsidRDefault="004346D6"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p w14:paraId="4DE272E3" w14:textId="1A14535E"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r w:rsidRPr="0009791A">
              <w:rPr>
                <w:rFonts w:ascii="Arial" w:eastAsia="Times New Roman" w:hAnsi="Arial" w:cs="Arial"/>
                <w:color w:val="000000"/>
                <w:sz w:val="24"/>
                <w:szCs w:val="24"/>
                <w:lang w:val="el-GR"/>
              </w:rPr>
              <w:t>Παράρτημα.</w:t>
            </w:r>
          </w:p>
        </w:tc>
        <w:tc>
          <w:tcPr>
            <w:tcW w:w="7362" w:type="dxa"/>
            <w:gridSpan w:val="4"/>
            <w:shd w:val="clear" w:color="auto" w:fill="auto"/>
            <w:hideMark/>
          </w:tcPr>
          <w:p w14:paraId="54647A5C" w14:textId="6B80989B"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9D5FAD">
              <w:rPr>
                <w:rFonts w:ascii="Arial" w:eastAsia="Times New Roman" w:hAnsi="Arial" w:cs="Arial"/>
                <w:bCs/>
                <w:color w:val="000000"/>
                <w:sz w:val="24"/>
                <w:szCs w:val="24"/>
                <w:lang w:val="el-GR"/>
              </w:rPr>
              <w:t>7.-</w:t>
            </w:r>
            <w:r w:rsidRPr="0009791A">
              <w:rPr>
                <w:rFonts w:ascii="Arial" w:eastAsia="Times New Roman" w:hAnsi="Arial" w:cs="Arial"/>
                <w:color w:val="000000"/>
                <w:sz w:val="24"/>
                <w:szCs w:val="24"/>
                <w:lang w:val="el-GR"/>
              </w:rPr>
              <w:t>(1)</w:t>
            </w:r>
            <w:r w:rsidR="009D5FAD">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Ανεξαρτήτως των διατάξεων οποιουδήποτε άλλου Νόμου ή Κανονισμών που ρυθμίζουν τη μισθοδοσία των θέσεων στην Αρχή Ηλεκτρισμού Κύπρου, πρόσωπο που από την 1</w:t>
            </w:r>
            <w:r w:rsidRPr="0009791A">
              <w:rPr>
                <w:rFonts w:ascii="Arial" w:eastAsia="Times New Roman" w:hAnsi="Arial" w:cs="Arial"/>
                <w:color w:val="000000"/>
                <w:sz w:val="24"/>
                <w:szCs w:val="24"/>
                <w:vertAlign w:val="superscript"/>
                <w:lang w:val="el-GR"/>
              </w:rPr>
              <w:t>η</w:t>
            </w:r>
            <w:r w:rsidRPr="0009791A">
              <w:rPr>
                <w:rFonts w:ascii="Arial" w:eastAsia="Times New Roman" w:hAnsi="Arial" w:cs="Arial"/>
                <w:color w:val="000000"/>
                <w:sz w:val="24"/>
                <w:szCs w:val="24"/>
                <w:lang w:val="el-GR"/>
              </w:rPr>
              <w:t xml:space="preserve"> Ιανουαρίου 2012 και στο εξής διορίζεται σε θέση Πρώτου Διορισμού ή σε θέση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της Αρχής Ηλεκτρισμού Κύπρου λαμβάνουν, κατά τα δύο (2) πρώτα έτη της υπηρεσίας ή απασχόλησης τους, ετήσιο βασικό μισθό ανάλογα με την κλίμακα </w:t>
            </w:r>
            <w:proofErr w:type="spellStart"/>
            <w:r w:rsidRPr="0009791A">
              <w:rPr>
                <w:rFonts w:ascii="Arial" w:eastAsia="Times New Roman" w:hAnsi="Arial" w:cs="Arial"/>
                <w:color w:val="000000"/>
                <w:sz w:val="24"/>
                <w:szCs w:val="24"/>
                <w:lang w:val="el-GR"/>
              </w:rPr>
              <w:t>έκαστης</w:t>
            </w:r>
            <w:proofErr w:type="spellEnd"/>
            <w:r w:rsidRPr="0009791A">
              <w:rPr>
                <w:rFonts w:ascii="Arial" w:eastAsia="Times New Roman" w:hAnsi="Arial" w:cs="Arial"/>
                <w:color w:val="000000"/>
                <w:sz w:val="24"/>
                <w:szCs w:val="24"/>
                <w:lang w:val="el-GR"/>
              </w:rPr>
              <w:t xml:space="preserve"> θέσης, όπως δεικνύονται στο Παράρτημα </w:t>
            </w:r>
            <w:r w:rsidR="00AC3310">
              <w:rPr>
                <w:rFonts w:ascii="Arial" w:eastAsia="Times New Roman" w:hAnsi="Arial" w:cs="Arial"/>
                <w:color w:val="000000"/>
                <w:sz w:val="24"/>
                <w:szCs w:val="24"/>
                <w:lang w:val="el-GR"/>
              </w:rPr>
              <w:t>«</w:t>
            </w:r>
            <w:r w:rsidRPr="0009791A">
              <w:rPr>
                <w:rFonts w:ascii="Arial" w:eastAsia="Times New Roman" w:hAnsi="Arial" w:cs="Arial"/>
                <w:color w:val="000000"/>
                <w:sz w:val="24"/>
                <w:szCs w:val="24"/>
                <w:lang w:val="el-GR"/>
              </w:rPr>
              <w:t>Μισθοδοτικές Κλίμακες</w:t>
            </w:r>
            <w:r w:rsidR="00AC3310">
              <w:rPr>
                <w:rFonts w:ascii="Arial" w:eastAsia="Times New Roman" w:hAnsi="Arial" w:cs="Arial"/>
                <w:color w:val="000000"/>
                <w:sz w:val="24"/>
                <w:szCs w:val="24"/>
                <w:lang w:val="el-GR"/>
              </w:rPr>
              <w:t>»</w:t>
            </w:r>
            <w:r w:rsidRPr="0009791A">
              <w:rPr>
                <w:rFonts w:ascii="Arial" w:eastAsia="Times New Roman" w:hAnsi="Arial" w:cs="Arial"/>
                <w:color w:val="000000"/>
                <w:sz w:val="24"/>
                <w:szCs w:val="24"/>
                <w:lang w:val="el-GR"/>
              </w:rPr>
              <w:t>.</w:t>
            </w:r>
          </w:p>
        </w:tc>
      </w:tr>
      <w:tr w:rsidR="0009791A" w:rsidRPr="00145567" w14:paraId="001C4AA2" w14:textId="77777777" w:rsidTr="002E654D">
        <w:trPr>
          <w:trHeight w:val="414"/>
        </w:trPr>
        <w:tc>
          <w:tcPr>
            <w:tcW w:w="2142" w:type="dxa"/>
            <w:shd w:val="clear" w:color="auto" w:fill="auto"/>
            <w:hideMark/>
          </w:tcPr>
          <w:p w14:paraId="5EDD7DA8"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hideMark/>
          </w:tcPr>
          <w:p w14:paraId="6417CCE5"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E112CC" w:rsidRPr="00145567" w14:paraId="51E0D969" w14:textId="77777777" w:rsidTr="00300533">
        <w:trPr>
          <w:trHeight w:val="244"/>
        </w:trPr>
        <w:tc>
          <w:tcPr>
            <w:tcW w:w="2142" w:type="dxa"/>
            <w:shd w:val="clear" w:color="auto" w:fill="auto"/>
          </w:tcPr>
          <w:p w14:paraId="6900F72E" w14:textId="77777777" w:rsidR="00E112CC"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tcPr>
          <w:p w14:paraId="651781F1" w14:textId="33859126" w:rsidR="00E112CC"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(2)</w:t>
            </w: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 xml:space="preserve">Με τη συμπλήρωση είκοσι τεσσάρων (24) μηνών υπηρεσίας ή απασχόλησης στον υπό αναφορά βασικό μισθό της μειωμένης κλίμακας εισδοχής, ο </w:t>
            </w:r>
            <w:proofErr w:type="spellStart"/>
            <w:r w:rsidRPr="0009791A">
              <w:rPr>
                <w:rFonts w:ascii="Arial" w:eastAsia="Times New Roman" w:hAnsi="Arial" w:cs="Arial"/>
                <w:color w:val="000000"/>
                <w:sz w:val="24"/>
                <w:szCs w:val="24"/>
                <w:lang w:val="el-GR"/>
              </w:rPr>
              <w:t>εργοδοτούμενος</w:t>
            </w:r>
            <w:proofErr w:type="spellEnd"/>
            <w:r w:rsidRPr="0009791A">
              <w:rPr>
                <w:rFonts w:ascii="Arial" w:eastAsia="Times New Roman" w:hAnsi="Arial" w:cs="Arial"/>
                <w:color w:val="000000"/>
                <w:sz w:val="24"/>
                <w:szCs w:val="24"/>
                <w:lang w:val="el-GR"/>
              </w:rPr>
              <w:t xml:space="preserve">  τοποθετείται στην αρχική βαθμίδα της μισθοδοτικής κλίμακας της θέσης, όπως αυτή αναφέρεται στο οικείο σχέδιο υπηρεσίας ή σε σημείωση στον παρόντα Νόμο:</w:t>
            </w:r>
          </w:p>
        </w:tc>
      </w:tr>
      <w:tr w:rsidR="00E112CC" w:rsidRPr="00145567" w14:paraId="794FC6D0" w14:textId="77777777" w:rsidTr="002E654D">
        <w:trPr>
          <w:trHeight w:val="414"/>
        </w:trPr>
        <w:tc>
          <w:tcPr>
            <w:tcW w:w="2142" w:type="dxa"/>
            <w:shd w:val="clear" w:color="auto" w:fill="auto"/>
          </w:tcPr>
          <w:p w14:paraId="19F7349A" w14:textId="77777777" w:rsidR="00E112CC"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tcPr>
          <w:p w14:paraId="3BA9B9F5" w14:textId="77777777" w:rsidR="00E112CC"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7C978650" w14:textId="77777777" w:rsidTr="00300533">
        <w:trPr>
          <w:trHeight w:val="705"/>
        </w:trPr>
        <w:tc>
          <w:tcPr>
            <w:tcW w:w="2142" w:type="dxa"/>
            <w:shd w:val="clear" w:color="auto" w:fill="auto"/>
            <w:hideMark/>
          </w:tcPr>
          <w:p w14:paraId="5867C95F"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hideMark/>
          </w:tcPr>
          <w:p w14:paraId="531F8E00" w14:textId="6842BC1E" w:rsidR="0009791A"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Νοείται ότι, η μείωση των κλιμάκων εισδοχής δεν τυγχάνει εφαρμογής στις περιπτώσεις-</w:t>
            </w:r>
          </w:p>
        </w:tc>
      </w:tr>
      <w:tr w:rsidR="0009791A" w:rsidRPr="00145567" w14:paraId="755F54B4" w14:textId="77777777" w:rsidTr="002E654D">
        <w:trPr>
          <w:trHeight w:val="414"/>
        </w:trPr>
        <w:tc>
          <w:tcPr>
            <w:tcW w:w="2142" w:type="dxa"/>
            <w:shd w:val="clear" w:color="auto" w:fill="auto"/>
            <w:hideMark/>
          </w:tcPr>
          <w:p w14:paraId="5C08B5FA"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hideMark/>
          </w:tcPr>
          <w:p w14:paraId="342B1F5F"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E112CC" w:rsidRPr="00145567" w14:paraId="55F4BDBE" w14:textId="77777777" w:rsidTr="00C8185F">
        <w:trPr>
          <w:trHeight w:val="75"/>
        </w:trPr>
        <w:tc>
          <w:tcPr>
            <w:tcW w:w="2142" w:type="dxa"/>
            <w:shd w:val="clear" w:color="auto" w:fill="auto"/>
          </w:tcPr>
          <w:p w14:paraId="5EB2BEAE" w14:textId="77777777" w:rsidR="00E112CC"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1134" w:type="dxa"/>
            <w:shd w:val="clear" w:color="auto" w:fill="auto"/>
          </w:tcPr>
          <w:p w14:paraId="201F9254" w14:textId="484FF431" w:rsidR="00E112CC" w:rsidRPr="0009791A" w:rsidRDefault="00E112CC" w:rsidP="002E654D">
            <w:pPr>
              <w:widowControl w:val="0"/>
              <w:tabs>
                <w:tab w:val="left" w:pos="284"/>
                <w:tab w:val="left" w:pos="567"/>
              </w:tabs>
              <w:spacing w:after="0" w:line="360" w:lineRule="auto"/>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(α)</w:t>
            </w:r>
          </w:p>
        </w:tc>
        <w:tc>
          <w:tcPr>
            <w:tcW w:w="6228" w:type="dxa"/>
            <w:gridSpan w:val="3"/>
            <w:shd w:val="clear" w:color="auto" w:fill="auto"/>
          </w:tcPr>
          <w:p w14:paraId="0A4A0D81" w14:textId="6579D924" w:rsidR="00E112CC"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υπαλλήλων που κατέχουν μόνιμη θέση, οι οποίοι είτε διορίστηκαν πριν από την 1</w:t>
            </w:r>
            <w:r w:rsidRPr="0009791A">
              <w:rPr>
                <w:rFonts w:ascii="Arial" w:eastAsia="Times New Roman" w:hAnsi="Arial" w:cs="Arial"/>
                <w:color w:val="000000"/>
                <w:sz w:val="24"/>
                <w:szCs w:val="24"/>
                <w:vertAlign w:val="superscript"/>
                <w:lang w:val="el-GR"/>
              </w:rPr>
              <w:t>η</w:t>
            </w:r>
            <w:r w:rsidRPr="0009791A">
              <w:rPr>
                <w:rFonts w:ascii="Arial" w:eastAsia="Times New Roman" w:hAnsi="Arial" w:cs="Arial"/>
                <w:color w:val="000000"/>
                <w:sz w:val="24"/>
                <w:szCs w:val="24"/>
                <w:lang w:val="el-GR"/>
              </w:rPr>
              <w:t xml:space="preserve"> Ιανουαρίου 2012, είτε διορίστηκαν μετά την </w:t>
            </w:r>
            <w:r>
              <w:rPr>
                <w:rFonts w:ascii="Arial" w:eastAsia="Times New Roman" w:hAnsi="Arial" w:cs="Arial"/>
                <w:color w:val="000000"/>
                <w:sz w:val="24"/>
                <w:szCs w:val="24"/>
                <w:lang w:val="el-GR"/>
              </w:rPr>
              <w:t xml:space="preserve">ημερομηνία αυτή </w:t>
            </w:r>
            <w:r w:rsidRPr="0009791A">
              <w:rPr>
                <w:rFonts w:ascii="Arial" w:eastAsia="Times New Roman" w:hAnsi="Arial" w:cs="Arial"/>
                <w:color w:val="000000"/>
                <w:sz w:val="24"/>
                <w:szCs w:val="24"/>
                <w:lang w:val="el-GR"/>
              </w:rPr>
              <w:t>και υπηρέτησαν συνολικά για είκοσι τέσσερις (24) μήνες σε μειωμένη κλίμακα εισδοχής, και χωρίς να μεσολαβήσει διακοπή διορίζονται ή προάγονται σε άλλη θέση ή αποσπώνται για οποιοδήποτε σκοπό,</w:t>
            </w:r>
          </w:p>
        </w:tc>
      </w:tr>
      <w:tr w:rsidR="00E112CC" w:rsidRPr="00145567" w14:paraId="55518BDD" w14:textId="77777777" w:rsidTr="00C8185F">
        <w:trPr>
          <w:trHeight w:val="414"/>
        </w:trPr>
        <w:tc>
          <w:tcPr>
            <w:tcW w:w="2142" w:type="dxa"/>
            <w:shd w:val="clear" w:color="auto" w:fill="auto"/>
          </w:tcPr>
          <w:p w14:paraId="7A27AD91" w14:textId="77777777" w:rsidR="00E112CC"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1134" w:type="dxa"/>
            <w:shd w:val="clear" w:color="auto" w:fill="auto"/>
          </w:tcPr>
          <w:p w14:paraId="5F3A81BE" w14:textId="77777777" w:rsidR="00E112CC" w:rsidRPr="0009791A" w:rsidRDefault="00E112CC" w:rsidP="002E654D">
            <w:pPr>
              <w:widowControl w:val="0"/>
              <w:tabs>
                <w:tab w:val="left" w:pos="284"/>
                <w:tab w:val="left" w:pos="567"/>
              </w:tabs>
              <w:spacing w:after="0" w:line="360" w:lineRule="auto"/>
              <w:jc w:val="right"/>
              <w:rPr>
                <w:rFonts w:ascii="Arial" w:eastAsia="Times New Roman" w:hAnsi="Arial" w:cs="Arial"/>
                <w:color w:val="000000"/>
                <w:sz w:val="24"/>
                <w:szCs w:val="24"/>
                <w:lang w:val="el-GR"/>
              </w:rPr>
            </w:pPr>
          </w:p>
        </w:tc>
        <w:tc>
          <w:tcPr>
            <w:tcW w:w="6228" w:type="dxa"/>
            <w:gridSpan w:val="3"/>
            <w:shd w:val="clear" w:color="auto" w:fill="auto"/>
          </w:tcPr>
          <w:p w14:paraId="62904FC8" w14:textId="77777777" w:rsidR="00E112CC"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E112CC" w:rsidRPr="00145567" w14:paraId="0486BC4B" w14:textId="77777777" w:rsidTr="00C8185F">
        <w:trPr>
          <w:trHeight w:val="75"/>
        </w:trPr>
        <w:tc>
          <w:tcPr>
            <w:tcW w:w="2142" w:type="dxa"/>
            <w:shd w:val="clear" w:color="auto" w:fill="auto"/>
          </w:tcPr>
          <w:p w14:paraId="1F5FE6C0" w14:textId="77777777" w:rsidR="00E112CC"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1134" w:type="dxa"/>
            <w:shd w:val="clear" w:color="auto" w:fill="auto"/>
          </w:tcPr>
          <w:p w14:paraId="3D2406A0" w14:textId="4D3F2673" w:rsidR="00E112CC" w:rsidRPr="0009791A" w:rsidRDefault="00E112CC" w:rsidP="002E654D">
            <w:pPr>
              <w:widowControl w:val="0"/>
              <w:tabs>
                <w:tab w:val="left" w:pos="284"/>
                <w:tab w:val="left" w:pos="567"/>
              </w:tabs>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(β)</w:t>
            </w:r>
          </w:p>
        </w:tc>
        <w:tc>
          <w:tcPr>
            <w:tcW w:w="6228" w:type="dxa"/>
            <w:gridSpan w:val="3"/>
            <w:shd w:val="clear" w:color="auto" w:fill="auto"/>
          </w:tcPr>
          <w:p w14:paraId="2A1F0EC7" w14:textId="2B8ED921" w:rsidR="00E112CC"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 xml:space="preserve">έκτακτου υπαλλήλου ή με σύμβαση προσωπικού που </w:t>
            </w:r>
            <w:r w:rsidRPr="0009791A">
              <w:rPr>
                <w:rFonts w:ascii="Arial" w:eastAsia="Times New Roman" w:hAnsi="Arial" w:cs="Arial"/>
                <w:color w:val="000000"/>
                <w:sz w:val="24"/>
                <w:szCs w:val="24"/>
                <w:lang w:val="el-GR"/>
              </w:rPr>
              <w:lastRenderedPageBreak/>
              <w:t xml:space="preserve">είτε προσλήφθηκε πριν από την </w:t>
            </w:r>
            <w:r>
              <w:rPr>
                <w:rFonts w:ascii="Arial" w:eastAsia="Times New Roman" w:hAnsi="Arial" w:cs="Arial"/>
                <w:color w:val="000000"/>
                <w:sz w:val="24"/>
                <w:szCs w:val="24"/>
                <w:lang w:val="el-GR"/>
              </w:rPr>
              <w:t xml:space="preserve">ημερομηνία αυτή </w:t>
            </w:r>
            <w:r w:rsidR="00264F02">
              <w:rPr>
                <w:rFonts w:ascii="Arial" w:eastAsia="Times New Roman" w:hAnsi="Arial" w:cs="Arial"/>
                <w:color w:val="000000"/>
                <w:sz w:val="24"/>
                <w:szCs w:val="24"/>
                <w:lang w:val="el-GR"/>
              </w:rPr>
              <w:t>1</w:t>
            </w:r>
            <w:r w:rsidR="00264F02" w:rsidRPr="00264F02">
              <w:rPr>
                <w:rFonts w:ascii="Arial" w:eastAsia="Times New Roman" w:hAnsi="Arial" w:cs="Arial"/>
                <w:color w:val="000000"/>
                <w:sz w:val="24"/>
                <w:szCs w:val="24"/>
                <w:vertAlign w:val="superscript"/>
                <w:lang w:val="el-GR"/>
              </w:rPr>
              <w:t>η</w:t>
            </w:r>
            <w:r w:rsidR="00264F02">
              <w:rPr>
                <w:rFonts w:ascii="Arial" w:eastAsia="Times New Roman" w:hAnsi="Arial" w:cs="Arial"/>
                <w:color w:val="000000"/>
                <w:sz w:val="24"/>
                <w:szCs w:val="24"/>
                <w:lang w:val="el-GR"/>
              </w:rPr>
              <w:t xml:space="preserve"> Ιανουαρίου 2012, είτε προσλήφθηκε μετά την ημερομηνία αυτή και απασχολήθηκε συνολικά για είκοσι τέσσερις (24) μήνες σε μειωμένη κλίμακα εισδ</w:t>
            </w:r>
            <w:r w:rsidRPr="0009791A">
              <w:rPr>
                <w:rFonts w:ascii="Arial" w:eastAsia="Times New Roman" w:hAnsi="Arial" w:cs="Arial"/>
                <w:color w:val="000000"/>
                <w:sz w:val="24"/>
                <w:szCs w:val="24"/>
                <w:lang w:val="el-GR"/>
              </w:rPr>
              <w:t>οχής, και διορίζεται σε θέση, χωρίς να έχει μεσολαβήσει διακοπή μεταξύ της ημερομηνίας διορισμού και της απασχόλησης σε έκτακτη βάση ή με σύμβαση,</w:t>
            </w:r>
          </w:p>
        </w:tc>
      </w:tr>
      <w:tr w:rsidR="00264F02" w:rsidRPr="00145567" w14:paraId="4B72A84E" w14:textId="77777777" w:rsidTr="00C8185F">
        <w:trPr>
          <w:trHeight w:val="414"/>
        </w:trPr>
        <w:tc>
          <w:tcPr>
            <w:tcW w:w="2142" w:type="dxa"/>
            <w:shd w:val="clear" w:color="auto" w:fill="auto"/>
          </w:tcPr>
          <w:p w14:paraId="7C137ACC" w14:textId="77777777" w:rsidR="00264F02" w:rsidRPr="0009791A" w:rsidRDefault="00264F02"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1134" w:type="dxa"/>
            <w:shd w:val="clear" w:color="auto" w:fill="auto"/>
          </w:tcPr>
          <w:p w14:paraId="125ADE52" w14:textId="77777777" w:rsidR="00264F02" w:rsidRDefault="00264F02" w:rsidP="002E654D">
            <w:pPr>
              <w:widowControl w:val="0"/>
              <w:tabs>
                <w:tab w:val="left" w:pos="284"/>
                <w:tab w:val="left" w:pos="567"/>
              </w:tabs>
              <w:spacing w:after="0" w:line="360" w:lineRule="auto"/>
              <w:jc w:val="right"/>
              <w:rPr>
                <w:rFonts w:ascii="Arial" w:eastAsia="Times New Roman" w:hAnsi="Arial" w:cs="Arial"/>
                <w:color w:val="000000"/>
                <w:sz w:val="24"/>
                <w:szCs w:val="24"/>
                <w:lang w:val="el-GR"/>
              </w:rPr>
            </w:pPr>
          </w:p>
        </w:tc>
        <w:tc>
          <w:tcPr>
            <w:tcW w:w="6228" w:type="dxa"/>
            <w:gridSpan w:val="3"/>
            <w:shd w:val="clear" w:color="auto" w:fill="auto"/>
          </w:tcPr>
          <w:p w14:paraId="430FAD28" w14:textId="77777777" w:rsidR="00264F02" w:rsidRPr="0009791A" w:rsidRDefault="00264F02"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264F02" w:rsidRPr="00145567" w14:paraId="5D57168B" w14:textId="77777777" w:rsidTr="00C8185F">
        <w:trPr>
          <w:trHeight w:val="75"/>
        </w:trPr>
        <w:tc>
          <w:tcPr>
            <w:tcW w:w="2142" w:type="dxa"/>
            <w:shd w:val="clear" w:color="auto" w:fill="auto"/>
          </w:tcPr>
          <w:p w14:paraId="7FAE8A9B" w14:textId="77777777" w:rsidR="00264F02" w:rsidRPr="0009791A" w:rsidRDefault="00264F02"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1134" w:type="dxa"/>
            <w:shd w:val="clear" w:color="auto" w:fill="auto"/>
          </w:tcPr>
          <w:p w14:paraId="66084E46" w14:textId="5E70846C" w:rsidR="00264F02" w:rsidRDefault="00264F02" w:rsidP="002E654D">
            <w:pPr>
              <w:widowControl w:val="0"/>
              <w:tabs>
                <w:tab w:val="left" w:pos="284"/>
                <w:tab w:val="left" w:pos="567"/>
              </w:tabs>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(γ)</w:t>
            </w:r>
          </w:p>
        </w:tc>
        <w:tc>
          <w:tcPr>
            <w:tcW w:w="6228" w:type="dxa"/>
            <w:gridSpan w:val="3"/>
            <w:shd w:val="clear" w:color="auto" w:fill="auto"/>
          </w:tcPr>
          <w:p w14:paraId="67AFC64B" w14:textId="3DD9A1A9" w:rsidR="00264F02" w:rsidRPr="0009791A" w:rsidRDefault="00264F02"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 xml:space="preserve">έκτακτου υπαλλήλου ή με σύμβαση προσωπικού του οποίου διαφοροποιούνται οι όροι απασχόλησης χωρίς να έχει μεσολαβήσει διακοπή στην απασχόληση στον Οργανισμό και είτε είχε προσληφθεί </w:t>
            </w:r>
            <w:r>
              <w:rPr>
                <w:rFonts w:ascii="Arial" w:eastAsia="Times New Roman" w:hAnsi="Arial" w:cs="Arial"/>
                <w:color w:val="000000"/>
                <w:sz w:val="24"/>
                <w:szCs w:val="24"/>
                <w:lang w:val="el-GR"/>
              </w:rPr>
              <w:t xml:space="preserve">μετά την ημερομηνία αυτή και έχει ήδη </w:t>
            </w:r>
            <w:r w:rsidRPr="0009791A">
              <w:rPr>
                <w:rFonts w:ascii="Arial" w:eastAsia="Times New Roman" w:hAnsi="Arial" w:cs="Arial"/>
                <w:color w:val="000000"/>
                <w:sz w:val="24"/>
                <w:szCs w:val="24"/>
                <w:lang w:val="el-GR"/>
              </w:rPr>
              <w:t>απασχοληθεί συνολικά για είκοσι τέσσερις (24) μήνες σε μειωμένη κλίμακα εισδοχής, και</w:t>
            </w:r>
          </w:p>
        </w:tc>
      </w:tr>
      <w:tr w:rsidR="00D95EF9" w:rsidRPr="00145567" w14:paraId="2FA41483" w14:textId="77777777" w:rsidTr="00C8185F">
        <w:trPr>
          <w:trHeight w:val="414"/>
        </w:trPr>
        <w:tc>
          <w:tcPr>
            <w:tcW w:w="2142" w:type="dxa"/>
            <w:shd w:val="clear" w:color="auto" w:fill="auto"/>
          </w:tcPr>
          <w:p w14:paraId="4E37459D" w14:textId="77777777" w:rsidR="00D95EF9" w:rsidRPr="0009791A" w:rsidRDefault="00D95EF9"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1134" w:type="dxa"/>
            <w:shd w:val="clear" w:color="auto" w:fill="auto"/>
          </w:tcPr>
          <w:p w14:paraId="397688A7" w14:textId="77777777" w:rsidR="00D95EF9" w:rsidRDefault="00D95EF9" w:rsidP="002E654D">
            <w:pPr>
              <w:widowControl w:val="0"/>
              <w:tabs>
                <w:tab w:val="left" w:pos="284"/>
                <w:tab w:val="left" w:pos="567"/>
              </w:tabs>
              <w:spacing w:after="0" w:line="360" w:lineRule="auto"/>
              <w:jc w:val="right"/>
              <w:rPr>
                <w:rFonts w:ascii="Arial" w:eastAsia="Times New Roman" w:hAnsi="Arial" w:cs="Arial"/>
                <w:color w:val="000000"/>
                <w:sz w:val="24"/>
                <w:szCs w:val="24"/>
                <w:lang w:val="el-GR"/>
              </w:rPr>
            </w:pPr>
          </w:p>
        </w:tc>
        <w:tc>
          <w:tcPr>
            <w:tcW w:w="6228" w:type="dxa"/>
            <w:gridSpan w:val="3"/>
            <w:shd w:val="clear" w:color="auto" w:fill="auto"/>
          </w:tcPr>
          <w:p w14:paraId="136548BC" w14:textId="77777777" w:rsidR="00D95EF9" w:rsidRPr="0009791A" w:rsidRDefault="00D95EF9"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D95EF9" w:rsidRPr="00145567" w14:paraId="5233BF93" w14:textId="77777777" w:rsidTr="00C8185F">
        <w:trPr>
          <w:trHeight w:val="75"/>
        </w:trPr>
        <w:tc>
          <w:tcPr>
            <w:tcW w:w="2142" w:type="dxa"/>
            <w:shd w:val="clear" w:color="auto" w:fill="auto"/>
          </w:tcPr>
          <w:p w14:paraId="56EE5613" w14:textId="77777777" w:rsidR="00D95EF9" w:rsidRPr="0009791A" w:rsidRDefault="00D95EF9"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1134" w:type="dxa"/>
            <w:shd w:val="clear" w:color="auto" w:fill="auto"/>
          </w:tcPr>
          <w:p w14:paraId="1068FD68" w14:textId="49F48817" w:rsidR="00D95EF9" w:rsidRDefault="00D95EF9" w:rsidP="002E654D">
            <w:pPr>
              <w:widowControl w:val="0"/>
              <w:tabs>
                <w:tab w:val="left" w:pos="284"/>
                <w:tab w:val="left" w:pos="567"/>
              </w:tabs>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(δ)</w:t>
            </w:r>
          </w:p>
        </w:tc>
        <w:tc>
          <w:tcPr>
            <w:tcW w:w="6228" w:type="dxa"/>
            <w:gridSpan w:val="3"/>
            <w:shd w:val="clear" w:color="auto" w:fill="auto"/>
          </w:tcPr>
          <w:p w14:paraId="26CE44D7" w14:textId="589613DE" w:rsidR="00D95EF9" w:rsidRPr="0009791A" w:rsidRDefault="00D95EF9"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μόνιμου ή έκτακτου ή ωρομίσθιου υπαλλήλου της κρατικής υπηρεσίας ή νομικού προσώπου δημοσίου δικαίου που διορίζεται σε μόνιμη θέση στην Αρχή Ηλεκτρισμού Κύπρου, καθώς και μόνιμου ή έκτακτου προσωπικού της κρατικής υπηρεσίας ή νομικού προσώπου δημοσίου δικαίου που προσλαμβάνεται σε έκτακτη βάση στην Αρχή Ηλεκτρισμού Κύπρου, χωρίς να έχει μεσολαβήσει διακοπή της απασχόλησης, και, είτε είχε διοριστεί ή προσληφθεί πριν από την 1</w:t>
            </w:r>
            <w:r w:rsidRPr="0009791A">
              <w:rPr>
                <w:rFonts w:ascii="Arial" w:eastAsia="Times New Roman" w:hAnsi="Arial" w:cs="Arial"/>
                <w:color w:val="000000"/>
                <w:sz w:val="24"/>
                <w:szCs w:val="24"/>
                <w:vertAlign w:val="superscript"/>
                <w:lang w:val="el-GR"/>
              </w:rPr>
              <w:t>η</w:t>
            </w:r>
            <w:r w:rsidRPr="0009791A">
              <w:rPr>
                <w:rFonts w:ascii="Arial" w:eastAsia="Times New Roman" w:hAnsi="Arial" w:cs="Arial"/>
                <w:color w:val="000000"/>
                <w:sz w:val="24"/>
                <w:szCs w:val="24"/>
                <w:lang w:val="el-GR"/>
              </w:rPr>
              <w:t xml:space="preserve"> Ιανουαρίου 2012 στην κρατική υπηρεσία ή στο νομικό πρόσωπο δημοσίου δικαίου, είτε είχε υπηρετήσει ή απασχοληθεί στην κρατική υπηρεσία ή στο νομικό πρόσωπο δημοσίου δικαίου συνολικά για είκοσι τέσσερις (24) μήνες σε μειωμένη κλίμακα εισδοχής, πριν διοριστεί στην Αρχή Ηλεκτρισμού Κύπρου:</w:t>
            </w:r>
          </w:p>
        </w:tc>
      </w:tr>
      <w:tr w:rsidR="00D95EF9" w:rsidRPr="00145567" w14:paraId="7E726112" w14:textId="77777777" w:rsidTr="00C8185F">
        <w:trPr>
          <w:trHeight w:val="414"/>
        </w:trPr>
        <w:tc>
          <w:tcPr>
            <w:tcW w:w="2142" w:type="dxa"/>
            <w:shd w:val="clear" w:color="auto" w:fill="auto"/>
          </w:tcPr>
          <w:p w14:paraId="785F8F1B" w14:textId="77777777" w:rsidR="00D95EF9" w:rsidRPr="0009791A" w:rsidRDefault="00D95EF9"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1134" w:type="dxa"/>
            <w:shd w:val="clear" w:color="auto" w:fill="auto"/>
          </w:tcPr>
          <w:p w14:paraId="0501F559" w14:textId="77777777" w:rsidR="00D95EF9" w:rsidRDefault="00D95EF9" w:rsidP="002E654D">
            <w:pPr>
              <w:widowControl w:val="0"/>
              <w:tabs>
                <w:tab w:val="left" w:pos="284"/>
                <w:tab w:val="left" w:pos="567"/>
              </w:tabs>
              <w:spacing w:after="0" w:line="360" w:lineRule="auto"/>
              <w:jc w:val="right"/>
              <w:rPr>
                <w:rFonts w:ascii="Arial" w:eastAsia="Times New Roman" w:hAnsi="Arial" w:cs="Arial"/>
                <w:color w:val="000000"/>
                <w:sz w:val="24"/>
                <w:szCs w:val="24"/>
                <w:lang w:val="el-GR"/>
              </w:rPr>
            </w:pPr>
          </w:p>
        </w:tc>
        <w:tc>
          <w:tcPr>
            <w:tcW w:w="6228" w:type="dxa"/>
            <w:gridSpan w:val="3"/>
            <w:shd w:val="clear" w:color="auto" w:fill="auto"/>
          </w:tcPr>
          <w:p w14:paraId="372E1898" w14:textId="77777777" w:rsidR="00D95EF9" w:rsidRPr="0009791A" w:rsidRDefault="00D95EF9"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AC3310" w:rsidRPr="00145567" w14:paraId="722054BB" w14:textId="77777777" w:rsidTr="00F533A9">
        <w:trPr>
          <w:trHeight w:val="75"/>
        </w:trPr>
        <w:tc>
          <w:tcPr>
            <w:tcW w:w="2142" w:type="dxa"/>
            <w:shd w:val="clear" w:color="auto" w:fill="auto"/>
          </w:tcPr>
          <w:p w14:paraId="3E0F025C" w14:textId="77777777" w:rsidR="00AC3310" w:rsidRPr="0009791A"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tcPr>
          <w:p w14:paraId="351E9AAB" w14:textId="3DF1D089" w:rsidR="00AC3310" w:rsidRPr="0009791A"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 xml:space="preserve">Νοείται ότι, υπηρεσία ή απασχόληση σε μειωμένη κλίμακα εισδοχής στην κρατική υπηρεσία ή στο νομικό πρόσωπο δημόσιου δικαίου συμψηφίζεται με υπηρεσία ή απασχόληση σε μειωμένη </w:t>
            </w:r>
            <w:r w:rsidRPr="0009791A">
              <w:rPr>
                <w:rFonts w:ascii="Arial" w:eastAsia="Times New Roman" w:hAnsi="Arial" w:cs="Arial"/>
                <w:color w:val="000000"/>
                <w:sz w:val="24"/>
                <w:szCs w:val="24"/>
                <w:lang w:val="el-GR"/>
              </w:rPr>
              <w:lastRenderedPageBreak/>
              <w:t xml:space="preserve">κλίμακα εισδοχής στον Οργανισμό για σκοπούς συμπλήρωσης των είκοσι τεσσάρων (24) μηνών. </w:t>
            </w:r>
          </w:p>
        </w:tc>
      </w:tr>
      <w:tr w:rsidR="00E112CC" w:rsidRPr="00145567" w14:paraId="18A79121" w14:textId="77777777" w:rsidTr="002E654D">
        <w:trPr>
          <w:trHeight w:val="414"/>
        </w:trPr>
        <w:tc>
          <w:tcPr>
            <w:tcW w:w="2142" w:type="dxa"/>
            <w:shd w:val="clear" w:color="auto" w:fill="auto"/>
            <w:hideMark/>
          </w:tcPr>
          <w:p w14:paraId="65416B62" w14:textId="77777777" w:rsidR="00E112CC"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hideMark/>
          </w:tcPr>
          <w:p w14:paraId="7D6B4E4B" w14:textId="725E2EDE" w:rsidR="00E112CC" w:rsidRPr="0009791A" w:rsidRDefault="00E112CC"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823BD2" w:rsidRPr="00145567" w14:paraId="21E09CE0" w14:textId="77777777" w:rsidTr="00300533">
        <w:trPr>
          <w:trHeight w:val="172"/>
        </w:trPr>
        <w:tc>
          <w:tcPr>
            <w:tcW w:w="2142" w:type="dxa"/>
            <w:shd w:val="clear" w:color="auto" w:fill="auto"/>
          </w:tcPr>
          <w:p w14:paraId="7B4983B0" w14:textId="77777777" w:rsidR="00823BD2" w:rsidRPr="0009791A" w:rsidRDefault="00823BD2"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tcPr>
          <w:p w14:paraId="4E4E0347" w14:textId="37419BC1" w:rsidR="00823BD2" w:rsidRPr="0009791A" w:rsidRDefault="00823BD2"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(3)</w:t>
            </w: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 xml:space="preserve">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 </w:t>
            </w:r>
          </w:p>
        </w:tc>
      </w:tr>
      <w:tr w:rsidR="00823BD2" w:rsidRPr="00145567" w14:paraId="1DD5F141" w14:textId="77777777" w:rsidTr="002E654D">
        <w:trPr>
          <w:trHeight w:val="414"/>
        </w:trPr>
        <w:tc>
          <w:tcPr>
            <w:tcW w:w="2142" w:type="dxa"/>
            <w:shd w:val="clear" w:color="auto" w:fill="auto"/>
          </w:tcPr>
          <w:p w14:paraId="17FEB2E4" w14:textId="77777777" w:rsidR="00823BD2" w:rsidRPr="0009791A" w:rsidRDefault="00823BD2"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tcPr>
          <w:p w14:paraId="2121841C" w14:textId="77777777" w:rsidR="00823BD2" w:rsidRDefault="00823BD2"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823BD2" w:rsidRPr="00145567" w14:paraId="32D78F16" w14:textId="77777777" w:rsidTr="00300533">
        <w:trPr>
          <w:trHeight w:val="172"/>
        </w:trPr>
        <w:tc>
          <w:tcPr>
            <w:tcW w:w="2142" w:type="dxa"/>
            <w:shd w:val="clear" w:color="auto" w:fill="auto"/>
          </w:tcPr>
          <w:p w14:paraId="381CDBB7" w14:textId="77777777" w:rsidR="00823BD2" w:rsidRPr="0009791A" w:rsidRDefault="00823BD2"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tcPr>
          <w:p w14:paraId="4625CA88" w14:textId="6B0114F3" w:rsidR="00823BD2" w:rsidRDefault="00823BD2"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Νοείται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823BD2" w:rsidRPr="00145567" w14:paraId="23B93231" w14:textId="77777777" w:rsidTr="002E654D">
        <w:trPr>
          <w:trHeight w:val="414"/>
        </w:trPr>
        <w:tc>
          <w:tcPr>
            <w:tcW w:w="2142" w:type="dxa"/>
            <w:shd w:val="clear" w:color="auto" w:fill="auto"/>
          </w:tcPr>
          <w:p w14:paraId="15EC589A" w14:textId="77777777" w:rsidR="00823BD2" w:rsidRPr="0009791A" w:rsidRDefault="00823BD2"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tcPr>
          <w:p w14:paraId="270FC9B0" w14:textId="77777777" w:rsidR="00823BD2" w:rsidRPr="0009791A" w:rsidRDefault="00823BD2"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823BD2" w:rsidRPr="00145567" w14:paraId="71302B5F" w14:textId="77777777" w:rsidTr="00300533">
        <w:trPr>
          <w:trHeight w:val="172"/>
        </w:trPr>
        <w:tc>
          <w:tcPr>
            <w:tcW w:w="2142" w:type="dxa"/>
            <w:shd w:val="clear" w:color="auto" w:fill="auto"/>
          </w:tcPr>
          <w:p w14:paraId="7AB3041B" w14:textId="77777777" w:rsidR="00823BD2" w:rsidRPr="0009791A" w:rsidRDefault="00823BD2"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tcPr>
          <w:p w14:paraId="40B169AF" w14:textId="15A77711" w:rsidR="00823BD2" w:rsidRDefault="00823BD2"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(4)</w:t>
            </w: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 xml:space="preserve">Ο όρος </w:t>
            </w:r>
            <w:r w:rsidR="00AC3310">
              <w:rPr>
                <w:rFonts w:ascii="Arial" w:eastAsia="Times New Roman" w:hAnsi="Arial" w:cs="Arial"/>
                <w:color w:val="000000"/>
                <w:sz w:val="24"/>
                <w:szCs w:val="24"/>
                <w:lang w:val="el-GR"/>
              </w:rPr>
              <w:t>«</w:t>
            </w:r>
            <w:r w:rsidRPr="0009791A">
              <w:rPr>
                <w:rFonts w:ascii="Arial" w:eastAsia="Times New Roman" w:hAnsi="Arial" w:cs="Arial"/>
                <w:color w:val="000000"/>
                <w:sz w:val="24"/>
                <w:szCs w:val="24"/>
                <w:lang w:val="el-GR"/>
              </w:rPr>
              <w:t>θέσεις</w:t>
            </w:r>
            <w:r w:rsidR="00AC3310">
              <w:rPr>
                <w:rFonts w:ascii="Arial" w:eastAsia="Times New Roman" w:hAnsi="Arial" w:cs="Arial"/>
                <w:color w:val="000000"/>
                <w:sz w:val="24"/>
                <w:szCs w:val="24"/>
                <w:lang w:val="el-GR"/>
              </w:rPr>
              <w:t>»</w:t>
            </w:r>
            <w:r w:rsidRPr="0009791A">
              <w:rPr>
                <w:rFonts w:ascii="Arial" w:eastAsia="Times New Roman" w:hAnsi="Arial" w:cs="Arial"/>
                <w:color w:val="000000"/>
                <w:sz w:val="24"/>
                <w:szCs w:val="24"/>
                <w:lang w:val="el-GR"/>
              </w:rPr>
              <w:t xml:space="preserve"> περιλαμβάνει μόνιμες θέσεις στην Αρχή Ηλεκτρισμού Κύπρου, με τις υπό αναφορά κλίμακες εισδοχής και ο όρος </w:t>
            </w:r>
            <w:r w:rsidR="00AC3310">
              <w:rPr>
                <w:rFonts w:ascii="Arial" w:eastAsia="Times New Roman" w:hAnsi="Arial" w:cs="Arial"/>
                <w:color w:val="000000"/>
                <w:sz w:val="24"/>
                <w:szCs w:val="24"/>
                <w:lang w:val="el-GR"/>
              </w:rPr>
              <w:t>«</w:t>
            </w:r>
            <w:r w:rsidRPr="0009791A">
              <w:rPr>
                <w:rFonts w:ascii="Arial" w:eastAsia="Times New Roman" w:hAnsi="Arial" w:cs="Arial"/>
                <w:color w:val="000000"/>
                <w:sz w:val="24"/>
                <w:szCs w:val="24"/>
                <w:lang w:val="el-GR"/>
              </w:rPr>
              <w:t>πρόσωπα που προσλαμβάνονται πάνω σε έκτακτη βάση ή με σύμβαση</w:t>
            </w:r>
            <w:r w:rsidR="00AC3310">
              <w:rPr>
                <w:rFonts w:ascii="Arial" w:eastAsia="Times New Roman" w:hAnsi="Arial" w:cs="Arial"/>
                <w:color w:val="000000"/>
                <w:sz w:val="24"/>
                <w:szCs w:val="24"/>
                <w:lang w:val="el-GR"/>
              </w:rPr>
              <w:t>»</w:t>
            </w:r>
            <w:r w:rsidRPr="0009791A">
              <w:rPr>
                <w:rFonts w:ascii="Arial" w:eastAsia="Times New Roman" w:hAnsi="Arial" w:cs="Arial"/>
                <w:color w:val="000000"/>
                <w:sz w:val="24"/>
                <w:szCs w:val="24"/>
                <w:lang w:val="el-GR"/>
              </w:rPr>
              <w:t xml:space="preserve"> περιλαμβάνει εργοδοτούμενους σε έκτακτη βάση ή εργοδοτούμενους καθορισμένης διάρκειας ή εργοδοτούμενους αορίστου χρόνου και </w:t>
            </w:r>
            <w:r w:rsidR="00AC3310">
              <w:rPr>
                <w:rFonts w:ascii="Arial" w:eastAsia="Times New Roman" w:hAnsi="Arial" w:cs="Arial"/>
                <w:color w:val="000000"/>
                <w:sz w:val="24"/>
                <w:szCs w:val="24"/>
                <w:lang w:val="el-GR"/>
              </w:rPr>
              <w:t>πρόσωπα</w:t>
            </w:r>
            <w:r w:rsidRPr="0009791A">
              <w:rPr>
                <w:rFonts w:ascii="Arial" w:eastAsia="Times New Roman" w:hAnsi="Arial" w:cs="Arial"/>
                <w:color w:val="000000"/>
                <w:sz w:val="24"/>
                <w:szCs w:val="24"/>
                <w:lang w:val="el-GR"/>
              </w:rPr>
              <w:t xml:space="preserve"> με παρόμοιο καθεστώς απασχόλησης που προσλαμβάνονται σύμφωνα με τον κατά περίπτωση Νόμο.</w:t>
            </w:r>
          </w:p>
        </w:tc>
      </w:tr>
      <w:tr w:rsidR="00B93F1B" w:rsidRPr="00145567" w14:paraId="2C568D4F" w14:textId="77777777" w:rsidTr="002E654D">
        <w:trPr>
          <w:trHeight w:val="414"/>
        </w:trPr>
        <w:tc>
          <w:tcPr>
            <w:tcW w:w="2142" w:type="dxa"/>
            <w:shd w:val="clear" w:color="auto" w:fill="auto"/>
          </w:tcPr>
          <w:p w14:paraId="6C20D25A" w14:textId="77777777" w:rsidR="00B93F1B" w:rsidRPr="0009791A" w:rsidRDefault="00B93F1B"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tcPr>
          <w:p w14:paraId="4232A7A7" w14:textId="77777777" w:rsidR="00B93F1B" w:rsidRDefault="00B93F1B"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B93F1B" w:rsidRPr="00145567" w14:paraId="15E0E59D" w14:textId="77777777" w:rsidTr="00300533">
        <w:trPr>
          <w:trHeight w:val="172"/>
        </w:trPr>
        <w:tc>
          <w:tcPr>
            <w:tcW w:w="2142" w:type="dxa"/>
            <w:shd w:val="clear" w:color="auto" w:fill="auto"/>
          </w:tcPr>
          <w:p w14:paraId="34290A02" w14:textId="77777777" w:rsidR="00B93F1B" w:rsidRPr="0009791A" w:rsidRDefault="00B93F1B"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tcPr>
          <w:p w14:paraId="2571B2B1" w14:textId="469B8520" w:rsidR="00B93F1B" w:rsidRDefault="00B93F1B"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(5)</w:t>
            </w: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 xml:space="preserve">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 </w:t>
            </w:r>
          </w:p>
        </w:tc>
      </w:tr>
      <w:tr w:rsidR="0009791A" w:rsidRPr="00145567" w14:paraId="024210EF" w14:textId="77777777" w:rsidTr="002E654D">
        <w:trPr>
          <w:trHeight w:val="414"/>
        </w:trPr>
        <w:tc>
          <w:tcPr>
            <w:tcW w:w="2142" w:type="dxa"/>
            <w:shd w:val="clear" w:color="auto" w:fill="auto"/>
            <w:noWrap/>
            <w:vAlign w:val="bottom"/>
            <w:hideMark/>
          </w:tcPr>
          <w:p w14:paraId="7E9D5313"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noWrap/>
            <w:vAlign w:val="bottom"/>
            <w:hideMark/>
          </w:tcPr>
          <w:p w14:paraId="44FB92F8"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highlight w:val="yellow"/>
                <w:lang w:val="el-GR"/>
              </w:rPr>
            </w:pPr>
          </w:p>
        </w:tc>
      </w:tr>
      <w:tr w:rsidR="0009791A" w:rsidRPr="00145567" w14:paraId="35D0F6E0" w14:textId="77777777" w:rsidTr="00B94914">
        <w:trPr>
          <w:trHeight w:val="1134"/>
        </w:trPr>
        <w:tc>
          <w:tcPr>
            <w:tcW w:w="2142" w:type="dxa"/>
            <w:shd w:val="clear" w:color="auto" w:fill="auto"/>
            <w:hideMark/>
          </w:tcPr>
          <w:p w14:paraId="0C1872FC" w14:textId="77777777" w:rsidR="00B93F1B"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 xml:space="preserve">Απαγόρευση προσλήψεων εκτάκτων υπαλλήλων και πρόσθετου έκτακτου προσωπικού </w:t>
            </w:r>
          </w:p>
          <w:p w14:paraId="3B905653" w14:textId="574EFBA3"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highlight w:val="yellow"/>
                <w:lang w:val="el-GR"/>
              </w:rPr>
            </w:pPr>
            <w:r w:rsidRPr="0009791A">
              <w:rPr>
                <w:rFonts w:ascii="Arial" w:eastAsia="Times New Roman" w:hAnsi="Arial" w:cs="Arial"/>
                <w:color w:val="000000"/>
                <w:sz w:val="24"/>
                <w:szCs w:val="24"/>
                <w:lang w:val="el-GR"/>
              </w:rPr>
              <w:lastRenderedPageBreak/>
              <w:t>για την κάλυψη έκτακτων και εποχιακών αναγκών.</w:t>
            </w:r>
          </w:p>
        </w:tc>
        <w:tc>
          <w:tcPr>
            <w:tcW w:w="7362" w:type="dxa"/>
            <w:gridSpan w:val="4"/>
            <w:shd w:val="clear" w:color="auto" w:fill="auto"/>
            <w:hideMark/>
          </w:tcPr>
          <w:p w14:paraId="3043D862" w14:textId="1D33A190"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B93F1B">
              <w:rPr>
                <w:rFonts w:ascii="Arial" w:eastAsia="Times New Roman" w:hAnsi="Arial" w:cs="Arial"/>
                <w:bCs/>
                <w:color w:val="000000"/>
                <w:sz w:val="24"/>
                <w:szCs w:val="24"/>
                <w:lang w:val="el-GR"/>
              </w:rPr>
              <w:lastRenderedPageBreak/>
              <w:t>8.</w:t>
            </w:r>
            <w:r w:rsidR="00B93F1B">
              <w:rPr>
                <w:rFonts w:ascii="Arial" w:eastAsia="Times New Roman" w:hAnsi="Arial" w:cs="Arial"/>
                <w:bCs/>
                <w:color w:val="000000"/>
                <w:sz w:val="24"/>
                <w:szCs w:val="24"/>
                <w:lang w:val="el-GR"/>
              </w:rPr>
              <w:tab/>
            </w:r>
            <w:r w:rsidR="00B93F1B">
              <w:rPr>
                <w:rFonts w:ascii="Arial" w:eastAsia="Times New Roman" w:hAnsi="Arial" w:cs="Arial"/>
                <w:bCs/>
                <w:color w:val="000000"/>
                <w:sz w:val="24"/>
                <w:szCs w:val="24"/>
                <w:lang w:val="el-GR"/>
              </w:rPr>
              <w:tab/>
            </w:r>
            <w:r w:rsidRPr="0009791A">
              <w:rPr>
                <w:rFonts w:ascii="Arial" w:eastAsia="Times New Roman" w:hAnsi="Arial" w:cs="Arial"/>
                <w:color w:val="000000"/>
                <w:sz w:val="24"/>
                <w:szCs w:val="24"/>
                <w:lang w:val="el-GR"/>
              </w:rPr>
              <w:t xml:space="preserve">Ανεξαρτήτως των διατάξεων του παρόντος Νόμου ή οποιουδήποτε άλλου Νόμου ή Κανονισμών που εκδίδονται δυνάμει αυτού, ουδεμία δαπάνη διενεργείται για την πρόσληψη πρόσθετων εκτάκτων υπαλλήλων και πρόσθετου έκτακτου προσωπικού για την κάλυψη εποχιακών αναγκών σε αριθμό που να υπερβαίνει τον αριθμό του υπηρετούντος προσωπικού για εποχιακές ανάγκες κατά το έτος 2022 και πρόσθετων προσώπων για την κάλυψη </w:t>
            </w:r>
            <w:r w:rsidRPr="0009791A">
              <w:rPr>
                <w:rFonts w:ascii="Arial" w:eastAsia="Times New Roman" w:hAnsi="Arial" w:cs="Arial"/>
                <w:color w:val="000000"/>
                <w:sz w:val="24"/>
                <w:szCs w:val="24"/>
                <w:lang w:val="el-GR"/>
              </w:rPr>
              <w:lastRenderedPageBreak/>
              <w:t xml:space="preserve">έκτακτων αναγκών για χρονικό διάστημα που δεν υπερβαίνει κατ' ανώτατο όριο τις δεκαπέντε (15) εργάσιμες μέρες:  </w:t>
            </w:r>
          </w:p>
        </w:tc>
      </w:tr>
      <w:tr w:rsidR="0009791A" w:rsidRPr="00145567" w14:paraId="7F9453FF" w14:textId="77777777" w:rsidTr="002E654D">
        <w:trPr>
          <w:trHeight w:val="414"/>
        </w:trPr>
        <w:tc>
          <w:tcPr>
            <w:tcW w:w="2142" w:type="dxa"/>
            <w:shd w:val="clear" w:color="auto" w:fill="auto"/>
            <w:hideMark/>
          </w:tcPr>
          <w:p w14:paraId="2C9BCFF6"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highlight w:val="yellow"/>
                <w:lang w:val="el-GR"/>
              </w:rPr>
            </w:pPr>
          </w:p>
        </w:tc>
        <w:tc>
          <w:tcPr>
            <w:tcW w:w="7362" w:type="dxa"/>
            <w:gridSpan w:val="4"/>
            <w:shd w:val="clear" w:color="auto" w:fill="auto"/>
            <w:hideMark/>
          </w:tcPr>
          <w:p w14:paraId="577D5E37"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4702FE05" w14:textId="77777777" w:rsidTr="00300533">
        <w:trPr>
          <w:trHeight w:val="720"/>
        </w:trPr>
        <w:tc>
          <w:tcPr>
            <w:tcW w:w="2142" w:type="dxa"/>
            <w:shd w:val="clear" w:color="auto" w:fill="auto"/>
            <w:noWrap/>
            <w:vAlign w:val="bottom"/>
            <w:hideMark/>
          </w:tcPr>
          <w:p w14:paraId="78674CAD"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hideMark/>
          </w:tcPr>
          <w:p w14:paraId="40B6FC8A" w14:textId="548F7E06" w:rsidR="0009791A" w:rsidRPr="0009791A" w:rsidRDefault="008035E1"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Νοείται ότι, οι διατάξεις του παρόντος άρθρου δεν επηρεάζουν με οποιο</w:t>
            </w:r>
            <w:r w:rsidR="00AC3310">
              <w:rPr>
                <w:rFonts w:ascii="Arial" w:eastAsia="Times New Roman" w:hAnsi="Arial" w:cs="Arial"/>
                <w:color w:val="000000"/>
                <w:sz w:val="24"/>
                <w:szCs w:val="24"/>
                <w:lang w:val="el-GR"/>
              </w:rPr>
              <w:t>ν</w:t>
            </w:r>
            <w:r w:rsidR="0009791A" w:rsidRPr="0009791A">
              <w:rPr>
                <w:rFonts w:ascii="Arial" w:eastAsia="Times New Roman" w:hAnsi="Arial" w:cs="Arial"/>
                <w:color w:val="000000"/>
                <w:sz w:val="24"/>
                <w:szCs w:val="24"/>
                <w:lang w:val="el-GR"/>
              </w:rPr>
              <w:t>δήποτε τρόπο την ανανέωση συμβολαίων υπηρετούντων εκτάκτων υπαλλήλων ή προσώπων για κάλυψη εποχιακών ή εκτάκτων αναγκών.</w:t>
            </w:r>
          </w:p>
        </w:tc>
      </w:tr>
      <w:tr w:rsidR="0009791A" w:rsidRPr="00145567" w14:paraId="146A4CDF" w14:textId="77777777" w:rsidTr="002E654D">
        <w:trPr>
          <w:trHeight w:val="414"/>
        </w:trPr>
        <w:tc>
          <w:tcPr>
            <w:tcW w:w="2142" w:type="dxa"/>
            <w:shd w:val="clear" w:color="auto" w:fill="auto"/>
            <w:noWrap/>
            <w:vAlign w:val="bottom"/>
            <w:hideMark/>
          </w:tcPr>
          <w:p w14:paraId="58D7CF05"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highlight w:val="yellow"/>
                <w:lang w:val="el-GR"/>
              </w:rPr>
            </w:pPr>
          </w:p>
        </w:tc>
        <w:tc>
          <w:tcPr>
            <w:tcW w:w="7362" w:type="dxa"/>
            <w:gridSpan w:val="4"/>
            <w:shd w:val="clear" w:color="auto" w:fill="auto"/>
            <w:noWrap/>
            <w:vAlign w:val="bottom"/>
            <w:hideMark/>
          </w:tcPr>
          <w:p w14:paraId="7CBA5C0D"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highlight w:val="yellow"/>
                <w:lang w:val="el-GR"/>
              </w:rPr>
            </w:pPr>
          </w:p>
        </w:tc>
      </w:tr>
      <w:tr w:rsidR="00300533" w:rsidRPr="00145567" w14:paraId="6CAB09A9" w14:textId="77777777" w:rsidTr="00300533">
        <w:trPr>
          <w:trHeight w:val="5796"/>
        </w:trPr>
        <w:tc>
          <w:tcPr>
            <w:tcW w:w="2142" w:type="dxa"/>
            <w:shd w:val="clear" w:color="auto" w:fill="auto"/>
            <w:hideMark/>
          </w:tcPr>
          <w:p w14:paraId="4D13BB16" w14:textId="77777777" w:rsidR="00300533" w:rsidRPr="0009791A" w:rsidRDefault="00300533"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Απαγόρευση σύναψης σύμβασης ή συμφωνίας για σκοπούς παροχής άτοκου δανείου για απόκτηση ιδιωτικού οχήματος από το προσωπικό της Αρχής Ηλεκτρισμού Κύπρου.</w:t>
            </w:r>
          </w:p>
        </w:tc>
        <w:tc>
          <w:tcPr>
            <w:tcW w:w="7362" w:type="dxa"/>
            <w:gridSpan w:val="4"/>
            <w:shd w:val="clear" w:color="auto" w:fill="auto"/>
            <w:hideMark/>
          </w:tcPr>
          <w:p w14:paraId="71769124" w14:textId="6AC73B63" w:rsidR="00300533" w:rsidRPr="0009791A" w:rsidRDefault="00300533"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804B6E">
              <w:rPr>
                <w:rFonts w:ascii="Arial" w:eastAsia="Times New Roman" w:hAnsi="Arial" w:cs="Arial"/>
                <w:bCs/>
                <w:color w:val="000000"/>
                <w:sz w:val="24"/>
                <w:szCs w:val="24"/>
                <w:lang w:val="el-GR"/>
              </w:rPr>
              <w:t>9.</w:t>
            </w:r>
            <w:r>
              <w:rPr>
                <w:rFonts w:ascii="Arial" w:eastAsia="Times New Roman" w:hAnsi="Arial" w:cs="Arial"/>
                <w:bCs/>
                <w:color w:val="000000"/>
                <w:sz w:val="24"/>
                <w:szCs w:val="24"/>
                <w:lang w:val="el-GR"/>
              </w:rPr>
              <w:tab/>
            </w:r>
            <w:r>
              <w:rPr>
                <w:rFonts w:ascii="Arial" w:eastAsia="Times New Roman" w:hAnsi="Arial" w:cs="Arial"/>
                <w:bCs/>
                <w:color w:val="000000"/>
                <w:sz w:val="24"/>
                <w:szCs w:val="24"/>
                <w:lang w:val="el-GR"/>
              </w:rPr>
              <w:tab/>
            </w:r>
            <w:r w:rsidRPr="0009791A">
              <w:rPr>
                <w:rFonts w:ascii="Arial" w:eastAsia="Times New Roman" w:hAnsi="Arial" w:cs="Arial"/>
                <w:color w:val="000000"/>
                <w:sz w:val="24"/>
                <w:szCs w:val="24"/>
                <w:lang w:val="el-GR"/>
              </w:rPr>
              <w:t>Ανεξαρτήτως των διατάξεων οποιουδήποτε άλλου Νόμου ή Κανονισμών ή οποιασδήποτε άλλης σύμβασης ή συμφωνίας, ουδεμία δαπάνη ή/και σύναψη σύμβασης ή συμφωνίας δύναται να διενεργηθεί για σκοπούς παροχής άτοκου δανείου σε σχέση με την αγορά ιδιωτικού μηχανοκινήτου οχήματος από το προσωπικό της Αρχής Ηλεκτρισμού Κύπρου:</w:t>
            </w:r>
          </w:p>
        </w:tc>
      </w:tr>
      <w:tr w:rsidR="00300533" w:rsidRPr="00145567" w14:paraId="1F0E9E5D" w14:textId="77777777" w:rsidTr="002E654D">
        <w:trPr>
          <w:trHeight w:val="414"/>
        </w:trPr>
        <w:tc>
          <w:tcPr>
            <w:tcW w:w="2142" w:type="dxa"/>
            <w:shd w:val="clear" w:color="auto" w:fill="auto"/>
          </w:tcPr>
          <w:p w14:paraId="26999077" w14:textId="77777777" w:rsidR="00300533" w:rsidRPr="0009791A" w:rsidRDefault="00300533"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6C47F1A8" w14:textId="77777777" w:rsidR="00300533" w:rsidRPr="0009791A" w:rsidRDefault="00300533"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300533" w:rsidRPr="00145567" w14:paraId="7DF72008" w14:textId="77777777" w:rsidTr="00300533">
        <w:trPr>
          <w:trHeight w:val="212"/>
        </w:trPr>
        <w:tc>
          <w:tcPr>
            <w:tcW w:w="2142" w:type="dxa"/>
            <w:shd w:val="clear" w:color="auto" w:fill="auto"/>
          </w:tcPr>
          <w:p w14:paraId="502A71B5" w14:textId="77777777" w:rsidR="00300533" w:rsidRPr="0009791A" w:rsidRDefault="00300533"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07590A91" w14:textId="78581286" w:rsidR="00300533" w:rsidRPr="0009791A" w:rsidRDefault="00300533" w:rsidP="002E654D">
            <w:pPr>
              <w:widowControl w:val="0"/>
              <w:tabs>
                <w:tab w:val="left" w:pos="284"/>
                <w:tab w:val="left" w:pos="567"/>
              </w:tabs>
              <w:spacing w:after="0" w:line="360" w:lineRule="auto"/>
              <w:jc w:val="both"/>
              <w:rPr>
                <w:rFonts w:ascii="Arial" w:eastAsia="Times New Roman" w:hAnsi="Arial" w:cs="Arial"/>
                <w:b/>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Νοείται ότι, προκαταβολή για την αγορά μηχανοκίνητου οχήματος δύναται να παραχωρηθεί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p>
        </w:tc>
      </w:tr>
      <w:tr w:rsidR="00300533" w:rsidRPr="00145567" w14:paraId="0B38F4C2" w14:textId="77777777" w:rsidTr="00300533">
        <w:trPr>
          <w:trHeight w:val="218"/>
        </w:trPr>
        <w:tc>
          <w:tcPr>
            <w:tcW w:w="2142" w:type="dxa"/>
            <w:shd w:val="clear" w:color="auto" w:fill="auto"/>
          </w:tcPr>
          <w:p w14:paraId="3C58BE72" w14:textId="77777777" w:rsidR="00300533" w:rsidRPr="0009791A" w:rsidRDefault="00300533"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338EE020" w14:textId="77777777" w:rsidR="00300533" w:rsidRPr="0009791A" w:rsidRDefault="00300533" w:rsidP="002E654D">
            <w:pPr>
              <w:widowControl w:val="0"/>
              <w:tabs>
                <w:tab w:val="left" w:pos="284"/>
                <w:tab w:val="left" w:pos="567"/>
              </w:tabs>
              <w:spacing w:after="0" w:line="360" w:lineRule="auto"/>
              <w:jc w:val="both"/>
              <w:rPr>
                <w:rFonts w:ascii="Arial" w:eastAsia="Times New Roman" w:hAnsi="Arial" w:cs="Arial"/>
                <w:b/>
                <w:color w:val="000000"/>
                <w:sz w:val="24"/>
                <w:szCs w:val="24"/>
                <w:lang w:val="el-GR"/>
              </w:rPr>
            </w:pPr>
          </w:p>
        </w:tc>
      </w:tr>
      <w:tr w:rsidR="0009791A" w:rsidRPr="00145567" w14:paraId="60FD333E" w14:textId="77777777" w:rsidTr="00300533">
        <w:trPr>
          <w:trHeight w:val="1455"/>
        </w:trPr>
        <w:tc>
          <w:tcPr>
            <w:tcW w:w="2142" w:type="dxa"/>
            <w:shd w:val="clear" w:color="auto" w:fill="auto"/>
            <w:hideMark/>
          </w:tcPr>
          <w:p w14:paraId="4A66D725"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highlight w:val="yellow"/>
                <w:lang w:val="el-GR"/>
              </w:rPr>
            </w:pPr>
            <w:r w:rsidRPr="0009791A">
              <w:rPr>
                <w:rFonts w:ascii="Arial" w:eastAsia="Times New Roman" w:hAnsi="Arial" w:cs="Arial"/>
                <w:color w:val="000000"/>
                <w:sz w:val="24"/>
                <w:szCs w:val="24"/>
                <w:lang w:val="el-GR"/>
              </w:rPr>
              <w:t>Αναπροσαρμογή του ύψους των απολαβών.</w:t>
            </w:r>
          </w:p>
        </w:tc>
        <w:tc>
          <w:tcPr>
            <w:tcW w:w="7362" w:type="dxa"/>
            <w:gridSpan w:val="4"/>
            <w:shd w:val="clear" w:color="auto" w:fill="auto"/>
            <w:hideMark/>
          </w:tcPr>
          <w:p w14:paraId="6B3B6777" w14:textId="4F5BD8B1" w:rsidR="0009791A" w:rsidRPr="0009791A" w:rsidRDefault="0009791A" w:rsidP="002E654D">
            <w:pPr>
              <w:widowControl w:val="0"/>
              <w:tabs>
                <w:tab w:val="left" w:pos="284"/>
                <w:tab w:val="left" w:pos="794"/>
              </w:tabs>
              <w:spacing w:after="0" w:line="360" w:lineRule="auto"/>
              <w:jc w:val="both"/>
              <w:rPr>
                <w:rFonts w:ascii="Arial" w:eastAsia="Times New Roman" w:hAnsi="Arial" w:cs="Arial"/>
                <w:color w:val="000000"/>
                <w:sz w:val="24"/>
                <w:szCs w:val="24"/>
                <w:lang w:val="el-GR"/>
              </w:rPr>
            </w:pPr>
            <w:r w:rsidRPr="00300533">
              <w:rPr>
                <w:rFonts w:ascii="Arial" w:eastAsia="Times New Roman" w:hAnsi="Arial" w:cs="Arial"/>
                <w:bCs/>
                <w:color w:val="000000"/>
                <w:sz w:val="24"/>
                <w:szCs w:val="24"/>
                <w:lang w:val="el-GR"/>
              </w:rPr>
              <w:t>10.-(</w:t>
            </w:r>
            <w:r w:rsidRPr="0009791A">
              <w:rPr>
                <w:rFonts w:ascii="Arial" w:eastAsia="Times New Roman" w:hAnsi="Arial" w:cs="Arial"/>
                <w:color w:val="000000"/>
                <w:sz w:val="24"/>
                <w:szCs w:val="24"/>
                <w:lang w:val="el-GR"/>
              </w:rPr>
              <w:t>1)</w:t>
            </w:r>
            <w:r w:rsidR="00300533">
              <w:rPr>
                <w:rFonts w:ascii="Arial" w:eastAsia="Times New Roman" w:hAnsi="Arial" w:cs="Arial"/>
                <w:color w:val="000000"/>
                <w:sz w:val="24"/>
                <w:szCs w:val="24"/>
                <w:lang w:val="el-GR"/>
              </w:rPr>
              <w:tab/>
            </w:r>
            <w:r w:rsidRPr="0009791A">
              <w:rPr>
                <w:rFonts w:ascii="Arial" w:eastAsia="Times New Roman" w:hAnsi="Arial" w:cs="Arial"/>
                <w:color w:val="000000"/>
                <w:sz w:val="24"/>
                <w:szCs w:val="24"/>
                <w:lang w:val="el-GR"/>
              </w:rPr>
              <w:t xml:space="preserve">Ανεξαρτήτως των διατάξεων οποιουδήποτε άλλου Νόμου ή Κανονισμών που ρυθμίζουν θέματα μισθοδοσίας, ο μισθός ή η αντιμισθία ή η αποζημίωση ή η χορηγία των αξιωματούχων και των υπαλλήλων της Αρχής Ηλεκτρισμού Κύπρου οποιασδήποτε </w:t>
            </w:r>
            <w:r w:rsidRPr="0009791A">
              <w:rPr>
                <w:rFonts w:ascii="Arial" w:eastAsia="Times New Roman" w:hAnsi="Arial" w:cs="Arial"/>
                <w:color w:val="000000"/>
                <w:sz w:val="24"/>
                <w:szCs w:val="24"/>
                <w:lang w:val="el-GR"/>
              </w:rPr>
              <w:lastRenderedPageBreak/>
              <w:t xml:space="preserve">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στην Αρχή Ηλεκτρισμού Κύπρου, ανάλογα με την υπηρεσία </w:t>
            </w:r>
            <w:proofErr w:type="spellStart"/>
            <w:r w:rsidRPr="0009791A">
              <w:rPr>
                <w:rFonts w:ascii="Arial" w:eastAsia="Times New Roman" w:hAnsi="Arial" w:cs="Arial"/>
                <w:color w:val="000000"/>
                <w:sz w:val="24"/>
                <w:szCs w:val="24"/>
                <w:lang w:val="el-GR"/>
              </w:rPr>
              <w:t>έκαστου</w:t>
            </w:r>
            <w:proofErr w:type="spellEnd"/>
            <w:r w:rsidRPr="0009791A">
              <w:rPr>
                <w:rFonts w:ascii="Arial" w:eastAsia="Times New Roman" w:hAnsi="Arial" w:cs="Arial"/>
                <w:color w:val="000000"/>
                <w:sz w:val="24"/>
                <w:szCs w:val="24"/>
                <w:lang w:val="el-GR"/>
              </w:rPr>
              <w:t xml:space="preserve"> αξιωματούχου ή υπαλλήλου.</w:t>
            </w:r>
          </w:p>
        </w:tc>
      </w:tr>
      <w:tr w:rsidR="0009791A" w:rsidRPr="00145567" w14:paraId="56209152" w14:textId="77777777" w:rsidTr="002E654D">
        <w:trPr>
          <w:trHeight w:val="414"/>
        </w:trPr>
        <w:tc>
          <w:tcPr>
            <w:tcW w:w="2142" w:type="dxa"/>
            <w:shd w:val="clear" w:color="auto" w:fill="auto"/>
            <w:noWrap/>
            <w:vAlign w:val="bottom"/>
            <w:hideMark/>
          </w:tcPr>
          <w:p w14:paraId="6CA3CAD4"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highlight w:val="yellow"/>
                <w:lang w:val="el-GR"/>
              </w:rPr>
            </w:pPr>
          </w:p>
        </w:tc>
        <w:tc>
          <w:tcPr>
            <w:tcW w:w="7362" w:type="dxa"/>
            <w:gridSpan w:val="4"/>
            <w:shd w:val="clear" w:color="auto" w:fill="auto"/>
            <w:hideMark/>
          </w:tcPr>
          <w:p w14:paraId="0EC27C20" w14:textId="77777777" w:rsidR="0009791A" w:rsidRPr="0009791A" w:rsidRDefault="0009791A"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0F43288E" w14:textId="77777777" w:rsidTr="00300533">
        <w:trPr>
          <w:trHeight w:val="525"/>
        </w:trPr>
        <w:tc>
          <w:tcPr>
            <w:tcW w:w="2142" w:type="dxa"/>
            <w:shd w:val="clear" w:color="auto" w:fill="auto"/>
            <w:noWrap/>
            <w:vAlign w:val="bottom"/>
            <w:hideMark/>
          </w:tcPr>
          <w:p w14:paraId="3A73CB62"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highlight w:val="yellow"/>
                <w:lang w:val="el-GR"/>
              </w:rPr>
            </w:pPr>
          </w:p>
        </w:tc>
        <w:tc>
          <w:tcPr>
            <w:tcW w:w="7362" w:type="dxa"/>
            <w:gridSpan w:val="4"/>
            <w:shd w:val="clear" w:color="auto" w:fill="auto"/>
            <w:hideMark/>
          </w:tcPr>
          <w:p w14:paraId="61A843F0" w14:textId="6CCDF086" w:rsidR="0009791A" w:rsidRPr="0009791A" w:rsidRDefault="00300533" w:rsidP="002E654D">
            <w:pPr>
              <w:widowControl w:val="0"/>
              <w:tabs>
                <w:tab w:val="left" w:pos="284"/>
                <w:tab w:val="left" w:pos="794"/>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(2)</w:t>
            </w: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Ο</w:t>
            </w:r>
            <w:r>
              <w:rPr>
                <w:rFonts w:ascii="Arial" w:eastAsia="Times New Roman" w:hAnsi="Arial" w:cs="Arial"/>
                <w:color w:val="000000"/>
                <w:sz w:val="24"/>
                <w:szCs w:val="24"/>
                <w:lang w:val="el-GR"/>
              </w:rPr>
              <w:t xml:space="preserve"> </w:t>
            </w:r>
            <w:r w:rsidR="0009791A" w:rsidRPr="0009791A">
              <w:rPr>
                <w:rFonts w:ascii="Arial" w:eastAsia="Times New Roman" w:hAnsi="Arial" w:cs="Arial"/>
                <w:color w:val="000000"/>
                <w:sz w:val="24"/>
                <w:szCs w:val="24"/>
                <w:lang w:val="el-GR"/>
              </w:rPr>
              <w:t>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tc>
      </w:tr>
      <w:tr w:rsidR="0009791A" w:rsidRPr="00145567" w14:paraId="7608B0FE" w14:textId="77777777" w:rsidTr="002E654D">
        <w:trPr>
          <w:trHeight w:val="414"/>
        </w:trPr>
        <w:tc>
          <w:tcPr>
            <w:tcW w:w="2142" w:type="dxa"/>
            <w:shd w:val="clear" w:color="auto" w:fill="auto"/>
            <w:noWrap/>
            <w:vAlign w:val="bottom"/>
            <w:hideMark/>
          </w:tcPr>
          <w:p w14:paraId="1E778550"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highlight w:val="yellow"/>
                <w:lang w:val="el-GR"/>
              </w:rPr>
            </w:pPr>
          </w:p>
        </w:tc>
        <w:tc>
          <w:tcPr>
            <w:tcW w:w="7362" w:type="dxa"/>
            <w:gridSpan w:val="4"/>
            <w:shd w:val="clear" w:color="auto" w:fill="auto"/>
            <w:noWrap/>
            <w:vAlign w:val="bottom"/>
            <w:hideMark/>
          </w:tcPr>
          <w:p w14:paraId="029DAD29"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highlight w:val="yellow"/>
                <w:lang w:val="el-GR"/>
              </w:rPr>
            </w:pPr>
          </w:p>
        </w:tc>
      </w:tr>
      <w:tr w:rsidR="0009791A" w:rsidRPr="00145567" w14:paraId="3DC68D6A" w14:textId="77777777" w:rsidTr="00300533">
        <w:trPr>
          <w:trHeight w:val="585"/>
        </w:trPr>
        <w:tc>
          <w:tcPr>
            <w:tcW w:w="2142" w:type="dxa"/>
            <w:shd w:val="clear" w:color="auto" w:fill="auto"/>
            <w:hideMark/>
          </w:tcPr>
          <w:p w14:paraId="467AFBD5"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highlight w:val="yellow"/>
              </w:rPr>
            </w:pPr>
            <w:proofErr w:type="spellStart"/>
            <w:r w:rsidRPr="0009791A">
              <w:rPr>
                <w:rFonts w:ascii="Arial" w:eastAsia="Times New Roman" w:hAnsi="Arial" w:cs="Arial"/>
                <w:color w:val="000000"/>
                <w:sz w:val="24"/>
                <w:szCs w:val="24"/>
              </w:rPr>
              <w:t>Φορολόγηση</w:t>
            </w:r>
            <w:proofErr w:type="spellEnd"/>
            <w:r w:rsidRPr="0009791A">
              <w:rPr>
                <w:rFonts w:ascii="Arial" w:eastAsia="Times New Roman" w:hAnsi="Arial" w:cs="Arial"/>
                <w:color w:val="000000"/>
                <w:sz w:val="24"/>
                <w:szCs w:val="24"/>
              </w:rPr>
              <w:t xml:space="preserve"> επ</w:t>
            </w:r>
            <w:proofErr w:type="spellStart"/>
            <w:r w:rsidRPr="0009791A">
              <w:rPr>
                <w:rFonts w:ascii="Arial" w:eastAsia="Times New Roman" w:hAnsi="Arial" w:cs="Arial"/>
                <w:color w:val="000000"/>
                <w:sz w:val="24"/>
                <w:szCs w:val="24"/>
              </w:rPr>
              <w:t>ιδομ</w:t>
            </w:r>
            <w:r w:rsidRPr="0009791A">
              <w:rPr>
                <w:rFonts w:ascii="Arial" w:eastAsia="Times New Roman" w:hAnsi="Arial" w:cs="Arial"/>
                <w:color w:val="000000"/>
                <w:sz w:val="24"/>
                <w:szCs w:val="24"/>
                <w:lang w:val="el-GR"/>
              </w:rPr>
              <w:t>άτων</w:t>
            </w:r>
            <w:proofErr w:type="spellEnd"/>
            <w:r w:rsidRPr="0009791A">
              <w:rPr>
                <w:rFonts w:ascii="Arial" w:eastAsia="Times New Roman" w:hAnsi="Arial" w:cs="Arial"/>
                <w:color w:val="000000"/>
                <w:sz w:val="24"/>
                <w:szCs w:val="24"/>
              </w:rPr>
              <w:t>.</w:t>
            </w:r>
          </w:p>
        </w:tc>
        <w:tc>
          <w:tcPr>
            <w:tcW w:w="7362" w:type="dxa"/>
            <w:gridSpan w:val="4"/>
            <w:shd w:val="clear" w:color="auto" w:fill="auto"/>
            <w:hideMark/>
          </w:tcPr>
          <w:p w14:paraId="5D771DFE" w14:textId="53624CDC" w:rsidR="0009791A" w:rsidRPr="0009791A" w:rsidRDefault="0009791A" w:rsidP="00020D88">
            <w:pPr>
              <w:widowControl w:val="0"/>
              <w:tabs>
                <w:tab w:val="left" w:pos="284"/>
                <w:tab w:val="left" w:pos="567"/>
                <w:tab w:val="left" w:pos="794"/>
              </w:tabs>
              <w:spacing w:after="0" w:line="360" w:lineRule="auto"/>
              <w:jc w:val="both"/>
              <w:rPr>
                <w:rFonts w:ascii="Arial" w:eastAsia="Times New Roman" w:hAnsi="Arial" w:cs="Arial"/>
                <w:color w:val="000000"/>
                <w:sz w:val="24"/>
                <w:szCs w:val="24"/>
                <w:highlight w:val="yellow"/>
                <w:lang w:val="el-GR"/>
              </w:rPr>
            </w:pPr>
            <w:r w:rsidRPr="00300533">
              <w:rPr>
                <w:rFonts w:ascii="Arial" w:eastAsia="Times New Roman" w:hAnsi="Arial" w:cs="Arial"/>
                <w:bCs/>
                <w:color w:val="000000"/>
                <w:sz w:val="24"/>
                <w:szCs w:val="24"/>
                <w:lang w:val="el-GR"/>
              </w:rPr>
              <w:t>11.</w:t>
            </w:r>
            <w:r w:rsidR="00300533">
              <w:rPr>
                <w:rFonts w:ascii="Arial" w:eastAsia="Times New Roman" w:hAnsi="Arial" w:cs="Arial"/>
                <w:bCs/>
                <w:color w:val="000000"/>
                <w:sz w:val="24"/>
                <w:szCs w:val="24"/>
                <w:lang w:val="el-GR"/>
              </w:rPr>
              <w:tab/>
            </w:r>
            <w:r w:rsidR="00020D88">
              <w:rPr>
                <w:rFonts w:ascii="Arial" w:eastAsia="Times New Roman" w:hAnsi="Arial" w:cs="Arial"/>
                <w:bCs/>
                <w:color w:val="000000"/>
                <w:sz w:val="24"/>
                <w:szCs w:val="24"/>
                <w:lang w:val="el-GR"/>
              </w:rPr>
              <w:tab/>
            </w:r>
            <w:r w:rsidRPr="0009791A">
              <w:rPr>
                <w:rFonts w:ascii="Arial" w:eastAsia="Times New Roman" w:hAnsi="Arial" w:cs="Arial"/>
                <w:color w:val="000000"/>
                <w:sz w:val="24"/>
                <w:szCs w:val="24"/>
                <w:lang w:val="el-GR"/>
              </w:rPr>
              <w:t>Ανεξαρτήτως των διατάξεων οποιουδήποτε άλλου Νόμου ή Κανονισμών, τα επιδόματα παραστάσεως και φιλοξενίας υπόκεινται σε φόρο εισοδήματος.</w:t>
            </w:r>
          </w:p>
        </w:tc>
      </w:tr>
      <w:tr w:rsidR="00300533" w:rsidRPr="00145567" w14:paraId="15BA4A4F" w14:textId="77777777" w:rsidTr="002E654D">
        <w:trPr>
          <w:trHeight w:val="414"/>
        </w:trPr>
        <w:tc>
          <w:tcPr>
            <w:tcW w:w="2142" w:type="dxa"/>
            <w:shd w:val="clear" w:color="auto" w:fill="auto"/>
          </w:tcPr>
          <w:p w14:paraId="783909B3" w14:textId="77777777" w:rsidR="00300533" w:rsidRPr="003440BE" w:rsidRDefault="00300533"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3F360067" w14:textId="77777777" w:rsidR="00300533" w:rsidRPr="00300533" w:rsidRDefault="00300533" w:rsidP="002E654D">
            <w:pPr>
              <w:widowControl w:val="0"/>
              <w:tabs>
                <w:tab w:val="left" w:pos="284"/>
                <w:tab w:val="left" w:pos="567"/>
              </w:tabs>
              <w:spacing w:after="0" w:line="360" w:lineRule="auto"/>
              <w:jc w:val="both"/>
              <w:rPr>
                <w:rFonts w:ascii="Arial" w:eastAsia="Times New Roman" w:hAnsi="Arial" w:cs="Arial"/>
                <w:bCs/>
                <w:color w:val="000000"/>
                <w:sz w:val="24"/>
                <w:szCs w:val="24"/>
                <w:lang w:val="el-GR"/>
              </w:rPr>
            </w:pPr>
          </w:p>
        </w:tc>
      </w:tr>
      <w:tr w:rsidR="00300533" w:rsidRPr="00145567" w14:paraId="28503EF8" w14:textId="77777777" w:rsidTr="00300533">
        <w:trPr>
          <w:trHeight w:val="5382"/>
        </w:trPr>
        <w:tc>
          <w:tcPr>
            <w:tcW w:w="2142" w:type="dxa"/>
            <w:shd w:val="clear" w:color="auto" w:fill="auto"/>
            <w:hideMark/>
          </w:tcPr>
          <w:p w14:paraId="4884DC41" w14:textId="77777777" w:rsidR="00300533" w:rsidRDefault="00300533" w:rsidP="002E654D">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Απαγόρευση απασχόλησης συνταξιούχων προσώπων.</w:t>
            </w:r>
          </w:p>
          <w:p w14:paraId="746F837F" w14:textId="4DCEF0DE" w:rsidR="00300533" w:rsidRDefault="00300533"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97(Ι) του 1997</w:t>
            </w:r>
          </w:p>
          <w:p w14:paraId="1DAE3454" w14:textId="77777777" w:rsidR="00300533" w:rsidRDefault="00300533"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3(Ι) του 1998</w:t>
            </w:r>
          </w:p>
          <w:p w14:paraId="4CB73018" w14:textId="01D684B8" w:rsidR="00300533" w:rsidRDefault="00300533"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77(Ι) του 1999</w:t>
            </w:r>
          </w:p>
          <w:p w14:paraId="0608D438" w14:textId="77777777" w:rsidR="00300533" w:rsidRDefault="00300533"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141(Ι) του 2001</w:t>
            </w:r>
          </w:p>
          <w:p w14:paraId="1D21C197" w14:textId="77777777" w:rsidR="00300533" w:rsidRPr="0009791A" w:rsidRDefault="00300533"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69(Ι) του 2005</w:t>
            </w:r>
          </w:p>
          <w:p w14:paraId="330C7D79" w14:textId="77777777" w:rsidR="00300533" w:rsidRDefault="00300533"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37(Ι) του 2010</w:t>
            </w:r>
          </w:p>
          <w:p w14:paraId="0136469B" w14:textId="77777777" w:rsidR="00300533" w:rsidRDefault="00300533"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94(Ι) του 2010</w:t>
            </w:r>
          </w:p>
          <w:p w14:paraId="1A3F4BE7" w14:textId="77777777" w:rsidR="00300533" w:rsidRDefault="00300533" w:rsidP="002E654D">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31(Ι) του 2012</w:t>
            </w:r>
          </w:p>
          <w:p w14:paraId="052BE3D1" w14:textId="094F9B1D" w:rsidR="00300533" w:rsidRPr="0009791A" w:rsidRDefault="00300533" w:rsidP="002E654D">
            <w:pPr>
              <w:widowControl w:val="0"/>
              <w:tabs>
                <w:tab w:val="left" w:pos="284"/>
                <w:tab w:val="left" w:pos="567"/>
              </w:tabs>
              <w:spacing w:after="0" w:line="360" w:lineRule="auto"/>
              <w:ind w:right="57"/>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131(Ι) του 2012.</w:t>
            </w:r>
          </w:p>
        </w:tc>
        <w:tc>
          <w:tcPr>
            <w:tcW w:w="7362" w:type="dxa"/>
            <w:gridSpan w:val="4"/>
            <w:shd w:val="clear" w:color="auto" w:fill="auto"/>
            <w:hideMark/>
          </w:tcPr>
          <w:p w14:paraId="57851A56" w14:textId="1FE28486" w:rsidR="00300533" w:rsidRPr="0009791A" w:rsidRDefault="00300533" w:rsidP="00020D88">
            <w:pPr>
              <w:widowControl w:val="0"/>
              <w:tabs>
                <w:tab w:val="left" w:pos="284"/>
                <w:tab w:val="left" w:pos="794"/>
              </w:tabs>
              <w:spacing w:after="0" w:line="360" w:lineRule="auto"/>
              <w:jc w:val="both"/>
              <w:rPr>
                <w:rFonts w:ascii="Arial" w:eastAsia="Times New Roman" w:hAnsi="Arial" w:cs="Arial"/>
                <w:color w:val="000000"/>
                <w:sz w:val="24"/>
                <w:szCs w:val="24"/>
                <w:lang w:val="el-GR"/>
              </w:rPr>
            </w:pPr>
            <w:r w:rsidRPr="00300533">
              <w:rPr>
                <w:rFonts w:ascii="Arial" w:eastAsia="Times New Roman" w:hAnsi="Arial" w:cs="Arial"/>
                <w:bCs/>
                <w:color w:val="000000"/>
                <w:sz w:val="24"/>
                <w:szCs w:val="24"/>
                <w:lang w:val="el-GR"/>
              </w:rPr>
              <w:t>12.</w:t>
            </w:r>
            <w:r>
              <w:rPr>
                <w:rFonts w:ascii="Arial" w:eastAsia="Times New Roman" w:hAnsi="Arial" w:cs="Arial"/>
                <w:bCs/>
                <w:color w:val="000000"/>
                <w:sz w:val="24"/>
                <w:szCs w:val="24"/>
                <w:lang w:val="el-GR"/>
              </w:rPr>
              <w:tab/>
            </w:r>
            <w:r w:rsidRPr="0009791A">
              <w:rPr>
                <w:rFonts w:ascii="Arial" w:eastAsia="Times New Roman" w:hAnsi="Arial" w:cs="Arial"/>
                <w:color w:val="000000"/>
                <w:sz w:val="24"/>
                <w:szCs w:val="24"/>
                <w:lang w:val="el-GR"/>
              </w:rPr>
              <w:t>Απαγορεύεται η διενέργεια οποιασδήποτε δαπάνης κάτω από οποιοδήποτε άρθρο και Κεφάλαιο του παρόντος Νόμου για την απασχόληση με οποιο</w:t>
            </w:r>
            <w:r w:rsidR="00AC3310">
              <w:rPr>
                <w:rFonts w:ascii="Arial" w:eastAsia="Times New Roman" w:hAnsi="Arial" w:cs="Arial"/>
                <w:color w:val="000000"/>
                <w:sz w:val="24"/>
                <w:szCs w:val="24"/>
                <w:lang w:val="el-GR"/>
              </w:rPr>
              <w:t>ν</w:t>
            </w:r>
            <w:r w:rsidRPr="0009791A">
              <w:rPr>
                <w:rFonts w:ascii="Arial" w:eastAsia="Times New Roman" w:hAnsi="Arial" w:cs="Arial"/>
                <w:color w:val="000000"/>
                <w:sz w:val="24"/>
                <w:szCs w:val="24"/>
                <w:lang w:val="el-GR"/>
              </w:rPr>
              <w:t>δήποτε τρόπο συνταξιούχου προσώπου σύμφωνα με τις διατάξεις του περί Συντάξεων Νόμου:</w:t>
            </w:r>
          </w:p>
        </w:tc>
      </w:tr>
      <w:tr w:rsidR="00300533" w:rsidRPr="00145567" w14:paraId="278930A8" w14:textId="77777777" w:rsidTr="002E654D">
        <w:trPr>
          <w:trHeight w:val="414"/>
        </w:trPr>
        <w:tc>
          <w:tcPr>
            <w:tcW w:w="2142" w:type="dxa"/>
            <w:shd w:val="clear" w:color="auto" w:fill="auto"/>
            <w:noWrap/>
            <w:vAlign w:val="bottom"/>
          </w:tcPr>
          <w:p w14:paraId="14CA509A" w14:textId="77777777" w:rsidR="00300533" w:rsidRPr="0009791A" w:rsidRDefault="00300533"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3082DDF1" w14:textId="77777777" w:rsidR="00300533" w:rsidRPr="0009791A" w:rsidRDefault="00300533"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09791A" w:rsidRPr="00145567" w14:paraId="066D65C6" w14:textId="77777777" w:rsidTr="00300533">
        <w:trPr>
          <w:trHeight w:val="510"/>
        </w:trPr>
        <w:tc>
          <w:tcPr>
            <w:tcW w:w="2142" w:type="dxa"/>
            <w:shd w:val="clear" w:color="auto" w:fill="auto"/>
            <w:noWrap/>
            <w:vAlign w:val="bottom"/>
            <w:hideMark/>
          </w:tcPr>
          <w:p w14:paraId="5C205F9C" w14:textId="77777777" w:rsidR="0009791A" w:rsidRPr="0009791A" w:rsidRDefault="0009791A"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hideMark/>
          </w:tcPr>
          <w:p w14:paraId="7786B8D3" w14:textId="6B4E9C8F" w:rsidR="0009791A" w:rsidRPr="0009791A" w:rsidRDefault="00300533" w:rsidP="00A3303F">
            <w:pPr>
              <w:widowControl w:val="0"/>
              <w:tabs>
                <w:tab w:val="left" w:pos="284"/>
                <w:tab w:val="left" w:pos="794"/>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09791A" w:rsidRPr="0009791A">
              <w:rPr>
                <w:rFonts w:ascii="Arial" w:eastAsia="Times New Roman" w:hAnsi="Arial" w:cs="Arial"/>
                <w:color w:val="000000"/>
                <w:sz w:val="24"/>
                <w:szCs w:val="24"/>
                <w:lang w:val="el-GR"/>
              </w:rPr>
              <w:t>Νοείται ότι, οι διατάξεις του παρόντος άρθρου δεν τυγχάνουν εφαρμογής αναφορικά με την απασχόληση συνταξιούχων προσώπων-</w:t>
            </w:r>
          </w:p>
        </w:tc>
      </w:tr>
      <w:tr w:rsidR="00300533" w:rsidRPr="00145567" w14:paraId="6CE60A38" w14:textId="77777777" w:rsidTr="002E654D">
        <w:trPr>
          <w:trHeight w:val="414"/>
        </w:trPr>
        <w:tc>
          <w:tcPr>
            <w:tcW w:w="2142" w:type="dxa"/>
            <w:shd w:val="clear" w:color="auto" w:fill="auto"/>
            <w:noWrap/>
            <w:vAlign w:val="bottom"/>
          </w:tcPr>
          <w:p w14:paraId="7E243FA7" w14:textId="77777777" w:rsidR="00300533" w:rsidRPr="0009791A" w:rsidRDefault="00300533" w:rsidP="002E654D">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4FAAF782" w14:textId="77777777" w:rsidR="00300533" w:rsidRDefault="00300533" w:rsidP="002E654D">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AC3310" w:rsidRPr="00300533" w14:paraId="662B3A91" w14:textId="77777777" w:rsidTr="00E100CC">
        <w:trPr>
          <w:trHeight w:val="74"/>
        </w:trPr>
        <w:tc>
          <w:tcPr>
            <w:tcW w:w="2142" w:type="dxa"/>
            <w:shd w:val="clear" w:color="auto" w:fill="auto"/>
            <w:noWrap/>
            <w:vAlign w:val="bottom"/>
          </w:tcPr>
          <w:p w14:paraId="153B1210" w14:textId="77777777" w:rsidR="00AC3310" w:rsidRPr="0009791A"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1275" w:type="dxa"/>
            <w:gridSpan w:val="2"/>
            <w:shd w:val="clear" w:color="auto" w:fill="auto"/>
          </w:tcPr>
          <w:p w14:paraId="308FF394" w14:textId="1A0BB124" w:rsidR="00AC3310" w:rsidRDefault="00E100CC" w:rsidP="00AC3310">
            <w:pPr>
              <w:widowControl w:val="0"/>
              <w:tabs>
                <w:tab w:val="left" w:pos="284"/>
                <w:tab w:val="left" w:pos="567"/>
              </w:tabs>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AC3310">
              <w:rPr>
                <w:rFonts w:ascii="Arial" w:eastAsia="Times New Roman" w:hAnsi="Arial" w:cs="Arial"/>
                <w:color w:val="000000"/>
                <w:sz w:val="24"/>
                <w:szCs w:val="24"/>
                <w:lang w:val="el-GR"/>
              </w:rPr>
              <w:t>(α)</w:t>
            </w:r>
          </w:p>
        </w:tc>
        <w:tc>
          <w:tcPr>
            <w:tcW w:w="6087" w:type="dxa"/>
            <w:gridSpan w:val="2"/>
            <w:shd w:val="clear" w:color="auto" w:fill="auto"/>
          </w:tcPr>
          <w:p w14:paraId="1630B8B8" w14:textId="67E4CC60" w:rsidR="00AC3310"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Σε πολιτειακό αξίωμα,</w:t>
            </w:r>
          </w:p>
        </w:tc>
      </w:tr>
      <w:tr w:rsidR="00AC3310" w:rsidRPr="00300533" w14:paraId="49CD189A" w14:textId="77777777" w:rsidTr="00E100CC">
        <w:trPr>
          <w:trHeight w:val="74"/>
        </w:trPr>
        <w:tc>
          <w:tcPr>
            <w:tcW w:w="2142" w:type="dxa"/>
            <w:shd w:val="clear" w:color="auto" w:fill="auto"/>
            <w:noWrap/>
            <w:vAlign w:val="bottom"/>
          </w:tcPr>
          <w:p w14:paraId="265875AF" w14:textId="77777777" w:rsidR="00AC3310" w:rsidRPr="0009791A"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1275" w:type="dxa"/>
            <w:gridSpan w:val="2"/>
            <w:shd w:val="clear" w:color="auto" w:fill="auto"/>
          </w:tcPr>
          <w:p w14:paraId="2AA78B20" w14:textId="77777777" w:rsidR="00AC3310" w:rsidRDefault="00AC3310" w:rsidP="00AC3310">
            <w:pPr>
              <w:widowControl w:val="0"/>
              <w:tabs>
                <w:tab w:val="left" w:pos="284"/>
                <w:tab w:val="left" w:pos="567"/>
              </w:tabs>
              <w:spacing w:after="0" w:line="360" w:lineRule="auto"/>
              <w:jc w:val="right"/>
              <w:rPr>
                <w:rFonts w:ascii="Arial" w:eastAsia="Times New Roman" w:hAnsi="Arial" w:cs="Arial"/>
                <w:color w:val="000000"/>
                <w:sz w:val="24"/>
                <w:szCs w:val="24"/>
                <w:lang w:val="el-GR"/>
              </w:rPr>
            </w:pPr>
          </w:p>
        </w:tc>
        <w:tc>
          <w:tcPr>
            <w:tcW w:w="1437" w:type="dxa"/>
            <w:shd w:val="clear" w:color="auto" w:fill="auto"/>
          </w:tcPr>
          <w:p w14:paraId="78910837" w14:textId="77777777" w:rsidR="00AC3310" w:rsidRDefault="00AC3310" w:rsidP="00AC3310">
            <w:pPr>
              <w:widowControl w:val="0"/>
              <w:tabs>
                <w:tab w:val="left" w:pos="284"/>
                <w:tab w:val="left" w:pos="567"/>
              </w:tabs>
              <w:spacing w:after="0" w:line="360" w:lineRule="auto"/>
              <w:jc w:val="right"/>
              <w:rPr>
                <w:rFonts w:ascii="Arial" w:eastAsia="Times New Roman" w:hAnsi="Arial" w:cs="Arial"/>
                <w:color w:val="000000"/>
                <w:sz w:val="24"/>
                <w:szCs w:val="24"/>
                <w:lang w:val="el-GR"/>
              </w:rPr>
            </w:pPr>
          </w:p>
        </w:tc>
        <w:tc>
          <w:tcPr>
            <w:tcW w:w="4650" w:type="dxa"/>
            <w:shd w:val="clear" w:color="auto" w:fill="auto"/>
          </w:tcPr>
          <w:p w14:paraId="6EF50BA8" w14:textId="77777777" w:rsidR="00AC3310" w:rsidRPr="0009791A"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AC3310" w:rsidRPr="00145567" w14:paraId="61DA7F6A" w14:textId="77777777" w:rsidTr="00E100CC">
        <w:trPr>
          <w:trHeight w:val="74"/>
        </w:trPr>
        <w:tc>
          <w:tcPr>
            <w:tcW w:w="2142" w:type="dxa"/>
            <w:shd w:val="clear" w:color="auto" w:fill="auto"/>
            <w:noWrap/>
            <w:vAlign w:val="bottom"/>
          </w:tcPr>
          <w:p w14:paraId="178A5670" w14:textId="77777777" w:rsidR="00AC3310" w:rsidRPr="0009791A"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1275" w:type="dxa"/>
            <w:gridSpan w:val="2"/>
            <w:shd w:val="clear" w:color="auto" w:fill="auto"/>
          </w:tcPr>
          <w:p w14:paraId="3122B49F" w14:textId="510A7A89" w:rsidR="00AC3310" w:rsidRDefault="00E100CC" w:rsidP="00AC3310">
            <w:pPr>
              <w:widowControl w:val="0"/>
              <w:tabs>
                <w:tab w:val="left" w:pos="284"/>
                <w:tab w:val="left" w:pos="567"/>
              </w:tabs>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AC3310">
              <w:rPr>
                <w:rFonts w:ascii="Arial" w:eastAsia="Times New Roman" w:hAnsi="Arial" w:cs="Arial"/>
                <w:color w:val="000000"/>
                <w:sz w:val="24"/>
                <w:szCs w:val="24"/>
                <w:lang w:val="el-GR"/>
              </w:rPr>
              <w:t>(β)</w:t>
            </w:r>
          </w:p>
        </w:tc>
        <w:tc>
          <w:tcPr>
            <w:tcW w:w="6087" w:type="dxa"/>
            <w:gridSpan w:val="2"/>
            <w:shd w:val="clear" w:color="auto" w:fill="auto"/>
          </w:tcPr>
          <w:p w14:paraId="64851DF0" w14:textId="366D96EB" w:rsidR="00AC3310" w:rsidRPr="0009791A"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τα οποία δεν συμπλήρωσαν το εξηκοστό πέμπτο (65</w:t>
            </w:r>
            <w:r w:rsidRPr="0009791A">
              <w:rPr>
                <w:rFonts w:ascii="Arial" w:eastAsia="MS Gothic" w:hAnsi="Arial" w:cs="Arial"/>
                <w:color w:val="000000"/>
                <w:sz w:val="24"/>
                <w:szCs w:val="24"/>
                <w:vertAlign w:val="superscript"/>
                <w:lang w:val="el-GR"/>
              </w:rPr>
              <w:t>ο</w:t>
            </w:r>
            <w:r w:rsidRPr="0009791A">
              <w:rPr>
                <w:rFonts w:ascii="Arial" w:eastAsia="Times New Roman" w:hAnsi="Arial" w:cs="Arial"/>
                <w:color w:val="000000"/>
                <w:sz w:val="24"/>
                <w:szCs w:val="24"/>
                <w:lang w:val="el-GR"/>
              </w:rPr>
              <w:t>) έτος της ηλικίας τους κατά το χρόνο έναρξης της απασχόλησης τους,</w:t>
            </w:r>
          </w:p>
        </w:tc>
      </w:tr>
      <w:tr w:rsidR="00145567" w:rsidRPr="00145567" w14:paraId="127389D8" w14:textId="77777777" w:rsidTr="00E7146D">
        <w:trPr>
          <w:trHeight w:val="74"/>
        </w:trPr>
        <w:tc>
          <w:tcPr>
            <w:tcW w:w="2142" w:type="dxa"/>
            <w:shd w:val="clear" w:color="auto" w:fill="auto"/>
            <w:noWrap/>
            <w:vAlign w:val="bottom"/>
          </w:tcPr>
          <w:p w14:paraId="08F35183" w14:textId="77777777" w:rsidR="00145567" w:rsidRPr="0009791A" w:rsidRDefault="00145567"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1275" w:type="dxa"/>
            <w:gridSpan w:val="2"/>
            <w:shd w:val="clear" w:color="auto" w:fill="auto"/>
          </w:tcPr>
          <w:p w14:paraId="798AB4BA" w14:textId="77777777" w:rsidR="00145567" w:rsidRDefault="00145567" w:rsidP="00AC3310">
            <w:pPr>
              <w:widowControl w:val="0"/>
              <w:tabs>
                <w:tab w:val="left" w:pos="284"/>
                <w:tab w:val="left" w:pos="567"/>
              </w:tabs>
              <w:spacing w:after="0" w:line="360" w:lineRule="auto"/>
              <w:jc w:val="right"/>
              <w:rPr>
                <w:rFonts w:ascii="Arial" w:eastAsia="Times New Roman" w:hAnsi="Arial" w:cs="Arial"/>
                <w:color w:val="000000"/>
                <w:sz w:val="24"/>
                <w:szCs w:val="24"/>
                <w:lang w:val="el-GR"/>
              </w:rPr>
            </w:pPr>
          </w:p>
        </w:tc>
        <w:tc>
          <w:tcPr>
            <w:tcW w:w="6087" w:type="dxa"/>
            <w:gridSpan w:val="2"/>
            <w:shd w:val="clear" w:color="auto" w:fill="auto"/>
          </w:tcPr>
          <w:p w14:paraId="27C6D8AF" w14:textId="77777777" w:rsidR="00145567" w:rsidRPr="0009791A" w:rsidRDefault="00145567"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AC3310" w:rsidRPr="00145567" w14:paraId="01569174" w14:textId="77777777" w:rsidTr="00E100CC">
        <w:trPr>
          <w:trHeight w:val="74"/>
        </w:trPr>
        <w:tc>
          <w:tcPr>
            <w:tcW w:w="2142" w:type="dxa"/>
            <w:shd w:val="clear" w:color="auto" w:fill="auto"/>
            <w:noWrap/>
            <w:vAlign w:val="bottom"/>
          </w:tcPr>
          <w:p w14:paraId="085E611B" w14:textId="77777777" w:rsidR="00AC3310" w:rsidRPr="0009791A"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1275" w:type="dxa"/>
            <w:gridSpan w:val="2"/>
            <w:shd w:val="clear" w:color="auto" w:fill="auto"/>
          </w:tcPr>
          <w:p w14:paraId="27C0025B" w14:textId="0259FB4D" w:rsidR="00AC3310" w:rsidRDefault="00E100CC" w:rsidP="00AC3310">
            <w:pPr>
              <w:widowControl w:val="0"/>
              <w:tabs>
                <w:tab w:val="left" w:pos="284"/>
                <w:tab w:val="left" w:pos="567"/>
              </w:tabs>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AC3310">
              <w:rPr>
                <w:rFonts w:ascii="Arial" w:eastAsia="Times New Roman" w:hAnsi="Arial" w:cs="Arial"/>
                <w:color w:val="000000"/>
                <w:sz w:val="24"/>
                <w:szCs w:val="24"/>
                <w:lang w:val="el-GR"/>
              </w:rPr>
              <w:t>(γ)</w:t>
            </w:r>
          </w:p>
        </w:tc>
        <w:tc>
          <w:tcPr>
            <w:tcW w:w="6087" w:type="dxa"/>
            <w:gridSpan w:val="2"/>
            <w:shd w:val="clear" w:color="auto" w:fill="auto"/>
          </w:tcPr>
          <w:p w14:paraId="54920855" w14:textId="02D6A4BD" w:rsidR="00AC3310" w:rsidRPr="0009791A"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τα οποία απασχολούνται δυνάμει οποιουδήποτε ειδικού νόμου,</w:t>
            </w:r>
          </w:p>
        </w:tc>
      </w:tr>
      <w:tr w:rsidR="00145567" w:rsidRPr="00145567" w14:paraId="7FE9A337" w14:textId="77777777" w:rsidTr="003F4284">
        <w:trPr>
          <w:trHeight w:val="74"/>
        </w:trPr>
        <w:tc>
          <w:tcPr>
            <w:tcW w:w="2142" w:type="dxa"/>
            <w:shd w:val="clear" w:color="auto" w:fill="auto"/>
            <w:noWrap/>
            <w:vAlign w:val="bottom"/>
          </w:tcPr>
          <w:p w14:paraId="3EC80FD5" w14:textId="77777777" w:rsidR="00145567" w:rsidRPr="0009791A" w:rsidRDefault="00145567"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1275" w:type="dxa"/>
            <w:gridSpan w:val="2"/>
            <w:shd w:val="clear" w:color="auto" w:fill="auto"/>
          </w:tcPr>
          <w:p w14:paraId="1C1425F0" w14:textId="77777777" w:rsidR="00145567" w:rsidRDefault="00145567" w:rsidP="00AC3310">
            <w:pPr>
              <w:widowControl w:val="0"/>
              <w:tabs>
                <w:tab w:val="left" w:pos="284"/>
                <w:tab w:val="left" w:pos="567"/>
              </w:tabs>
              <w:spacing w:after="0" w:line="360" w:lineRule="auto"/>
              <w:jc w:val="right"/>
              <w:rPr>
                <w:rFonts w:ascii="Arial" w:eastAsia="Times New Roman" w:hAnsi="Arial" w:cs="Arial"/>
                <w:color w:val="000000"/>
                <w:sz w:val="24"/>
                <w:szCs w:val="24"/>
                <w:lang w:val="el-GR"/>
              </w:rPr>
            </w:pPr>
          </w:p>
        </w:tc>
        <w:tc>
          <w:tcPr>
            <w:tcW w:w="6087" w:type="dxa"/>
            <w:gridSpan w:val="2"/>
            <w:shd w:val="clear" w:color="auto" w:fill="auto"/>
          </w:tcPr>
          <w:p w14:paraId="3DE11B85" w14:textId="77777777" w:rsidR="00145567" w:rsidRPr="0009791A" w:rsidRDefault="00145567"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AC3310" w:rsidRPr="00145567" w14:paraId="6B7DDD47" w14:textId="77777777" w:rsidTr="00E100CC">
        <w:trPr>
          <w:trHeight w:val="74"/>
        </w:trPr>
        <w:tc>
          <w:tcPr>
            <w:tcW w:w="2142" w:type="dxa"/>
            <w:shd w:val="clear" w:color="auto" w:fill="auto"/>
            <w:noWrap/>
            <w:vAlign w:val="bottom"/>
          </w:tcPr>
          <w:p w14:paraId="418780AF" w14:textId="77777777" w:rsidR="00AC3310" w:rsidRPr="0009791A"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1275" w:type="dxa"/>
            <w:gridSpan w:val="2"/>
            <w:shd w:val="clear" w:color="auto" w:fill="auto"/>
          </w:tcPr>
          <w:p w14:paraId="066093A4" w14:textId="15308B3A" w:rsidR="00AC3310" w:rsidRDefault="00E100CC" w:rsidP="00AC3310">
            <w:pPr>
              <w:widowControl w:val="0"/>
              <w:tabs>
                <w:tab w:val="left" w:pos="284"/>
                <w:tab w:val="left" w:pos="567"/>
              </w:tabs>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AC3310">
              <w:rPr>
                <w:rFonts w:ascii="Arial" w:eastAsia="Times New Roman" w:hAnsi="Arial" w:cs="Arial"/>
                <w:color w:val="000000"/>
                <w:sz w:val="24"/>
                <w:szCs w:val="24"/>
                <w:lang w:val="el-GR"/>
              </w:rPr>
              <w:t>(δ)</w:t>
            </w:r>
          </w:p>
        </w:tc>
        <w:tc>
          <w:tcPr>
            <w:tcW w:w="6087" w:type="dxa"/>
            <w:gridSpan w:val="2"/>
            <w:shd w:val="clear" w:color="auto" w:fill="auto"/>
          </w:tcPr>
          <w:p w14:paraId="7D66CAC5" w14:textId="63284924" w:rsidR="00AC3310" w:rsidRPr="0009791A"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σε περίπτωση που δεν δημιουργείται υπαλληλική σχέση,</w:t>
            </w:r>
          </w:p>
        </w:tc>
      </w:tr>
      <w:tr w:rsidR="00145567" w:rsidRPr="00145567" w14:paraId="5298F3CB" w14:textId="77777777" w:rsidTr="006F3C57">
        <w:trPr>
          <w:trHeight w:val="74"/>
        </w:trPr>
        <w:tc>
          <w:tcPr>
            <w:tcW w:w="2142" w:type="dxa"/>
            <w:shd w:val="clear" w:color="auto" w:fill="auto"/>
            <w:noWrap/>
            <w:vAlign w:val="bottom"/>
          </w:tcPr>
          <w:p w14:paraId="24DEE4B9" w14:textId="77777777" w:rsidR="00145567" w:rsidRPr="0009791A" w:rsidRDefault="00145567"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1275" w:type="dxa"/>
            <w:gridSpan w:val="2"/>
            <w:shd w:val="clear" w:color="auto" w:fill="auto"/>
          </w:tcPr>
          <w:p w14:paraId="15F94568" w14:textId="77777777" w:rsidR="00145567" w:rsidRDefault="00145567" w:rsidP="00AC3310">
            <w:pPr>
              <w:widowControl w:val="0"/>
              <w:tabs>
                <w:tab w:val="left" w:pos="284"/>
                <w:tab w:val="left" w:pos="567"/>
              </w:tabs>
              <w:spacing w:after="0" w:line="360" w:lineRule="auto"/>
              <w:jc w:val="right"/>
              <w:rPr>
                <w:rFonts w:ascii="Arial" w:eastAsia="Times New Roman" w:hAnsi="Arial" w:cs="Arial"/>
                <w:color w:val="000000"/>
                <w:sz w:val="24"/>
                <w:szCs w:val="24"/>
                <w:lang w:val="el-GR"/>
              </w:rPr>
            </w:pPr>
          </w:p>
        </w:tc>
        <w:tc>
          <w:tcPr>
            <w:tcW w:w="6087" w:type="dxa"/>
            <w:gridSpan w:val="2"/>
            <w:shd w:val="clear" w:color="auto" w:fill="auto"/>
          </w:tcPr>
          <w:p w14:paraId="6C2E9863" w14:textId="77777777" w:rsidR="00145567" w:rsidRPr="0009791A" w:rsidRDefault="00145567"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AC3310" w:rsidRPr="00145567" w14:paraId="44E6C908" w14:textId="77777777" w:rsidTr="00E100CC">
        <w:trPr>
          <w:trHeight w:val="74"/>
        </w:trPr>
        <w:tc>
          <w:tcPr>
            <w:tcW w:w="2142" w:type="dxa"/>
            <w:shd w:val="clear" w:color="auto" w:fill="auto"/>
            <w:noWrap/>
          </w:tcPr>
          <w:p w14:paraId="69B40F07" w14:textId="77777777" w:rsidR="00AC3310" w:rsidRDefault="00AC3310" w:rsidP="00AC3310">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p>
          <w:p w14:paraId="46EFC35A" w14:textId="24C4BE21" w:rsidR="00AC3310" w:rsidRDefault="00AC3310" w:rsidP="00145567">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73(Ι) του 2016</w:t>
            </w:r>
            <w:r>
              <w:rPr>
                <w:rFonts w:ascii="Arial" w:eastAsia="Times New Roman" w:hAnsi="Arial" w:cs="Arial"/>
                <w:color w:val="000000"/>
                <w:sz w:val="24"/>
                <w:szCs w:val="24"/>
                <w:lang w:val="el-GR"/>
              </w:rPr>
              <w:t xml:space="preserve"> </w:t>
            </w:r>
            <w:r w:rsidRPr="0009791A">
              <w:rPr>
                <w:rFonts w:ascii="Arial" w:eastAsia="Times New Roman" w:hAnsi="Arial" w:cs="Arial"/>
                <w:color w:val="000000"/>
                <w:sz w:val="24"/>
                <w:szCs w:val="24"/>
                <w:lang w:val="el-GR"/>
              </w:rPr>
              <w:t>205(Ι) του 2020</w:t>
            </w:r>
          </w:p>
          <w:p w14:paraId="41B75EFC" w14:textId="3C8C1610" w:rsidR="00AC3310" w:rsidRPr="0009791A" w:rsidRDefault="00AC3310" w:rsidP="00145567">
            <w:pPr>
              <w:widowControl w:val="0"/>
              <w:tabs>
                <w:tab w:val="left" w:pos="284"/>
                <w:tab w:val="left" w:pos="567"/>
              </w:tabs>
              <w:spacing w:after="0" w:line="360" w:lineRule="auto"/>
              <w:ind w:right="57"/>
              <w:jc w:val="center"/>
              <w:rPr>
                <w:rFonts w:ascii="Arial" w:eastAsia="Times New Roman" w:hAnsi="Arial" w:cs="Arial"/>
                <w:color w:val="000000"/>
                <w:sz w:val="24"/>
                <w:szCs w:val="24"/>
                <w:lang w:val="el-GR"/>
              </w:rPr>
            </w:pPr>
            <w:r w:rsidRPr="009508BC">
              <w:rPr>
                <w:rFonts w:ascii="Arial" w:eastAsia="Times New Roman" w:hAnsi="Arial" w:cs="Arial"/>
                <w:color w:val="000000"/>
                <w:sz w:val="24"/>
                <w:szCs w:val="24"/>
                <w:lang w:val="el-GR"/>
              </w:rPr>
              <w:t>74(</w:t>
            </w:r>
            <w:r>
              <w:rPr>
                <w:rFonts w:ascii="Arial" w:eastAsia="Times New Roman" w:hAnsi="Arial" w:cs="Arial"/>
                <w:color w:val="000000"/>
                <w:sz w:val="24"/>
                <w:szCs w:val="24"/>
              </w:rPr>
              <w:t>I</w:t>
            </w:r>
            <w:r w:rsidRPr="009508BC">
              <w:rPr>
                <w:rFonts w:ascii="Arial" w:eastAsia="Times New Roman" w:hAnsi="Arial" w:cs="Arial"/>
                <w:color w:val="000000"/>
                <w:sz w:val="24"/>
                <w:szCs w:val="24"/>
                <w:lang w:val="el-GR"/>
              </w:rPr>
              <w:t xml:space="preserve">) </w:t>
            </w:r>
            <w:r>
              <w:rPr>
                <w:rFonts w:ascii="Arial" w:eastAsia="Times New Roman" w:hAnsi="Arial" w:cs="Arial"/>
                <w:color w:val="000000"/>
                <w:sz w:val="24"/>
                <w:szCs w:val="24"/>
                <w:lang w:val="el-GR"/>
              </w:rPr>
              <w:t>του 2022.</w:t>
            </w:r>
          </w:p>
        </w:tc>
        <w:tc>
          <w:tcPr>
            <w:tcW w:w="1275" w:type="dxa"/>
            <w:gridSpan w:val="2"/>
            <w:shd w:val="clear" w:color="auto" w:fill="auto"/>
          </w:tcPr>
          <w:p w14:paraId="32C3D0E0" w14:textId="65374A76" w:rsidR="00AC3310" w:rsidRDefault="00E100CC" w:rsidP="00AC3310">
            <w:pPr>
              <w:widowControl w:val="0"/>
              <w:tabs>
                <w:tab w:val="left" w:pos="284"/>
                <w:tab w:val="left" w:pos="567"/>
              </w:tabs>
              <w:spacing w:after="0" w:line="360" w:lineRule="auto"/>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Pr>
                <w:rFonts w:ascii="Arial" w:eastAsia="Times New Roman" w:hAnsi="Arial" w:cs="Arial"/>
                <w:color w:val="000000"/>
                <w:sz w:val="24"/>
                <w:szCs w:val="24"/>
                <w:lang w:val="el-GR"/>
              </w:rPr>
              <w:tab/>
            </w:r>
            <w:r w:rsidR="00AC3310">
              <w:rPr>
                <w:rFonts w:ascii="Arial" w:eastAsia="Times New Roman" w:hAnsi="Arial" w:cs="Arial"/>
                <w:color w:val="000000"/>
                <w:sz w:val="24"/>
                <w:szCs w:val="24"/>
                <w:lang w:val="el-GR"/>
              </w:rPr>
              <w:t>(ε)</w:t>
            </w:r>
          </w:p>
        </w:tc>
        <w:tc>
          <w:tcPr>
            <w:tcW w:w="6087" w:type="dxa"/>
            <w:gridSpan w:val="2"/>
            <w:shd w:val="clear" w:color="auto" w:fill="auto"/>
          </w:tcPr>
          <w:p w14:paraId="782880EC" w14:textId="5F76DB2A" w:rsidR="00AC3310" w:rsidRPr="0009791A"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των οποίων οι υπηρεσίες εξασφαλίζονται με σύμβαση υπηρεσιών δυνάμει των διατάξεων του περί της Ρύθμισης των Διαδικασιών Σύναψης Δημοσίων Συμβάσεων και για Συναφή Θέματα Νόμου.</w:t>
            </w:r>
          </w:p>
        </w:tc>
      </w:tr>
      <w:tr w:rsidR="00AC3310" w:rsidRPr="00145567" w14:paraId="55E2BAB4" w14:textId="77777777" w:rsidTr="00973BBC">
        <w:trPr>
          <w:trHeight w:val="414"/>
        </w:trPr>
        <w:tc>
          <w:tcPr>
            <w:tcW w:w="2142" w:type="dxa"/>
            <w:shd w:val="clear" w:color="auto" w:fill="auto"/>
            <w:noWrap/>
          </w:tcPr>
          <w:p w14:paraId="5432B532"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10BDA154" w14:textId="77777777" w:rsidR="00AC3310" w:rsidRPr="0009791A"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AC3310" w:rsidRPr="00145567" w14:paraId="694DD0A7" w14:textId="77777777" w:rsidTr="00300533">
        <w:trPr>
          <w:trHeight w:val="990"/>
        </w:trPr>
        <w:tc>
          <w:tcPr>
            <w:tcW w:w="2142" w:type="dxa"/>
            <w:shd w:val="clear" w:color="auto" w:fill="auto"/>
            <w:hideMark/>
          </w:tcPr>
          <w:p w14:paraId="7DC689B7" w14:textId="77777777" w:rsidR="00AC3310" w:rsidRPr="0009791A"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Απαγόρευση αντικατάστασης υπαλλήλων που αποχωρούν.</w:t>
            </w:r>
          </w:p>
        </w:tc>
        <w:tc>
          <w:tcPr>
            <w:tcW w:w="7362" w:type="dxa"/>
            <w:gridSpan w:val="4"/>
            <w:shd w:val="clear" w:color="auto" w:fill="auto"/>
            <w:hideMark/>
          </w:tcPr>
          <w:p w14:paraId="05B0C3A2" w14:textId="536AAE68" w:rsidR="00AC3310" w:rsidRPr="0009791A" w:rsidRDefault="00AC3310" w:rsidP="00AC3310">
            <w:pPr>
              <w:widowControl w:val="0"/>
              <w:tabs>
                <w:tab w:val="left" w:pos="284"/>
                <w:tab w:val="left" w:pos="794"/>
              </w:tabs>
              <w:spacing w:after="0" w:line="360" w:lineRule="auto"/>
              <w:jc w:val="both"/>
              <w:rPr>
                <w:rFonts w:ascii="Arial" w:eastAsia="Times New Roman" w:hAnsi="Arial" w:cs="Arial"/>
                <w:color w:val="000000"/>
                <w:sz w:val="24"/>
                <w:szCs w:val="24"/>
                <w:lang w:val="el-GR"/>
              </w:rPr>
            </w:pPr>
            <w:r w:rsidRPr="00300533">
              <w:rPr>
                <w:rFonts w:ascii="Arial" w:eastAsia="Times New Roman" w:hAnsi="Arial" w:cs="Arial"/>
                <w:bCs/>
                <w:color w:val="000000"/>
                <w:sz w:val="24"/>
                <w:szCs w:val="24"/>
                <w:lang w:val="el-GR"/>
              </w:rPr>
              <w:t>13.</w:t>
            </w:r>
            <w:r>
              <w:rPr>
                <w:rFonts w:ascii="Arial" w:eastAsia="Times New Roman" w:hAnsi="Arial" w:cs="Arial"/>
                <w:bCs/>
                <w:color w:val="000000"/>
                <w:sz w:val="24"/>
                <w:szCs w:val="24"/>
                <w:lang w:val="el-GR"/>
              </w:rPr>
              <w:tab/>
            </w:r>
            <w:r w:rsidRPr="0009791A">
              <w:rPr>
                <w:rFonts w:ascii="Arial" w:eastAsia="Times New Roman" w:hAnsi="Arial" w:cs="Arial"/>
                <w:color w:val="000000"/>
                <w:sz w:val="24"/>
                <w:szCs w:val="24"/>
                <w:lang w:val="el-GR"/>
              </w:rPr>
              <w:t>Απαγορεύεται η αντικατάσταση υπαλλήλων που αποχωρούν από την υπηρεσία για οποιοδήποτε λόγο με νέες προσλήψεις εργοδοτουμένων καθορισμένης διάρκειας.</w:t>
            </w:r>
          </w:p>
        </w:tc>
      </w:tr>
      <w:tr w:rsidR="00AC3310" w:rsidRPr="00145567" w14:paraId="35DB2356" w14:textId="77777777" w:rsidTr="002E654D">
        <w:trPr>
          <w:trHeight w:val="414"/>
        </w:trPr>
        <w:tc>
          <w:tcPr>
            <w:tcW w:w="2142" w:type="dxa"/>
            <w:shd w:val="clear" w:color="auto" w:fill="auto"/>
          </w:tcPr>
          <w:p w14:paraId="7D882D61" w14:textId="77777777" w:rsidR="00AC3310" w:rsidRPr="0009791A"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6C41DD7E" w14:textId="77777777" w:rsidR="00AC3310" w:rsidRPr="0009791A" w:rsidRDefault="00AC3310" w:rsidP="00AC3310">
            <w:pPr>
              <w:widowControl w:val="0"/>
              <w:tabs>
                <w:tab w:val="left" w:pos="284"/>
                <w:tab w:val="left" w:pos="567"/>
              </w:tabs>
              <w:spacing w:after="0" w:line="360" w:lineRule="auto"/>
              <w:jc w:val="both"/>
              <w:rPr>
                <w:rFonts w:ascii="Arial" w:eastAsia="Times New Roman" w:hAnsi="Arial" w:cs="Arial"/>
                <w:b/>
                <w:color w:val="000000"/>
                <w:sz w:val="24"/>
                <w:szCs w:val="24"/>
                <w:lang w:val="el-GR"/>
              </w:rPr>
            </w:pPr>
          </w:p>
        </w:tc>
      </w:tr>
      <w:tr w:rsidR="00AC3310" w:rsidRPr="00145567" w14:paraId="605880F9" w14:textId="77777777" w:rsidTr="00300533">
        <w:trPr>
          <w:trHeight w:val="994"/>
        </w:trPr>
        <w:tc>
          <w:tcPr>
            <w:tcW w:w="2142" w:type="dxa"/>
            <w:shd w:val="clear" w:color="auto" w:fill="auto"/>
            <w:hideMark/>
          </w:tcPr>
          <w:p w14:paraId="0FA0159E" w14:textId="77777777" w:rsidR="00AC3310" w:rsidRPr="0009791A"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Λειτουργοί που ασκούν έλεγχο πάνω στα κονδύλια.</w:t>
            </w:r>
          </w:p>
          <w:p w14:paraId="0B69F810" w14:textId="3D6DA372" w:rsidR="00AC3310" w:rsidRPr="0009791A"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Συμπλήρωμα</w:t>
            </w:r>
            <w:r>
              <w:rPr>
                <w:rFonts w:ascii="Arial" w:eastAsia="Times New Roman" w:hAnsi="Arial" w:cs="Arial"/>
                <w:color w:val="000000"/>
                <w:sz w:val="24"/>
                <w:szCs w:val="24"/>
                <w:lang w:val="el-GR"/>
              </w:rPr>
              <w:t>.</w:t>
            </w:r>
          </w:p>
          <w:p w14:paraId="4D488192"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roofErr w:type="spellStart"/>
            <w:r w:rsidRPr="0009791A">
              <w:rPr>
                <w:rFonts w:ascii="Arial" w:eastAsia="Times New Roman" w:hAnsi="Arial" w:cs="Arial"/>
                <w:color w:val="000000"/>
                <w:sz w:val="24"/>
                <w:szCs w:val="24"/>
              </w:rPr>
              <w:t>Πρώτο</w:t>
            </w:r>
            <w:proofErr w:type="spellEnd"/>
            <w:r w:rsidRPr="0009791A">
              <w:rPr>
                <w:rFonts w:ascii="Arial" w:eastAsia="Times New Roman" w:hAnsi="Arial" w:cs="Arial"/>
                <w:color w:val="000000"/>
                <w:sz w:val="24"/>
                <w:szCs w:val="24"/>
                <w:lang w:val="el-GR"/>
              </w:rPr>
              <w:t xml:space="preserve"> </w:t>
            </w:r>
          </w:p>
          <w:p w14:paraId="7B5E30FC" w14:textId="39A36AE4" w:rsidR="00AC3310" w:rsidRPr="0009791A"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Μέρος.</w:t>
            </w:r>
          </w:p>
        </w:tc>
        <w:tc>
          <w:tcPr>
            <w:tcW w:w="7362" w:type="dxa"/>
            <w:gridSpan w:val="4"/>
            <w:shd w:val="clear" w:color="auto" w:fill="auto"/>
            <w:hideMark/>
          </w:tcPr>
          <w:p w14:paraId="3C493A90" w14:textId="3D6D50EF" w:rsidR="00AC3310" w:rsidRPr="0009791A" w:rsidRDefault="00AC3310" w:rsidP="00AC3310">
            <w:pPr>
              <w:widowControl w:val="0"/>
              <w:tabs>
                <w:tab w:val="left" w:pos="284"/>
                <w:tab w:val="left" w:pos="794"/>
              </w:tabs>
              <w:spacing w:after="0" w:line="360" w:lineRule="auto"/>
              <w:jc w:val="both"/>
              <w:rPr>
                <w:rFonts w:ascii="Arial" w:eastAsia="Times New Roman" w:hAnsi="Arial" w:cs="Arial"/>
                <w:color w:val="000000"/>
                <w:sz w:val="24"/>
                <w:szCs w:val="24"/>
                <w:lang w:val="el-GR"/>
              </w:rPr>
            </w:pPr>
            <w:r w:rsidRPr="00295886">
              <w:rPr>
                <w:rFonts w:ascii="Arial" w:eastAsia="Times New Roman" w:hAnsi="Arial" w:cs="Arial"/>
                <w:bCs/>
                <w:color w:val="000000"/>
                <w:sz w:val="24"/>
                <w:szCs w:val="24"/>
                <w:lang w:val="el-GR"/>
              </w:rPr>
              <w:t>14.</w:t>
            </w:r>
            <w:r>
              <w:rPr>
                <w:rFonts w:ascii="Arial" w:eastAsia="Times New Roman" w:hAnsi="Arial" w:cs="Arial"/>
                <w:bCs/>
                <w:color w:val="000000"/>
                <w:sz w:val="24"/>
                <w:szCs w:val="24"/>
                <w:lang w:val="el-GR"/>
              </w:rPr>
              <w:tab/>
            </w:r>
            <w:r w:rsidRPr="0009791A">
              <w:rPr>
                <w:rFonts w:ascii="Arial" w:eastAsia="Times New Roman" w:hAnsi="Arial" w:cs="Arial"/>
                <w:color w:val="000000"/>
                <w:sz w:val="24"/>
                <w:szCs w:val="24"/>
                <w:lang w:val="el-GR"/>
              </w:rPr>
              <w:t>Οι λειτουργοί που αναφέρονται στο Πρώτο Μέρος του Συμπληρώματος ορίζονται ως οι λειτουργοί που ασκούν έλεγχο πάνω στα κονδύλια της Αρχής Ηλεκτρισμού Κύπρου.</w:t>
            </w:r>
          </w:p>
        </w:tc>
      </w:tr>
      <w:tr w:rsidR="00AC3310" w:rsidRPr="00145567" w14:paraId="6D6DE0AB" w14:textId="77777777" w:rsidTr="002E654D">
        <w:trPr>
          <w:trHeight w:val="414"/>
        </w:trPr>
        <w:tc>
          <w:tcPr>
            <w:tcW w:w="2142" w:type="dxa"/>
            <w:shd w:val="clear" w:color="auto" w:fill="auto"/>
            <w:hideMark/>
          </w:tcPr>
          <w:p w14:paraId="3E58C86B" w14:textId="77777777" w:rsidR="00AC3310" w:rsidRPr="0009791A"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hideMark/>
          </w:tcPr>
          <w:p w14:paraId="7472A697" w14:textId="77777777" w:rsidR="00AC3310" w:rsidRPr="0009791A"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AC3310" w:rsidRPr="00145567" w14:paraId="7C94B630" w14:textId="77777777" w:rsidTr="00300533">
        <w:trPr>
          <w:trHeight w:val="507"/>
        </w:trPr>
        <w:tc>
          <w:tcPr>
            <w:tcW w:w="2142" w:type="dxa"/>
            <w:shd w:val="clear" w:color="auto" w:fill="auto"/>
            <w:hideMark/>
          </w:tcPr>
          <w:p w14:paraId="52BCD991"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r w:rsidRPr="0009791A">
              <w:rPr>
                <w:rFonts w:ascii="Arial" w:eastAsia="Times New Roman" w:hAnsi="Arial" w:cs="Arial"/>
                <w:color w:val="000000"/>
                <w:sz w:val="24"/>
                <w:szCs w:val="24"/>
                <w:lang w:val="el-GR"/>
              </w:rPr>
              <w:t>Λειτουργοί υπεύθυνοι για την είσπραξη των εσόδων.</w:t>
            </w:r>
          </w:p>
          <w:p w14:paraId="016B87DE"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roofErr w:type="spellStart"/>
            <w:r w:rsidRPr="0009791A">
              <w:rPr>
                <w:rFonts w:ascii="Arial" w:eastAsia="Times New Roman" w:hAnsi="Arial" w:cs="Arial"/>
                <w:color w:val="000000"/>
                <w:sz w:val="24"/>
                <w:szCs w:val="24"/>
              </w:rPr>
              <w:t>Συμ</w:t>
            </w:r>
            <w:proofErr w:type="spellEnd"/>
            <w:r w:rsidRPr="0009791A">
              <w:rPr>
                <w:rFonts w:ascii="Arial" w:eastAsia="Times New Roman" w:hAnsi="Arial" w:cs="Arial"/>
                <w:color w:val="000000"/>
                <w:sz w:val="24"/>
                <w:szCs w:val="24"/>
              </w:rPr>
              <w:t>πλήρωμα</w:t>
            </w:r>
            <w:r>
              <w:rPr>
                <w:rFonts w:ascii="Arial" w:eastAsia="Times New Roman" w:hAnsi="Arial" w:cs="Arial"/>
                <w:color w:val="000000"/>
                <w:sz w:val="24"/>
                <w:szCs w:val="24"/>
                <w:lang w:val="el-GR"/>
              </w:rPr>
              <w:t>.</w:t>
            </w:r>
          </w:p>
          <w:p w14:paraId="209E85EE" w14:textId="71DCE778"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Δεύτερος</w:t>
            </w:r>
          </w:p>
          <w:p w14:paraId="2B50FD07" w14:textId="0C8D37B3" w:rsidR="00AC3310" w:rsidRPr="00295886"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Μέρος.</w:t>
            </w:r>
          </w:p>
        </w:tc>
        <w:tc>
          <w:tcPr>
            <w:tcW w:w="7362" w:type="dxa"/>
            <w:gridSpan w:val="4"/>
            <w:shd w:val="clear" w:color="auto" w:fill="auto"/>
            <w:hideMark/>
          </w:tcPr>
          <w:p w14:paraId="0E80C1BA" w14:textId="17754E03" w:rsidR="00AC3310" w:rsidRPr="0009791A" w:rsidRDefault="00AC3310" w:rsidP="00AC3310">
            <w:pPr>
              <w:widowControl w:val="0"/>
              <w:tabs>
                <w:tab w:val="left" w:pos="284"/>
                <w:tab w:val="left" w:pos="794"/>
              </w:tabs>
              <w:spacing w:after="0" w:line="360" w:lineRule="auto"/>
              <w:jc w:val="both"/>
              <w:rPr>
                <w:rFonts w:ascii="Arial" w:eastAsia="Times New Roman" w:hAnsi="Arial" w:cs="Arial"/>
                <w:color w:val="000000"/>
                <w:sz w:val="24"/>
                <w:szCs w:val="24"/>
                <w:lang w:val="el-GR"/>
              </w:rPr>
            </w:pPr>
            <w:r w:rsidRPr="00295886">
              <w:rPr>
                <w:rFonts w:ascii="Arial" w:eastAsia="Times New Roman" w:hAnsi="Arial" w:cs="Arial"/>
                <w:bCs/>
                <w:color w:val="000000"/>
                <w:sz w:val="24"/>
                <w:szCs w:val="24"/>
                <w:lang w:val="el-GR"/>
              </w:rPr>
              <w:t>15.</w:t>
            </w:r>
            <w:r>
              <w:rPr>
                <w:rFonts w:ascii="Arial" w:eastAsia="Times New Roman" w:hAnsi="Arial" w:cs="Arial"/>
                <w:bCs/>
                <w:color w:val="000000"/>
                <w:sz w:val="24"/>
                <w:szCs w:val="24"/>
                <w:lang w:val="el-GR"/>
              </w:rPr>
              <w:tab/>
            </w:r>
            <w:r w:rsidRPr="0009791A">
              <w:rPr>
                <w:rFonts w:ascii="Arial" w:eastAsia="Times New Roman" w:hAnsi="Arial" w:cs="Arial"/>
                <w:color w:val="000000"/>
                <w:sz w:val="24"/>
                <w:szCs w:val="24"/>
                <w:lang w:val="el-GR"/>
              </w:rPr>
              <w:t>Οι λειτουργοί που αναφέρονται στο Δεύτερο Μέρος του Συμπληρώματος ορίζονται ως οι λειτουργοί υπεύθυνοι για την είσπραξη των εσόδων της Αρχής Ηλεκτρισμού Κύπρου.</w:t>
            </w:r>
          </w:p>
        </w:tc>
      </w:tr>
      <w:tr w:rsidR="00AC3310" w:rsidRPr="00145567" w14:paraId="559A59FD" w14:textId="77777777" w:rsidTr="002E654D">
        <w:trPr>
          <w:trHeight w:val="414"/>
        </w:trPr>
        <w:tc>
          <w:tcPr>
            <w:tcW w:w="2142" w:type="dxa"/>
            <w:shd w:val="clear" w:color="auto" w:fill="auto"/>
          </w:tcPr>
          <w:p w14:paraId="2B77CDC7"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tc>
        <w:tc>
          <w:tcPr>
            <w:tcW w:w="7362" w:type="dxa"/>
            <w:gridSpan w:val="4"/>
            <w:shd w:val="clear" w:color="auto" w:fill="auto"/>
          </w:tcPr>
          <w:p w14:paraId="2E1E25BC" w14:textId="77777777" w:rsidR="00AC3310" w:rsidRDefault="00AC3310" w:rsidP="00AC3310">
            <w:pPr>
              <w:widowControl w:val="0"/>
              <w:tabs>
                <w:tab w:val="left" w:pos="397"/>
                <w:tab w:val="left" w:pos="794"/>
              </w:tabs>
              <w:spacing w:after="0" w:line="360" w:lineRule="auto"/>
              <w:jc w:val="both"/>
              <w:rPr>
                <w:rFonts w:ascii="Arial" w:eastAsia="Times New Roman" w:hAnsi="Arial" w:cs="Arial"/>
                <w:color w:val="000000"/>
                <w:sz w:val="24"/>
                <w:szCs w:val="24"/>
                <w:lang w:val="el-GR"/>
              </w:rPr>
            </w:pPr>
          </w:p>
        </w:tc>
      </w:tr>
      <w:tr w:rsidR="00AC3310" w:rsidRPr="00145567" w14:paraId="6F94B89F" w14:textId="77777777" w:rsidTr="00300533">
        <w:trPr>
          <w:trHeight w:val="240"/>
        </w:trPr>
        <w:tc>
          <w:tcPr>
            <w:tcW w:w="2142" w:type="dxa"/>
            <w:shd w:val="clear" w:color="auto" w:fill="auto"/>
            <w:hideMark/>
          </w:tcPr>
          <w:p w14:paraId="6B3191DA"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Απαγόρευση πλήρωσης </w:t>
            </w:r>
          </w:p>
          <w:p w14:paraId="42285AA4"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κενών θέσεων.</w:t>
            </w:r>
          </w:p>
          <w:p w14:paraId="65329E00"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p w14:paraId="11E9CDCC"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p w14:paraId="09E4058D"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p w14:paraId="52383A7C"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p w14:paraId="76AEB897" w14:textId="77777777"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p w14:paraId="36182455" w14:textId="7AAF5FAB" w:rsidR="00AC3310" w:rsidRDefault="00AC3310" w:rsidP="00AC3310">
            <w:pPr>
              <w:widowControl w:val="0"/>
              <w:tabs>
                <w:tab w:val="left" w:pos="284"/>
                <w:tab w:val="left" w:pos="567"/>
              </w:tabs>
              <w:spacing w:after="0" w:line="360" w:lineRule="auto"/>
              <w:rPr>
                <w:rFonts w:ascii="Arial" w:eastAsia="Times New Roman" w:hAnsi="Arial" w:cs="Arial"/>
                <w:color w:val="000000"/>
                <w:sz w:val="24"/>
                <w:szCs w:val="24"/>
                <w:lang w:val="el-GR"/>
              </w:rPr>
            </w:pPr>
          </w:p>
          <w:p w14:paraId="34F61FBA" w14:textId="073913DC" w:rsidR="00AC3310" w:rsidRDefault="00AC3310" w:rsidP="00AC3310">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21(Ι) του 2013</w:t>
            </w:r>
          </w:p>
          <w:p w14:paraId="33BB9432" w14:textId="12DC50AC" w:rsidR="00AC3310" w:rsidRDefault="00AC3310" w:rsidP="00AC3310">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153(Ι) του 2013</w:t>
            </w:r>
          </w:p>
          <w:p w14:paraId="290F7FC6" w14:textId="51920C12" w:rsidR="00AC3310" w:rsidRDefault="00AC3310" w:rsidP="00AC3310">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169(Ι) του 2013</w:t>
            </w:r>
          </w:p>
          <w:p w14:paraId="6AE5F198" w14:textId="62C895D3" w:rsidR="00AC3310" w:rsidRDefault="00AC3310" w:rsidP="00AC3310">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157(Ι) του 2014</w:t>
            </w:r>
          </w:p>
          <w:p w14:paraId="4428B6CA" w14:textId="19AB7184" w:rsidR="00AC3310" w:rsidRDefault="00AC3310" w:rsidP="00AC3310">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202(Ι) του 2014</w:t>
            </w:r>
          </w:p>
          <w:p w14:paraId="612E91A5" w14:textId="17165320" w:rsidR="00AC3310" w:rsidRDefault="00AC3310" w:rsidP="00AC3310">
            <w:pPr>
              <w:widowControl w:val="0"/>
              <w:tabs>
                <w:tab w:val="left" w:pos="284"/>
                <w:tab w:val="left" w:pos="567"/>
              </w:tabs>
              <w:spacing w:after="0" w:line="360" w:lineRule="auto"/>
              <w:ind w:right="113"/>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195(Ι) του 2015</w:t>
            </w:r>
          </w:p>
          <w:p w14:paraId="701E436D" w14:textId="1A6A9B4F" w:rsidR="00AC3310" w:rsidRPr="0009791A" w:rsidRDefault="00AC3310" w:rsidP="00AC3310">
            <w:pPr>
              <w:widowControl w:val="0"/>
              <w:tabs>
                <w:tab w:val="left" w:pos="284"/>
                <w:tab w:val="left" w:pos="567"/>
              </w:tabs>
              <w:spacing w:after="0" w:line="360" w:lineRule="auto"/>
              <w:ind w:right="57"/>
              <w:jc w:val="right"/>
              <w:rPr>
                <w:rFonts w:ascii="Arial" w:eastAsia="Times New Roman" w:hAnsi="Arial" w:cs="Arial"/>
                <w:color w:val="000000"/>
                <w:sz w:val="24"/>
                <w:szCs w:val="24"/>
                <w:lang w:val="el-GR"/>
              </w:rPr>
            </w:pPr>
            <w:r>
              <w:rPr>
                <w:rFonts w:ascii="Arial" w:eastAsia="Times New Roman" w:hAnsi="Arial" w:cs="Arial"/>
                <w:color w:val="000000"/>
                <w:sz w:val="24"/>
                <w:szCs w:val="24"/>
                <w:lang w:val="el-GR"/>
              </w:rPr>
              <w:t>60(Ι) του 2017.</w:t>
            </w:r>
          </w:p>
        </w:tc>
        <w:tc>
          <w:tcPr>
            <w:tcW w:w="7362" w:type="dxa"/>
            <w:gridSpan w:val="4"/>
            <w:shd w:val="clear" w:color="auto" w:fill="auto"/>
            <w:hideMark/>
          </w:tcPr>
          <w:p w14:paraId="26F3BC8A" w14:textId="16F0474C" w:rsidR="00AC3310" w:rsidRPr="002B5AE3" w:rsidRDefault="00AC3310" w:rsidP="00AC3310">
            <w:pPr>
              <w:widowControl w:val="0"/>
              <w:tabs>
                <w:tab w:val="left" w:pos="397"/>
                <w:tab w:val="left" w:pos="794"/>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16.-(1)</w:t>
            </w:r>
            <w:r>
              <w:rPr>
                <w:rFonts w:ascii="Arial" w:eastAsia="Times New Roman" w:hAnsi="Arial" w:cs="Arial"/>
                <w:color w:val="000000"/>
                <w:sz w:val="24"/>
                <w:szCs w:val="24"/>
                <w:lang w:val="el-GR"/>
              </w:rPr>
              <w:tab/>
              <w:t>Ανεξαρτήτως των διατάξεων οποιουδήποτε σε ισχύ Νόμου ή Κανονισμών που εκδίδονται δυνάμει αυτού, κατά την περίοδο που λήγει την 31</w:t>
            </w:r>
            <w:r w:rsidRPr="00AC43B5">
              <w:rPr>
                <w:rFonts w:ascii="Arial" w:eastAsia="Times New Roman" w:hAnsi="Arial" w:cs="Arial"/>
                <w:color w:val="000000"/>
                <w:sz w:val="24"/>
                <w:szCs w:val="24"/>
                <w:vertAlign w:val="superscript"/>
                <w:lang w:val="el-GR"/>
              </w:rPr>
              <w:t>η</w:t>
            </w:r>
            <w:r>
              <w:rPr>
                <w:rFonts w:ascii="Arial" w:eastAsia="Times New Roman" w:hAnsi="Arial" w:cs="Arial"/>
                <w:color w:val="000000"/>
                <w:sz w:val="24"/>
                <w:szCs w:val="24"/>
                <w:lang w:val="el-GR"/>
              </w:rPr>
              <w:t xml:space="preserve"> Δεκεμβρίου 2023 απαγορεύεται η πλήρωση θέσεων Πρώτου Διορισμού, θέσεων Πρώτου Διορισμού και Προαγωγής και θέσεων Προαγωγής που περιλαμβάνονται στον παρόντα Νόμο, οι οποίες είναι κενές κατά την ημερομηνία έναρξης της ισχύος του παρόντος Νόμου ή οι οποίες θα κενωθούν κατά τη διάρκεια του οικονομικού έτους, εκτός εάν έχει αρχίσει η διαδικασία πλήρωσής τους κατόπιν έγκρισης σύμφωνα με τις διατάξεις του περί της Απαγόρευσης Πλήρωσης Κενών Θέσεων στο Δημόσιο και στον Ευρύτερο Δημόσιο Τομέα (Ειδικές Διατάξεις) Νόμου.</w:t>
            </w:r>
          </w:p>
        </w:tc>
      </w:tr>
      <w:tr w:rsidR="00AC3310" w:rsidRPr="00145567" w14:paraId="11B242B0" w14:textId="77777777" w:rsidTr="002E654D">
        <w:trPr>
          <w:trHeight w:val="414"/>
        </w:trPr>
        <w:tc>
          <w:tcPr>
            <w:tcW w:w="2142" w:type="dxa"/>
            <w:shd w:val="clear" w:color="auto" w:fill="auto"/>
          </w:tcPr>
          <w:p w14:paraId="7A085646" w14:textId="77777777" w:rsidR="00AC3310" w:rsidRPr="0009791A"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tcPr>
          <w:p w14:paraId="2CE2BE7B" w14:textId="77777777" w:rsidR="00AC3310" w:rsidRPr="00AC43B5"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r>
      <w:tr w:rsidR="00AC3310" w:rsidRPr="00145567" w14:paraId="555644CF" w14:textId="77777777" w:rsidTr="00300533">
        <w:trPr>
          <w:trHeight w:val="240"/>
        </w:trPr>
        <w:tc>
          <w:tcPr>
            <w:tcW w:w="2142" w:type="dxa"/>
            <w:shd w:val="clear" w:color="auto" w:fill="auto"/>
          </w:tcPr>
          <w:p w14:paraId="7359F441" w14:textId="77777777" w:rsidR="00AC3310" w:rsidRPr="0009791A" w:rsidRDefault="00AC3310" w:rsidP="00AC3310">
            <w:pPr>
              <w:widowControl w:val="0"/>
              <w:tabs>
                <w:tab w:val="left" w:pos="284"/>
                <w:tab w:val="left" w:pos="567"/>
              </w:tabs>
              <w:spacing w:after="0" w:line="360" w:lineRule="auto"/>
              <w:jc w:val="both"/>
              <w:rPr>
                <w:rFonts w:ascii="Arial" w:eastAsia="Times New Roman" w:hAnsi="Arial" w:cs="Arial"/>
                <w:color w:val="000000"/>
                <w:sz w:val="24"/>
                <w:szCs w:val="24"/>
                <w:lang w:val="el-GR"/>
              </w:rPr>
            </w:pPr>
          </w:p>
        </w:tc>
        <w:tc>
          <w:tcPr>
            <w:tcW w:w="7362" w:type="dxa"/>
            <w:gridSpan w:val="4"/>
            <w:shd w:val="clear" w:color="auto" w:fill="auto"/>
          </w:tcPr>
          <w:p w14:paraId="5CFC47AB" w14:textId="1AEBF87E" w:rsidR="00AC3310" w:rsidRPr="00AC43B5" w:rsidRDefault="00AC3310" w:rsidP="00AC3310">
            <w:pPr>
              <w:widowControl w:val="0"/>
              <w:tabs>
                <w:tab w:val="left" w:pos="397"/>
                <w:tab w:val="left" w:pos="794"/>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t>(2)</w:t>
            </w:r>
            <w:r>
              <w:rPr>
                <w:rFonts w:ascii="Arial" w:eastAsia="Times New Roman" w:hAnsi="Arial" w:cs="Arial"/>
                <w:color w:val="000000"/>
                <w:sz w:val="24"/>
                <w:szCs w:val="24"/>
                <w:lang w:val="el-GR"/>
              </w:rPr>
              <w:tab/>
              <w:t xml:space="preserve">Παρά τις διατάξεις του εδαφίου (1), είναι δυνατή η έναρξη διαδικασίας πλήρωσης κενής ή </w:t>
            </w:r>
            <w:proofErr w:type="spellStart"/>
            <w:r>
              <w:rPr>
                <w:rFonts w:ascii="Arial" w:eastAsia="Times New Roman" w:hAnsi="Arial" w:cs="Arial"/>
                <w:color w:val="000000"/>
                <w:sz w:val="24"/>
                <w:szCs w:val="24"/>
                <w:lang w:val="el-GR"/>
              </w:rPr>
              <w:t>κενούμενης</w:t>
            </w:r>
            <w:proofErr w:type="spellEnd"/>
            <w:r>
              <w:rPr>
                <w:rFonts w:ascii="Arial" w:eastAsia="Times New Roman" w:hAnsi="Arial" w:cs="Arial"/>
                <w:color w:val="000000"/>
                <w:sz w:val="24"/>
                <w:szCs w:val="24"/>
                <w:lang w:val="el-GR"/>
              </w:rPr>
              <w:t xml:space="preserve"> θέσης Πρώτου Διορισμού ή θέση Πρώτου Διορισμού και Προαγωγής ή θέσης Προαγωγής, μόνο στην περίπτωση που η αρμόδια για κάθε θέση αρχή υποβάλει προηγουμένως αιτιολογημένο αίτημα και της επιτραπεί η έναρξη διαδικασίας πλήρωσης κενής ή κενωθείσας θέσης, σύμφωνα με την προβλεπόμενη διαδικασία στον περί Απαγόρευσης Πλήρωσης Κενών Θέσεων στο Δημόσιο και στον Ευρύτερο Δημόσιο Τομέα (Ειδικές Διατάξεις) Νόμο.</w:t>
            </w:r>
          </w:p>
        </w:tc>
      </w:tr>
    </w:tbl>
    <w:p w14:paraId="6D9476F7" w14:textId="77777777" w:rsidR="003440BE" w:rsidRDefault="003440BE" w:rsidP="002E654D">
      <w:pPr>
        <w:widowControl w:val="0"/>
        <w:tabs>
          <w:tab w:val="left" w:pos="284"/>
          <w:tab w:val="left" w:pos="567"/>
        </w:tabs>
        <w:spacing w:after="0" w:line="360" w:lineRule="auto"/>
        <w:rPr>
          <w:rFonts w:ascii="Arial" w:hAnsi="Arial" w:cs="Arial"/>
          <w:sz w:val="20"/>
          <w:szCs w:val="20"/>
          <w:lang w:val="el-GR"/>
        </w:rPr>
      </w:pPr>
    </w:p>
    <w:p w14:paraId="58FAC634" w14:textId="5873CD36" w:rsidR="00AC43B5" w:rsidRPr="001245B1" w:rsidRDefault="00AC43B5" w:rsidP="002E654D">
      <w:pPr>
        <w:widowControl w:val="0"/>
        <w:tabs>
          <w:tab w:val="left" w:pos="284"/>
          <w:tab w:val="left" w:pos="567"/>
        </w:tabs>
        <w:spacing w:after="0" w:line="360" w:lineRule="auto"/>
        <w:rPr>
          <w:rFonts w:ascii="Arial" w:hAnsi="Arial" w:cs="Arial"/>
          <w:sz w:val="20"/>
          <w:szCs w:val="20"/>
          <w:lang w:val="el-GR"/>
        </w:rPr>
      </w:pPr>
      <w:r w:rsidRPr="001245B1">
        <w:rPr>
          <w:rFonts w:ascii="Arial" w:hAnsi="Arial" w:cs="Arial"/>
          <w:sz w:val="20"/>
          <w:szCs w:val="20"/>
          <w:lang w:val="el-GR"/>
        </w:rPr>
        <w:t>Αρ. Φακ.:  23.01.063</w:t>
      </w:r>
      <w:r w:rsidR="003440BE">
        <w:rPr>
          <w:rFonts w:ascii="Arial" w:hAnsi="Arial" w:cs="Arial"/>
          <w:sz w:val="20"/>
          <w:szCs w:val="20"/>
          <w:lang w:val="el-GR"/>
        </w:rPr>
        <w:t>.</w:t>
      </w:r>
      <w:r w:rsidRPr="001245B1">
        <w:rPr>
          <w:rFonts w:ascii="Arial" w:hAnsi="Arial" w:cs="Arial"/>
          <w:sz w:val="20"/>
          <w:szCs w:val="20"/>
          <w:lang w:val="el-GR"/>
        </w:rPr>
        <w:t>246-2022</w:t>
      </w:r>
    </w:p>
    <w:p w14:paraId="54BA01DD" w14:textId="5A677666" w:rsidR="00AC43B5" w:rsidRPr="001245B1" w:rsidRDefault="001245B1" w:rsidP="002E654D">
      <w:pPr>
        <w:widowControl w:val="0"/>
        <w:tabs>
          <w:tab w:val="left" w:pos="284"/>
          <w:tab w:val="left" w:pos="567"/>
        </w:tabs>
        <w:spacing w:after="0" w:line="360" w:lineRule="auto"/>
        <w:rPr>
          <w:rFonts w:ascii="Arial" w:hAnsi="Arial" w:cs="Arial"/>
          <w:sz w:val="20"/>
          <w:szCs w:val="20"/>
          <w:lang w:val="el-GR"/>
        </w:rPr>
      </w:pPr>
      <w:r w:rsidRPr="001245B1">
        <w:rPr>
          <w:rFonts w:ascii="Arial" w:hAnsi="Arial" w:cs="Arial"/>
          <w:sz w:val="20"/>
          <w:szCs w:val="20"/>
          <w:lang w:val="el-GR"/>
        </w:rPr>
        <w:t>ΠΧ/ΜΑΧ</w:t>
      </w:r>
    </w:p>
    <w:sectPr w:rsidR="00AC43B5" w:rsidRPr="001245B1" w:rsidSect="00B94914">
      <w:footerReference w:type="default" r:id="rId8"/>
      <w:pgSz w:w="11907" w:h="16839"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875B" w14:textId="77777777" w:rsidR="00FA23F7" w:rsidRDefault="00FA23F7" w:rsidP="00A41A91">
      <w:pPr>
        <w:spacing w:after="0" w:line="240" w:lineRule="auto"/>
      </w:pPr>
      <w:r>
        <w:separator/>
      </w:r>
    </w:p>
  </w:endnote>
  <w:endnote w:type="continuationSeparator" w:id="0">
    <w:p w14:paraId="6557EA86" w14:textId="77777777" w:rsidR="00FA23F7" w:rsidRDefault="00FA23F7" w:rsidP="00A4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6512"/>
      <w:docPartObj>
        <w:docPartGallery w:val="Page Numbers (Bottom of Page)"/>
        <w:docPartUnique/>
      </w:docPartObj>
    </w:sdtPr>
    <w:sdtEndPr>
      <w:rPr>
        <w:rFonts w:ascii="Arial" w:hAnsi="Arial" w:cs="Arial"/>
        <w:sz w:val="24"/>
        <w:szCs w:val="24"/>
      </w:rPr>
    </w:sdtEndPr>
    <w:sdtContent>
      <w:p w14:paraId="17F1DB98" w14:textId="221DF49F" w:rsidR="00527AD8" w:rsidRPr="009D5FAD" w:rsidRDefault="00C723FD">
        <w:pPr>
          <w:pStyle w:val="Footer"/>
          <w:jc w:val="center"/>
          <w:rPr>
            <w:rFonts w:ascii="Arial" w:hAnsi="Arial" w:cs="Arial"/>
            <w:sz w:val="24"/>
            <w:szCs w:val="24"/>
          </w:rPr>
        </w:pPr>
        <w:r w:rsidRPr="009D5FAD">
          <w:rPr>
            <w:rFonts w:ascii="Arial" w:hAnsi="Arial" w:cs="Arial"/>
            <w:noProof/>
            <w:sz w:val="24"/>
            <w:szCs w:val="24"/>
          </w:rPr>
          <w:fldChar w:fldCharType="begin"/>
        </w:r>
        <w:r w:rsidR="008555E4" w:rsidRPr="009D5FAD">
          <w:rPr>
            <w:rFonts w:ascii="Arial" w:hAnsi="Arial" w:cs="Arial"/>
            <w:noProof/>
            <w:sz w:val="24"/>
            <w:szCs w:val="24"/>
          </w:rPr>
          <w:instrText xml:space="preserve"> PAGE   \* MERGEFORMAT </w:instrText>
        </w:r>
        <w:r w:rsidRPr="009D5FAD">
          <w:rPr>
            <w:rFonts w:ascii="Arial" w:hAnsi="Arial" w:cs="Arial"/>
            <w:noProof/>
            <w:sz w:val="24"/>
            <w:szCs w:val="24"/>
          </w:rPr>
          <w:fldChar w:fldCharType="separate"/>
        </w:r>
        <w:r w:rsidR="003B7C54" w:rsidRPr="009D5FAD">
          <w:rPr>
            <w:rFonts w:ascii="Arial" w:hAnsi="Arial" w:cs="Arial"/>
            <w:noProof/>
            <w:sz w:val="24"/>
            <w:szCs w:val="24"/>
          </w:rPr>
          <w:t>4</w:t>
        </w:r>
        <w:r w:rsidRPr="009D5FAD">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8E81" w14:textId="77777777" w:rsidR="00FA23F7" w:rsidRDefault="00FA23F7" w:rsidP="00A41A91">
      <w:pPr>
        <w:spacing w:after="0" w:line="240" w:lineRule="auto"/>
      </w:pPr>
      <w:r>
        <w:separator/>
      </w:r>
    </w:p>
  </w:footnote>
  <w:footnote w:type="continuationSeparator" w:id="0">
    <w:p w14:paraId="719CEF6D" w14:textId="77777777" w:rsidR="00FA23F7" w:rsidRDefault="00FA23F7" w:rsidP="00A4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2FE2"/>
    <w:multiLevelType w:val="hybridMultilevel"/>
    <w:tmpl w:val="578639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E4151E4"/>
    <w:multiLevelType w:val="hybridMultilevel"/>
    <w:tmpl w:val="2AE05B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121487466">
    <w:abstractNumId w:val="0"/>
  </w:num>
  <w:num w:numId="2" w16cid:durableId="761143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9C5"/>
    <w:rsid w:val="00016085"/>
    <w:rsid w:val="00020D88"/>
    <w:rsid w:val="00073253"/>
    <w:rsid w:val="000734AE"/>
    <w:rsid w:val="00073AF2"/>
    <w:rsid w:val="0008323A"/>
    <w:rsid w:val="00083A70"/>
    <w:rsid w:val="0009417F"/>
    <w:rsid w:val="00094834"/>
    <w:rsid w:val="0009791A"/>
    <w:rsid w:val="000C271E"/>
    <w:rsid w:val="000D34CF"/>
    <w:rsid w:val="000E2601"/>
    <w:rsid w:val="000F0B82"/>
    <w:rsid w:val="000F16F4"/>
    <w:rsid w:val="00102A66"/>
    <w:rsid w:val="001066C9"/>
    <w:rsid w:val="00110F93"/>
    <w:rsid w:val="00113131"/>
    <w:rsid w:val="001222D8"/>
    <w:rsid w:val="001245B1"/>
    <w:rsid w:val="00126C89"/>
    <w:rsid w:val="00126DA8"/>
    <w:rsid w:val="00132B8D"/>
    <w:rsid w:val="00140161"/>
    <w:rsid w:val="00145567"/>
    <w:rsid w:val="00147BDB"/>
    <w:rsid w:val="001561F0"/>
    <w:rsid w:val="00157A60"/>
    <w:rsid w:val="001626B4"/>
    <w:rsid w:val="0017616B"/>
    <w:rsid w:val="001763EC"/>
    <w:rsid w:val="00187DF2"/>
    <w:rsid w:val="00191FB0"/>
    <w:rsid w:val="001A1DF9"/>
    <w:rsid w:val="001A5878"/>
    <w:rsid w:val="001A6670"/>
    <w:rsid w:val="001B1992"/>
    <w:rsid w:val="001C5571"/>
    <w:rsid w:val="001F5E77"/>
    <w:rsid w:val="00201663"/>
    <w:rsid w:val="00206DE9"/>
    <w:rsid w:val="0021709A"/>
    <w:rsid w:val="00223CEC"/>
    <w:rsid w:val="00224382"/>
    <w:rsid w:val="00246B6B"/>
    <w:rsid w:val="00247115"/>
    <w:rsid w:val="002471F1"/>
    <w:rsid w:val="00251760"/>
    <w:rsid w:val="00254D74"/>
    <w:rsid w:val="00263DE3"/>
    <w:rsid w:val="00264F02"/>
    <w:rsid w:val="00266319"/>
    <w:rsid w:val="002777E6"/>
    <w:rsid w:val="0028531B"/>
    <w:rsid w:val="0028740A"/>
    <w:rsid w:val="00295886"/>
    <w:rsid w:val="002B1F51"/>
    <w:rsid w:val="002B5AE3"/>
    <w:rsid w:val="002C28F7"/>
    <w:rsid w:val="002C3A24"/>
    <w:rsid w:val="002C6348"/>
    <w:rsid w:val="002D49AA"/>
    <w:rsid w:val="002E2E3D"/>
    <w:rsid w:val="002E654D"/>
    <w:rsid w:val="002E748A"/>
    <w:rsid w:val="002F1E4A"/>
    <w:rsid w:val="002F682F"/>
    <w:rsid w:val="00300533"/>
    <w:rsid w:val="00301453"/>
    <w:rsid w:val="0031078F"/>
    <w:rsid w:val="00320250"/>
    <w:rsid w:val="003367EA"/>
    <w:rsid w:val="003440BE"/>
    <w:rsid w:val="00344A89"/>
    <w:rsid w:val="00345F36"/>
    <w:rsid w:val="00347067"/>
    <w:rsid w:val="00353BAE"/>
    <w:rsid w:val="0035420B"/>
    <w:rsid w:val="0035779E"/>
    <w:rsid w:val="00361C7D"/>
    <w:rsid w:val="003664BD"/>
    <w:rsid w:val="0037622B"/>
    <w:rsid w:val="003941D7"/>
    <w:rsid w:val="003A321F"/>
    <w:rsid w:val="003A7EE4"/>
    <w:rsid w:val="003B4017"/>
    <w:rsid w:val="003B4671"/>
    <w:rsid w:val="003B7C54"/>
    <w:rsid w:val="003C5787"/>
    <w:rsid w:val="003E1954"/>
    <w:rsid w:val="003F17EB"/>
    <w:rsid w:val="003F75CE"/>
    <w:rsid w:val="00405DF3"/>
    <w:rsid w:val="0040628A"/>
    <w:rsid w:val="0041590F"/>
    <w:rsid w:val="004346D6"/>
    <w:rsid w:val="00435B40"/>
    <w:rsid w:val="0044601A"/>
    <w:rsid w:val="0044675E"/>
    <w:rsid w:val="004500B4"/>
    <w:rsid w:val="00465993"/>
    <w:rsid w:val="00465B3C"/>
    <w:rsid w:val="00491B38"/>
    <w:rsid w:val="00493C5D"/>
    <w:rsid w:val="004A599F"/>
    <w:rsid w:val="004B5D44"/>
    <w:rsid w:val="004C234E"/>
    <w:rsid w:val="004C41A2"/>
    <w:rsid w:val="004C45ED"/>
    <w:rsid w:val="004C7B48"/>
    <w:rsid w:val="004E497E"/>
    <w:rsid w:val="004E7342"/>
    <w:rsid w:val="004E7982"/>
    <w:rsid w:val="004F7CF3"/>
    <w:rsid w:val="005009FD"/>
    <w:rsid w:val="00503E8C"/>
    <w:rsid w:val="00503F45"/>
    <w:rsid w:val="005106C4"/>
    <w:rsid w:val="00510902"/>
    <w:rsid w:val="00521286"/>
    <w:rsid w:val="00527AD8"/>
    <w:rsid w:val="00537A43"/>
    <w:rsid w:val="00542CB5"/>
    <w:rsid w:val="00545EC3"/>
    <w:rsid w:val="0055771A"/>
    <w:rsid w:val="00557E80"/>
    <w:rsid w:val="00561966"/>
    <w:rsid w:val="00567A80"/>
    <w:rsid w:val="00574D53"/>
    <w:rsid w:val="005820C6"/>
    <w:rsid w:val="0058580E"/>
    <w:rsid w:val="00594405"/>
    <w:rsid w:val="005B1B25"/>
    <w:rsid w:val="005B4120"/>
    <w:rsid w:val="005C3402"/>
    <w:rsid w:val="005C39BA"/>
    <w:rsid w:val="005C70D8"/>
    <w:rsid w:val="005D54DE"/>
    <w:rsid w:val="005E4825"/>
    <w:rsid w:val="006009C5"/>
    <w:rsid w:val="0061662C"/>
    <w:rsid w:val="00620BF4"/>
    <w:rsid w:val="006215A8"/>
    <w:rsid w:val="00645CCD"/>
    <w:rsid w:val="00671E21"/>
    <w:rsid w:val="00672D33"/>
    <w:rsid w:val="006862B6"/>
    <w:rsid w:val="006902BC"/>
    <w:rsid w:val="00692BC6"/>
    <w:rsid w:val="00693EBD"/>
    <w:rsid w:val="006B2F51"/>
    <w:rsid w:val="006C28A1"/>
    <w:rsid w:val="006C5E64"/>
    <w:rsid w:val="006D0F1D"/>
    <w:rsid w:val="006D2FB1"/>
    <w:rsid w:val="006E7335"/>
    <w:rsid w:val="006F2245"/>
    <w:rsid w:val="00710646"/>
    <w:rsid w:val="007234CA"/>
    <w:rsid w:val="00724CB0"/>
    <w:rsid w:val="00733FFD"/>
    <w:rsid w:val="0074132B"/>
    <w:rsid w:val="00742543"/>
    <w:rsid w:val="00742751"/>
    <w:rsid w:val="00745FA6"/>
    <w:rsid w:val="00755EFD"/>
    <w:rsid w:val="00776900"/>
    <w:rsid w:val="00781483"/>
    <w:rsid w:val="00783BB1"/>
    <w:rsid w:val="00792F64"/>
    <w:rsid w:val="00794D2D"/>
    <w:rsid w:val="007A126D"/>
    <w:rsid w:val="007A269A"/>
    <w:rsid w:val="007B2BB2"/>
    <w:rsid w:val="007C7B60"/>
    <w:rsid w:val="007D11B0"/>
    <w:rsid w:val="007E64DA"/>
    <w:rsid w:val="007E7B7A"/>
    <w:rsid w:val="007F2DED"/>
    <w:rsid w:val="007F77E2"/>
    <w:rsid w:val="008035E1"/>
    <w:rsid w:val="00804B6E"/>
    <w:rsid w:val="008071F4"/>
    <w:rsid w:val="008117FF"/>
    <w:rsid w:val="008174FF"/>
    <w:rsid w:val="00817F48"/>
    <w:rsid w:val="00821D4D"/>
    <w:rsid w:val="00823BD2"/>
    <w:rsid w:val="008257EA"/>
    <w:rsid w:val="00826AC1"/>
    <w:rsid w:val="00841658"/>
    <w:rsid w:val="00847C2D"/>
    <w:rsid w:val="0085001C"/>
    <w:rsid w:val="008555E4"/>
    <w:rsid w:val="008606E1"/>
    <w:rsid w:val="008673EB"/>
    <w:rsid w:val="00872B89"/>
    <w:rsid w:val="00885FD2"/>
    <w:rsid w:val="00886AC9"/>
    <w:rsid w:val="00887965"/>
    <w:rsid w:val="00893D6F"/>
    <w:rsid w:val="008B00DF"/>
    <w:rsid w:val="008B0768"/>
    <w:rsid w:val="008C0DA9"/>
    <w:rsid w:val="008C4E13"/>
    <w:rsid w:val="008C5F8E"/>
    <w:rsid w:val="008C6E06"/>
    <w:rsid w:val="008D112B"/>
    <w:rsid w:val="008D3BB7"/>
    <w:rsid w:val="008D7C45"/>
    <w:rsid w:val="008E47BA"/>
    <w:rsid w:val="008F7536"/>
    <w:rsid w:val="00901D29"/>
    <w:rsid w:val="00904705"/>
    <w:rsid w:val="00904C55"/>
    <w:rsid w:val="00912518"/>
    <w:rsid w:val="00934907"/>
    <w:rsid w:val="00940C49"/>
    <w:rsid w:val="009414C6"/>
    <w:rsid w:val="00945FA3"/>
    <w:rsid w:val="009508BC"/>
    <w:rsid w:val="009546F9"/>
    <w:rsid w:val="009572A1"/>
    <w:rsid w:val="00960E6A"/>
    <w:rsid w:val="0096596F"/>
    <w:rsid w:val="00975762"/>
    <w:rsid w:val="009A06A6"/>
    <w:rsid w:val="009A156E"/>
    <w:rsid w:val="009A4B2E"/>
    <w:rsid w:val="009B7EE5"/>
    <w:rsid w:val="009B7F6D"/>
    <w:rsid w:val="009C4461"/>
    <w:rsid w:val="009C4A43"/>
    <w:rsid w:val="009D11F4"/>
    <w:rsid w:val="009D5FAD"/>
    <w:rsid w:val="009D659F"/>
    <w:rsid w:val="009E7B47"/>
    <w:rsid w:val="009F7CA5"/>
    <w:rsid w:val="00A13002"/>
    <w:rsid w:val="00A13A66"/>
    <w:rsid w:val="00A14086"/>
    <w:rsid w:val="00A16B1F"/>
    <w:rsid w:val="00A26033"/>
    <w:rsid w:val="00A3303F"/>
    <w:rsid w:val="00A3432B"/>
    <w:rsid w:val="00A37E4F"/>
    <w:rsid w:val="00A41A91"/>
    <w:rsid w:val="00A4453F"/>
    <w:rsid w:val="00A517BC"/>
    <w:rsid w:val="00A638D1"/>
    <w:rsid w:val="00A65F40"/>
    <w:rsid w:val="00A7062B"/>
    <w:rsid w:val="00A757B6"/>
    <w:rsid w:val="00A86F22"/>
    <w:rsid w:val="00A94C3E"/>
    <w:rsid w:val="00AA7050"/>
    <w:rsid w:val="00AB0C14"/>
    <w:rsid w:val="00AB79AB"/>
    <w:rsid w:val="00AC3310"/>
    <w:rsid w:val="00AC43B5"/>
    <w:rsid w:val="00AC6037"/>
    <w:rsid w:val="00AD3D5C"/>
    <w:rsid w:val="00AE27AC"/>
    <w:rsid w:val="00AF50EA"/>
    <w:rsid w:val="00AF64BD"/>
    <w:rsid w:val="00B031C6"/>
    <w:rsid w:val="00B15B58"/>
    <w:rsid w:val="00B337AA"/>
    <w:rsid w:val="00B41BBB"/>
    <w:rsid w:val="00B41E3E"/>
    <w:rsid w:val="00B43267"/>
    <w:rsid w:val="00B65B69"/>
    <w:rsid w:val="00B73362"/>
    <w:rsid w:val="00B838EE"/>
    <w:rsid w:val="00B93F1B"/>
    <w:rsid w:val="00B94914"/>
    <w:rsid w:val="00BA2752"/>
    <w:rsid w:val="00BA2C89"/>
    <w:rsid w:val="00BA3682"/>
    <w:rsid w:val="00BA5F2E"/>
    <w:rsid w:val="00BB2354"/>
    <w:rsid w:val="00BC1843"/>
    <w:rsid w:val="00BC1F63"/>
    <w:rsid w:val="00BC4F1D"/>
    <w:rsid w:val="00BD2793"/>
    <w:rsid w:val="00BD5D51"/>
    <w:rsid w:val="00BD7760"/>
    <w:rsid w:val="00C04FD0"/>
    <w:rsid w:val="00C14C9B"/>
    <w:rsid w:val="00C14DAE"/>
    <w:rsid w:val="00C25745"/>
    <w:rsid w:val="00C307EE"/>
    <w:rsid w:val="00C318B6"/>
    <w:rsid w:val="00C47F76"/>
    <w:rsid w:val="00C53F0D"/>
    <w:rsid w:val="00C618C1"/>
    <w:rsid w:val="00C643C7"/>
    <w:rsid w:val="00C67F86"/>
    <w:rsid w:val="00C723FD"/>
    <w:rsid w:val="00C8185F"/>
    <w:rsid w:val="00C836E0"/>
    <w:rsid w:val="00C842FD"/>
    <w:rsid w:val="00C905C1"/>
    <w:rsid w:val="00C919A9"/>
    <w:rsid w:val="00CB4899"/>
    <w:rsid w:val="00CB70A1"/>
    <w:rsid w:val="00CE23CC"/>
    <w:rsid w:val="00CF6510"/>
    <w:rsid w:val="00D05349"/>
    <w:rsid w:val="00D164E6"/>
    <w:rsid w:val="00D24003"/>
    <w:rsid w:val="00D34FEC"/>
    <w:rsid w:val="00D52A0D"/>
    <w:rsid w:val="00D54AD4"/>
    <w:rsid w:val="00D54ED2"/>
    <w:rsid w:val="00D704EF"/>
    <w:rsid w:val="00D7187B"/>
    <w:rsid w:val="00D7338A"/>
    <w:rsid w:val="00D82A58"/>
    <w:rsid w:val="00D948BB"/>
    <w:rsid w:val="00D95EF9"/>
    <w:rsid w:val="00D96211"/>
    <w:rsid w:val="00DA1E95"/>
    <w:rsid w:val="00DA4529"/>
    <w:rsid w:val="00DA5C00"/>
    <w:rsid w:val="00DA7D83"/>
    <w:rsid w:val="00DB3366"/>
    <w:rsid w:val="00DB6C08"/>
    <w:rsid w:val="00DB7661"/>
    <w:rsid w:val="00DD4D15"/>
    <w:rsid w:val="00DD5458"/>
    <w:rsid w:val="00DD55A5"/>
    <w:rsid w:val="00DD5E11"/>
    <w:rsid w:val="00DE0715"/>
    <w:rsid w:val="00DE75E0"/>
    <w:rsid w:val="00E100CC"/>
    <w:rsid w:val="00E112CC"/>
    <w:rsid w:val="00E11303"/>
    <w:rsid w:val="00E115B3"/>
    <w:rsid w:val="00E21BF8"/>
    <w:rsid w:val="00E22A1D"/>
    <w:rsid w:val="00E33A3C"/>
    <w:rsid w:val="00E44515"/>
    <w:rsid w:val="00E47926"/>
    <w:rsid w:val="00E53B98"/>
    <w:rsid w:val="00E64EFA"/>
    <w:rsid w:val="00E71DF9"/>
    <w:rsid w:val="00E74511"/>
    <w:rsid w:val="00E84C68"/>
    <w:rsid w:val="00EA19BD"/>
    <w:rsid w:val="00EA1DE3"/>
    <w:rsid w:val="00EB5625"/>
    <w:rsid w:val="00EB6201"/>
    <w:rsid w:val="00EC37BC"/>
    <w:rsid w:val="00ED2216"/>
    <w:rsid w:val="00ED2254"/>
    <w:rsid w:val="00ED29B3"/>
    <w:rsid w:val="00ED2D6D"/>
    <w:rsid w:val="00ED5564"/>
    <w:rsid w:val="00EE6E38"/>
    <w:rsid w:val="00F11D9E"/>
    <w:rsid w:val="00F159BC"/>
    <w:rsid w:val="00F1684F"/>
    <w:rsid w:val="00F27EC3"/>
    <w:rsid w:val="00F324BF"/>
    <w:rsid w:val="00F362F7"/>
    <w:rsid w:val="00F510E8"/>
    <w:rsid w:val="00F717C0"/>
    <w:rsid w:val="00F935FA"/>
    <w:rsid w:val="00F9787F"/>
    <w:rsid w:val="00FA23F7"/>
    <w:rsid w:val="00FA43C5"/>
    <w:rsid w:val="00FB53A1"/>
    <w:rsid w:val="00FB6213"/>
    <w:rsid w:val="00FD6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C31B"/>
  <w15:docId w15:val="{A86510D5-88FC-4CF7-9B85-7A78DD9A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1A91"/>
  </w:style>
  <w:style w:type="paragraph" w:styleId="Footer">
    <w:name w:val="footer"/>
    <w:basedOn w:val="Normal"/>
    <w:link w:val="FooterChar"/>
    <w:uiPriority w:val="99"/>
    <w:unhideWhenUsed/>
    <w:rsid w:val="00A41A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1A91"/>
  </w:style>
  <w:style w:type="character" w:styleId="LineNumber">
    <w:name w:val="line number"/>
    <w:basedOn w:val="DefaultParagraphFont"/>
    <w:uiPriority w:val="99"/>
    <w:semiHidden/>
    <w:unhideWhenUsed/>
    <w:rsid w:val="00DB7661"/>
  </w:style>
  <w:style w:type="paragraph" w:styleId="ListParagraph">
    <w:name w:val="List Paragraph"/>
    <w:basedOn w:val="Normal"/>
    <w:uiPriority w:val="34"/>
    <w:qFormat/>
    <w:rsid w:val="00B15B58"/>
    <w:pPr>
      <w:ind w:left="720"/>
      <w:contextualSpacing/>
    </w:pPr>
  </w:style>
  <w:style w:type="paragraph" w:styleId="BalloonText">
    <w:name w:val="Balloon Text"/>
    <w:basedOn w:val="Normal"/>
    <w:link w:val="BalloonTextChar"/>
    <w:uiPriority w:val="99"/>
    <w:semiHidden/>
    <w:unhideWhenUsed/>
    <w:rsid w:val="008D1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2B"/>
    <w:rPr>
      <w:rFonts w:ascii="Segoe UI" w:hAnsi="Segoe UI" w:cs="Segoe UI"/>
      <w:sz w:val="18"/>
      <w:szCs w:val="18"/>
    </w:rPr>
  </w:style>
  <w:style w:type="character" w:customStyle="1" w:styleId="FontStyle11">
    <w:name w:val="Font Style11"/>
    <w:basedOn w:val="DefaultParagraphFont"/>
    <w:uiPriority w:val="99"/>
    <w:rsid w:val="008117FF"/>
    <w:rPr>
      <w:rFonts w:ascii="Arial" w:hAnsi="Arial" w:cs="Arial"/>
      <w:sz w:val="20"/>
      <w:szCs w:val="20"/>
    </w:rPr>
  </w:style>
  <w:style w:type="paragraph" w:customStyle="1" w:styleId="Style7">
    <w:name w:val="Style7"/>
    <w:basedOn w:val="Normal"/>
    <w:uiPriority w:val="99"/>
    <w:rsid w:val="008117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basedOn w:val="DefaultParagraphFont"/>
    <w:uiPriority w:val="99"/>
    <w:rsid w:val="008117FF"/>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8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4FB5-82D2-4CDB-83D9-000D355D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11</Pages>
  <Words>2574</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e79839</dc:creator>
  <cp:lastModifiedBy>Maria Achilleos</cp:lastModifiedBy>
  <cp:revision>252</cp:revision>
  <cp:lastPrinted>2022-07-06T10:40:00Z</cp:lastPrinted>
  <dcterms:created xsi:type="dcterms:W3CDTF">2015-08-28T05:42:00Z</dcterms:created>
  <dcterms:modified xsi:type="dcterms:W3CDTF">2022-11-30T06:33:00Z</dcterms:modified>
</cp:coreProperties>
</file>