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5730" w14:textId="77777777" w:rsidR="006D4B27" w:rsidRPr="006D4B27" w:rsidRDefault="006D4B27" w:rsidP="006D4B27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6D4B27">
        <w:rPr>
          <w:rFonts w:ascii="Arial" w:hAnsi="Arial" w:cs="Arial"/>
          <w:sz w:val="24"/>
          <w:szCs w:val="24"/>
          <w:lang w:val="el-GR"/>
        </w:rPr>
        <w:t>ΝΟΜΟΣ ΠΟΥ ΠΡΟΒΛΕΠΕΙ ΓΙΑ ΤΟΝ ΠΡΟΥΠΟΛΟΓΙΣΜΟ ΤΟΥ ΤΑΜΕΙΟΥ ΤΟΥΡΚΟΚΥΠΡΙΑΚΩΝ ΠΕΡΙΟΥΣΙΩΝ ΓΙΑ ΤΟ ΟΙΚΟΝΟΜΙΚΟ ΕΤΟΣ ΠΟΥ ΛΗΓΕΙ ΤΗΝ ΤΡΙΑΚΟΣΤΗ ΠΡΩΤΗ ΔΕΚΕΜΒΡΙΟΥ ΤΟΥ ΔΥΟ ΧΙΛΙΑΔΕΣ ΕΙΚΟΣΙ ΤΡΙΑ</w:t>
      </w:r>
    </w:p>
    <w:p w14:paraId="57A1C76C" w14:textId="77777777" w:rsidR="006D4B27" w:rsidRPr="006D4B27" w:rsidRDefault="006D4B27" w:rsidP="006D4B2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F238B1" w:rsidRPr="002656B4" w14:paraId="44159C1E" w14:textId="77777777" w:rsidTr="00523548">
        <w:trPr>
          <w:trHeight w:val="2539"/>
        </w:trPr>
        <w:tc>
          <w:tcPr>
            <w:tcW w:w="2235" w:type="dxa"/>
          </w:tcPr>
          <w:p w14:paraId="75B06C01" w14:textId="77777777" w:rsidR="006C42EA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Προοίμιο.</w:t>
            </w:r>
          </w:p>
          <w:p w14:paraId="0C2C5E73" w14:textId="77777777" w:rsidR="006C42EA" w:rsidRPr="006D4B27" w:rsidRDefault="00FF7736" w:rsidP="006D4B27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6C42EA" w:rsidRPr="006D4B27">
              <w:rPr>
                <w:rFonts w:ascii="Arial" w:hAnsi="Arial" w:cs="Arial"/>
                <w:sz w:val="24"/>
                <w:szCs w:val="24"/>
                <w:lang w:val="el-GR"/>
              </w:rPr>
              <w:t>(Ι) του 20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</w:p>
          <w:p w14:paraId="1D300D77" w14:textId="3944CBAB" w:rsidR="006C42EA" w:rsidRPr="006D4B27" w:rsidRDefault="00FF7736" w:rsidP="006D4B27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123</w:t>
            </w:r>
            <w:r w:rsidR="006C42EA" w:rsidRPr="006D4B27">
              <w:rPr>
                <w:rFonts w:ascii="Arial" w:hAnsi="Arial" w:cs="Arial"/>
                <w:sz w:val="24"/>
                <w:szCs w:val="24"/>
                <w:lang w:val="el-GR"/>
              </w:rPr>
              <w:t>(Ι) του 201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  <w:p w14:paraId="57813DBC" w14:textId="63CD697F" w:rsidR="006C42EA" w:rsidRPr="006D4B27" w:rsidRDefault="00FF7736" w:rsidP="006D4B27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133</w:t>
            </w:r>
            <w:r w:rsidR="006C42EA" w:rsidRPr="006D4B27">
              <w:rPr>
                <w:rFonts w:ascii="Arial" w:hAnsi="Arial" w:cs="Arial"/>
                <w:sz w:val="24"/>
                <w:szCs w:val="24"/>
                <w:lang w:val="el-GR"/>
              </w:rPr>
              <w:t>(Ι) του 201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  <w:p w14:paraId="142A3548" w14:textId="5A550819" w:rsidR="006C42EA" w:rsidRPr="006D4B27" w:rsidRDefault="006C42EA" w:rsidP="006D4B27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FF7736" w:rsidRPr="006D4B27">
              <w:rPr>
                <w:rFonts w:ascii="Arial" w:hAnsi="Arial" w:cs="Arial"/>
                <w:sz w:val="24"/>
                <w:szCs w:val="24"/>
                <w:lang w:val="el-GR"/>
              </w:rPr>
              <w:t>59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D4B2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) του 201</w:t>
            </w:r>
            <w:r w:rsidR="00FF7736" w:rsidRPr="006D4B27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194CA9" w:rsidRPr="006D4B2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324AD8C8" w14:textId="77777777" w:rsidR="006C42EA" w:rsidRPr="006D4B27" w:rsidRDefault="006C42EA" w:rsidP="006D4B27">
            <w:pPr>
              <w:spacing w:line="360" w:lineRule="auto"/>
              <w:ind w:right="176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6B5163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3C1E2FE9" w14:textId="4CE1F210" w:rsidR="00F238B1" w:rsidRPr="006D4B27" w:rsidRDefault="00F238B1" w:rsidP="006D4B27">
            <w:pPr>
              <w:tabs>
                <w:tab w:val="left" w:pos="88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ΕΠΕΙΔΗ</w:t>
            </w:r>
            <w:r w:rsidR="006B5CC8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B5CC8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σύμφωνα με </w:t>
            </w:r>
            <w:r w:rsidR="00F80CC6" w:rsidRPr="006D4B27">
              <w:rPr>
                <w:rFonts w:ascii="Arial" w:hAnsi="Arial" w:cs="Arial"/>
                <w:sz w:val="24"/>
                <w:szCs w:val="24"/>
                <w:lang w:val="el-GR"/>
              </w:rPr>
              <w:t>τις διατάξεις</w:t>
            </w:r>
            <w:r w:rsidR="00507C53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το</w:t>
            </w:r>
            <w:r w:rsidR="00F80CC6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υ </w:t>
            </w:r>
            <w:r w:rsidR="00523548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104 του  </w:t>
            </w:r>
            <w:r w:rsidR="00F80CC6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περί της Δημοσιονομικής Ευθύνης και του Δημοσιονομικού Πλαισίου Νόμου,</w:t>
            </w:r>
            <w:r w:rsidR="00507C53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ο ετήσιος προϋπολογισμός</w:t>
            </w:r>
            <w:r w:rsidR="00507C53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κρατικών οργανισμών και κάθε αναθεωρημένος προϋπολογισμός αυτού,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καταρτίζ</w:t>
            </w:r>
            <w:r w:rsidR="00507C53" w:rsidRPr="006D4B27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κατατίθε</w:t>
            </w:r>
            <w:r w:rsidR="00507C53" w:rsidRPr="006D4B27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ται στη Βουλή των Αντιπροσώπων για ψήφιση κατά τον τρόπο και τη διαδικασία που αναφέρονται σ</w:t>
            </w:r>
            <w:r w:rsidR="00642D51" w:rsidRPr="006D4B27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αυτόν</w:t>
            </w:r>
            <w:r w:rsidR="006B5CC8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6D20DBAD" w14:textId="77777777" w:rsidR="00523548" w:rsidRPr="006D4B27" w:rsidRDefault="00523548" w:rsidP="006D4B27">
            <w:pPr>
              <w:tabs>
                <w:tab w:val="left" w:pos="88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9F7343" w14:textId="77A1A929" w:rsidR="00523548" w:rsidRPr="006D4B27" w:rsidRDefault="00523548" w:rsidP="006D4B2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ΚΑΙ ΕΠΕΙΔΗ</w:t>
            </w:r>
            <w:r w:rsidR="00053682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αναγκαία η πρόβλεψη για εκείνες τις δαπάνες 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Ταμείου Τουρκοκυπριακών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Περιουσιών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έτος </w:t>
            </w:r>
            <w:r w:rsidR="00A759CE" w:rsidRPr="006D4B27">
              <w:rPr>
                <w:rFonts w:ascii="Arial" w:hAnsi="Arial" w:cs="Arial"/>
                <w:sz w:val="24"/>
                <w:szCs w:val="24"/>
                <w:lang w:val="el-GR"/>
              </w:rPr>
              <w:t>που λήγει την 31</w:t>
            </w:r>
            <w:r w:rsidR="00A759CE" w:rsidRPr="006D4B27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A759C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Δεκεμβρίου 20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23 </w:t>
            </w:r>
            <w:r w:rsidR="00A759CE" w:rsidRPr="006D4B27">
              <w:rPr>
                <w:rFonts w:ascii="Arial" w:hAnsi="Arial" w:cs="Arial"/>
                <w:sz w:val="24"/>
                <w:szCs w:val="24"/>
                <w:lang w:val="el-GR"/>
              </w:rPr>
              <w:t>για τις οποίες δεν έχει γίνει πρόβλεψη ή δεν θα γίνει αργότερα τέτοια από οποιονδήποτε Νόμο,</w:t>
            </w:r>
          </w:p>
        </w:tc>
      </w:tr>
      <w:tr w:rsidR="006D4B27" w:rsidRPr="002656B4" w14:paraId="10EFFB6D" w14:textId="77777777" w:rsidTr="001D5499">
        <w:trPr>
          <w:trHeight w:val="323"/>
        </w:trPr>
        <w:tc>
          <w:tcPr>
            <w:tcW w:w="2235" w:type="dxa"/>
          </w:tcPr>
          <w:p w14:paraId="0EB36C8D" w14:textId="77777777" w:rsidR="006D4B27" w:rsidRPr="006D4B27" w:rsidRDefault="006D4B27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14580CCE" w14:textId="77777777" w:rsidR="006D4B27" w:rsidRPr="006D4B27" w:rsidRDefault="006D4B27" w:rsidP="006D4B27">
            <w:pPr>
              <w:spacing w:line="360" w:lineRule="auto"/>
              <w:ind w:left="72" w:hanging="7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7E1AAE64" w14:textId="77777777" w:rsidTr="006C42EA">
        <w:trPr>
          <w:trHeight w:val="564"/>
        </w:trPr>
        <w:tc>
          <w:tcPr>
            <w:tcW w:w="2235" w:type="dxa"/>
          </w:tcPr>
          <w:p w14:paraId="0C130F61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065B7817" w14:textId="149B7D0B" w:rsidR="00F238B1" w:rsidRPr="006D4B27" w:rsidRDefault="006B5CC8" w:rsidP="006D4B27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Για όλους τους πιο πάνω λόγους,</w:t>
            </w:r>
            <w:r w:rsidR="00824A5A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Βουλή των Αντιπροσώπων ψηφίζει ως ακολούθως:</w:t>
            </w:r>
          </w:p>
        </w:tc>
      </w:tr>
      <w:tr w:rsidR="006D4B27" w:rsidRPr="002656B4" w14:paraId="06C611B3" w14:textId="77777777" w:rsidTr="001D5499">
        <w:trPr>
          <w:trHeight w:val="342"/>
        </w:trPr>
        <w:tc>
          <w:tcPr>
            <w:tcW w:w="2235" w:type="dxa"/>
          </w:tcPr>
          <w:p w14:paraId="0A2636A6" w14:textId="77777777" w:rsidR="006D4B27" w:rsidRPr="006D4B27" w:rsidRDefault="006D4B27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770B4795" w14:textId="77777777" w:rsidR="006D4B27" w:rsidRPr="006D4B27" w:rsidRDefault="006D4B27" w:rsidP="006D4B27">
            <w:pPr>
              <w:spacing w:line="360" w:lineRule="auto"/>
              <w:ind w:left="72" w:hanging="7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07A5E21A" w14:textId="77777777" w:rsidTr="006C42EA">
        <w:trPr>
          <w:trHeight w:val="564"/>
        </w:trPr>
        <w:tc>
          <w:tcPr>
            <w:tcW w:w="2235" w:type="dxa"/>
          </w:tcPr>
          <w:p w14:paraId="60A140B1" w14:textId="77777777" w:rsidR="006C42EA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7C27CEFD" w14:textId="4F2E8695" w:rsidR="00F238B1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</w:tc>
        <w:tc>
          <w:tcPr>
            <w:tcW w:w="7229" w:type="dxa"/>
          </w:tcPr>
          <w:p w14:paraId="1902488C" w14:textId="03B4EE81" w:rsidR="00F238B1" w:rsidRPr="006D4B27" w:rsidRDefault="00F238B1" w:rsidP="006D4B27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833986"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Προϋπολογισμού 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Ταμείου Τουρκοκυπριακών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Περιουσιών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του 20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23</w:t>
            </w:r>
            <w:r w:rsidR="0028690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Νόμος του 2</w:t>
            </w:r>
            <w:r w:rsidR="00BB26C3" w:rsidRPr="006D4B27">
              <w:rPr>
                <w:rFonts w:ascii="Arial" w:hAnsi="Arial" w:cs="Arial"/>
                <w:sz w:val="24"/>
                <w:szCs w:val="24"/>
                <w:lang w:val="el-GR"/>
              </w:rPr>
              <w:t>02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</w:p>
        </w:tc>
      </w:tr>
      <w:tr w:rsidR="006D4B27" w:rsidRPr="002656B4" w14:paraId="4B1BC72D" w14:textId="77777777" w:rsidTr="001D5499">
        <w:trPr>
          <w:trHeight w:val="395"/>
        </w:trPr>
        <w:tc>
          <w:tcPr>
            <w:tcW w:w="2235" w:type="dxa"/>
          </w:tcPr>
          <w:p w14:paraId="063AA1BA" w14:textId="77777777" w:rsidR="006D4B27" w:rsidRPr="006D4B27" w:rsidRDefault="006D4B27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125B1405" w14:textId="77777777" w:rsidR="006D4B27" w:rsidRPr="006D4B27" w:rsidRDefault="006D4B27" w:rsidP="006D4B27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4603AB54" w14:textId="77777777" w:rsidTr="006C42EA">
        <w:trPr>
          <w:trHeight w:val="564"/>
        </w:trPr>
        <w:tc>
          <w:tcPr>
            <w:tcW w:w="2235" w:type="dxa"/>
          </w:tcPr>
          <w:p w14:paraId="7FA0453A" w14:textId="0FC73B5C" w:rsidR="00F238B1" w:rsidRPr="006D4B27" w:rsidRDefault="006C42EA" w:rsidP="00C27342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Έγκριση πληρωμής από το Ταμείο </w:t>
            </w:r>
            <w:proofErr w:type="spellStart"/>
            <w:r w:rsidR="000601DB" w:rsidRPr="006D4B27">
              <w:rPr>
                <w:rFonts w:ascii="Arial" w:hAnsi="Arial" w:cs="Arial"/>
                <w:sz w:val="24"/>
                <w:szCs w:val="24"/>
                <w:lang w:val="el-GR"/>
              </w:rPr>
              <w:t>Τουρκοκυπρια-κών</w:t>
            </w:r>
            <w:proofErr w:type="spellEnd"/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Περιουσιών</w:t>
            </w:r>
            <w:r w:rsidR="00194B5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ποσού 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>που δεν υπερβαίνει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τα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€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>16.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>655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>.8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>52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 χρήση του έτους που λήγει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την 31</w:t>
            </w:r>
            <w:r w:rsidR="00E5584B" w:rsidRPr="006D4B27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Δεκεμβρίου 20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23.</w:t>
            </w:r>
          </w:p>
        </w:tc>
        <w:tc>
          <w:tcPr>
            <w:tcW w:w="7229" w:type="dxa"/>
          </w:tcPr>
          <w:p w14:paraId="428CCB1E" w14:textId="43B8B9EA" w:rsidR="00F238B1" w:rsidRPr="006D4B27" w:rsidRDefault="00F238B1" w:rsidP="006D4B27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2.</w:t>
            </w:r>
            <w:r w:rsidR="00833986"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Επιπροσθέτως των ποσών που έχουν ήδη προϋπολογισ</w:t>
            </w:r>
            <w:r w:rsidR="00A16ECA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εί νόμιμα για τη χρήση 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από 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 Ταμείο Τουρκοκυπριακών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Περιουσιών</w:t>
            </w:r>
            <w:r w:rsidR="00194B5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ή που θα προϋπολογισ</w:t>
            </w:r>
            <w:r w:rsidR="00A16ECA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ούν αργότερα νόμιμα για 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>το σκοπό αυτό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, εγκρίνεται όπως πληρωθεί από το Ταμείο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Τουρκοκυπριακών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Περιουσιών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</w:t>
            </w:r>
            <w:r w:rsidR="004B0642">
              <w:rPr>
                <w:rFonts w:ascii="Arial" w:hAnsi="Arial" w:cs="Arial"/>
                <w:sz w:val="24"/>
                <w:szCs w:val="24"/>
                <w:lang w:val="el-GR"/>
              </w:rPr>
              <w:t>διατεθεί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 χρήση </w:t>
            </w:r>
            <w:r w:rsidR="006B5CC8" w:rsidRPr="006D4B27">
              <w:rPr>
                <w:rFonts w:ascii="Arial" w:hAnsi="Arial" w:cs="Arial"/>
                <w:sz w:val="24"/>
                <w:szCs w:val="24"/>
                <w:lang w:val="el-GR"/>
              </w:rPr>
              <w:t>του έτους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λήγ</w:t>
            </w:r>
            <w:r w:rsidR="006B5CC8" w:rsidRPr="006D4B27">
              <w:rPr>
                <w:rFonts w:ascii="Arial" w:hAnsi="Arial" w:cs="Arial"/>
                <w:sz w:val="24"/>
                <w:szCs w:val="24"/>
                <w:lang w:val="el-GR"/>
              </w:rPr>
              <w:t>ει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31</w:t>
            </w:r>
            <w:r w:rsidR="00E5584B" w:rsidRPr="006D4B27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="00286905" w:rsidRPr="006D4B27">
              <w:rPr>
                <w:rFonts w:ascii="Arial" w:hAnsi="Arial" w:cs="Arial"/>
                <w:sz w:val="24"/>
                <w:szCs w:val="24"/>
                <w:lang w:val="el-GR"/>
              </w:rPr>
              <w:t>εκεμβρίου 20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23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28690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ποσό που δεν υπερβαίνει τα </w:t>
            </w:r>
            <w:r w:rsidR="00A35784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εκαέξι εκατομμύρια 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>εξακό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σιες </w:t>
            </w:r>
            <w:r w:rsidR="0054744A" w:rsidRPr="006D4B27">
              <w:rPr>
                <w:rFonts w:ascii="Arial" w:hAnsi="Arial" w:cs="Arial"/>
                <w:sz w:val="24"/>
                <w:szCs w:val="24"/>
                <w:lang w:val="el-GR"/>
              </w:rPr>
              <w:t>πενήντα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πέντε 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χιλιάδες και οκτακόσια 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πενήντα 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>ύο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35784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BE5478" w:rsidRPr="006D4B27">
              <w:rPr>
                <w:rFonts w:ascii="Arial" w:hAnsi="Arial" w:cs="Arial"/>
                <w:sz w:val="24"/>
                <w:szCs w:val="24"/>
                <w:lang w:val="el-GR"/>
              </w:rPr>
              <w:t>υρώ (€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>16.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>655</w:t>
            </w:r>
            <w:r w:rsidR="00416BC6" w:rsidRPr="006D4B27">
              <w:rPr>
                <w:rFonts w:ascii="Arial" w:hAnsi="Arial" w:cs="Arial"/>
                <w:sz w:val="24"/>
                <w:szCs w:val="24"/>
                <w:lang w:val="el-GR"/>
              </w:rPr>
              <w:t>.8</w:t>
            </w:r>
            <w:r w:rsidR="00E45D81" w:rsidRPr="006D4B27">
              <w:rPr>
                <w:rFonts w:ascii="Arial" w:hAnsi="Arial" w:cs="Arial"/>
                <w:sz w:val="24"/>
                <w:szCs w:val="24"/>
                <w:lang w:val="el-GR"/>
              </w:rPr>
              <w:t>52</w:t>
            </w:r>
            <w:r w:rsidR="00BE5478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την κάλυψη των δαπανών 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Ταμείου Τουρκοκυπριακών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Περιουσιών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για την περίοδο αυτή.</w:t>
            </w:r>
          </w:p>
          <w:p w14:paraId="29E80B3B" w14:textId="77777777" w:rsidR="00F238B1" w:rsidRPr="006D4B27" w:rsidRDefault="00F238B1" w:rsidP="00C273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27342" w:rsidRPr="002656B4" w14:paraId="22FE45C4" w14:textId="77777777" w:rsidTr="001D5499">
        <w:trPr>
          <w:trHeight w:val="329"/>
        </w:trPr>
        <w:tc>
          <w:tcPr>
            <w:tcW w:w="2235" w:type="dxa"/>
          </w:tcPr>
          <w:p w14:paraId="5999D0E7" w14:textId="77777777" w:rsidR="00C27342" w:rsidRPr="006D4B27" w:rsidRDefault="00C27342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7CF01FBB" w14:textId="77777777" w:rsidR="00C27342" w:rsidRPr="006D4B27" w:rsidRDefault="00C27342" w:rsidP="006D4B27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7EF968AA" w14:textId="77777777" w:rsidTr="006C42EA">
        <w:trPr>
          <w:trHeight w:val="564"/>
        </w:trPr>
        <w:tc>
          <w:tcPr>
            <w:tcW w:w="2235" w:type="dxa"/>
          </w:tcPr>
          <w:p w14:paraId="15D087A4" w14:textId="77777777" w:rsidR="006C42EA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Ειδίκευση των ποσών που θα δαπανηθούν</w:t>
            </w:r>
            <w:r w:rsidR="005E72FD" w:rsidRPr="006D4B2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7BF0550C" w14:textId="77777777" w:rsidR="00194B51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Πρώτος </w:t>
            </w:r>
          </w:p>
          <w:p w14:paraId="4B8BDBA4" w14:textId="1273769F" w:rsidR="00F238B1" w:rsidRPr="006D4B27" w:rsidRDefault="006C42EA" w:rsidP="001D5499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Πίνακας.</w:t>
            </w:r>
          </w:p>
        </w:tc>
        <w:tc>
          <w:tcPr>
            <w:tcW w:w="7229" w:type="dxa"/>
          </w:tcPr>
          <w:p w14:paraId="4F760DBA" w14:textId="44552625" w:rsidR="00F238B1" w:rsidRPr="006D4B27" w:rsidRDefault="00F238B1" w:rsidP="008319A2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3.</w:t>
            </w:r>
            <w:r w:rsidR="00833986"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 ποσό που εγκρίνεται, δυνάμει 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του άρθρου 2, χορηγείται ως ειδικευμένη πίστωση για τις υπηρεσίες και τους σκοπούς που αναφέρονται στ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Δελτί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 που περιλαμβάν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ονται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Πρώτο Πίνακα.  </w:t>
            </w:r>
          </w:p>
        </w:tc>
      </w:tr>
      <w:tr w:rsidR="00C27342" w:rsidRPr="002656B4" w14:paraId="036A5B88" w14:textId="77777777" w:rsidTr="001D5499">
        <w:trPr>
          <w:trHeight w:val="392"/>
        </w:trPr>
        <w:tc>
          <w:tcPr>
            <w:tcW w:w="2235" w:type="dxa"/>
          </w:tcPr>
          <w:p w14:paraId="5B8DDE12" w14:textId="77777777" w:rsidR="00C27342" w:rsidRPr="006D4B27" w:rsidRDefault="00C27342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6C8D4A5A" w14:textId="77777777" w:rsidR="00C27342" w:rsidRPr="006D4B27" w:rsidRDefault="00C27342" w:rsidP="00C27342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263F2705" w14:textId="77777777" w:rsidTr="006C42EA">
        <w:trPr>
          <w:trHeight w:val="564"/>
        </w:trPr>
        <w:tc>
          <w:tcPr>
            <w:tcW w:w="2235" w:type="dxa"/>
          </w:tcPr>
          <w:p w14:paraId="413148A1" w14:textId="77777777" w:rsidR="006C42EA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Χρησιμοποίηση του περισσεύματος ορισμένων άρθρων για την κάλυψη του ελλείμματος άλλων άρθρων κάτω από </w:t>
            </w:r>
            <w:r w:rsidR="00BE5478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ίδια ομάδα ή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το ίδιο Κεφάλαιο</w:t>
            </w:r>
            <w:r w:rsidR="0005506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ABC2088" w14:textId="77777777" w:rsidR="006C42EA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Πρώτος</w:t>
            </w:r>
          </w:p>
          <w:p w14:paraId="3E38C54B" w14:textId="77777777" w:rsidR="006C42EA" w:rsidRPr="006D4B27" w:rsidRDefault="006C42EA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Πίνακας.</w:t>
            </w:r>
          </w:p>
          <w:p w14:paraId="22F59774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5B27F06B" w14:textId="2DA8306A" w:rsidR="00F238B1" w:rsidRPr="006D4B27" w:rsidRDefault="00F238B1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4.</w:t>
            </w:r>
            <w:r w:rsidR="00833986" w:rsidRPr="006D4B27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  <w:r w:rsidR="001D5499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Τηρουμένων των διατάξεων της πρώτης επιφύλαξης, εφόσον το ολικό ποσό που δαπαν</w:t>
            </w:r>
            <w:r w:rsidR="00865118">
              <w:rPr>
                <w:rFonts w:ascii="Arial" w:hAnsi="Arial" w:cs="Arial"/>
                <w:sz w:val="24"/>
                <w:szCs w:val="24"/>
                <w:lang w:val="el-GR"/>
              </w:rPr>
              <w:t>άται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τις υπηρεσίες και τους σκοπούς που αναφέρονται και εξειδικεύονται, αντίστοιχα, κάτω από κάθε άρθρο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δελτί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δαπανών,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στον Πρώτο Πίνακα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δεν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65118">
              <w:rPr>
                <w:rFonts w:ascii="Arial" w:hAnsi="Arial" w:cs="Arial"/>
                <w:sz w:val="24"/>
                <w:szCs w:val="24"/>
                <w:lang w:val="el-GR"/>
              </w:rPr>
              <w:t>υπερβαίνει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το ολικό ποσό που χορηγείται με τον παρόντα Νόμο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ως ειδικευμένη πίστωση για τις εν λόγω υπηρεσίες και σκοπούς, αντίστοιχα, οποιοδήποτε περίσσευμα προκύπτει από οποιοδήποτε άρθρο 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δαπανών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για τις εν λόγω υπηρεσίες και σκοπούς</w:t>
            </w:r>
            <w:r w:rsidR="00B24F7F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είτε από την εξοικονόμηση δαπανών στο εν λόγω άρθρο είτε γιατί το ποσό που </w:t>
            </w:r>
            <w:r w:rsidR="00A16ECA">
              <w:rPr>
                <w:rFonts w:ascii="Arial" w:hAnsi="Arial" w:cs="Arial"/>
                <w:sz w:val="24"/>
                <w:szCs w:val="24"/>
                <w:lang w:val="el-GR"/>
              </w:rPr>
              <w:t>εγκρίθηκε</w:t>
            </w:r>
            <w:r w:rsidR="007A78F3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για το εν λόγω άρθρο υπερβαίνει το ποσό που απαιτήθηκε και δαπανήθηκε με βάση τις διατάξεις του παρόν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>τος</w:t>
            </w:r>
            <w:r w:rsidR="00DD2F5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Νόμου</w:t>
            </w:r>
            <w:r w:rsidR="007A78F3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σε σχέση με το εν λόγω άρθρο,</w:t>
            </w:r>
            <w:r w:rsidR="00DD2F5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δύναται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την έγκριση</w:t>
            </w:r>
            <w:r w:rsidR="001D5499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Υπουργού Εσωτερικών</w:t>
            </w:r>
            <w:r w:rsidR="00DD33ED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BE5478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να διατεθεί και δαπανηθεί για την κάλυψη του ελλείμματος οποιουδήποτε ποσού </w:t>
            </w:r>
            <w:r w:rsidR="007A78F3" w:rsidRPr="006D4B27">
              <w:rPr>
                <w:rFonts w:ascii="Arial" w:hAnsi="Arial" w:cs="Arial"/>
                <w:sz w:val="24"/>
                <w:szCs w:val="24"/>
                <w:lang w:val="el-GR"/>
              </w:rPr>
              <w:t>που δαπανήθηκε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σε οποιαδήποτε άλλ</w:t>
            </w:r>
            <w:r w:rsidR="007A78F3" w:rsidRPr="006D4B27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A78F3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 της ίδιας </w:t>
            </w:r>
            <w:r w:rsidR="000B4741" w:rsidRPr="006D4B27">
              <w:rPr>
                <w:rFonts w:ascii="Arial" w:hAnsi="Arial" w:cs="Arial"/>
                <w:sz w:val="24"/>
                <w:szCs w:val="24"/>
                <w:lang w:val="el-GR"/>
              </w:rPr>
              <w:t>ομάδα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D5499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 w:rsidR="00A7538F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άλλης ομάδας 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0049FA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ή 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ιδίου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εφαλαίου </w:t>
            </w:r>
            <w:r w:rsidR="000B474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ή άλλου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0B4741" w:rsidRPr="006D4B27">
              <w:rPr>
                <w:rFonts w:ascii="Arial" w:hAnsi="Arial" w:cs="Arial"/>
                <w:sz w:val="24"/>
                <w:szCs w:val="24"/>
                <w:lang w:val="el-GR"/>
              </w:rPr>
              <w:t>εφαλαίου)</w:t>
            </w:r>
            <w:r w:rsidR="007A78F3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Πρώτου Πίνακα: </w:t>
            </w:r>
          </w:p>
        </w:tc>
      </w:tr>
      <w:tr w:rsidR="001D5499" w:rsidRPr="002656B4" w14:paraId="3947FD73" w14:textId="77777777" w:rsidTr="001D5499">
        <w:trPr>
          <w:trHeight w:val="289"/>
        </w:trPr>
        <w:tc>
          <w:tcPr>
            <w:tcW w:w="2235" w:type="dxa"/>
          </w:tcPr>
          <w:p w14:paraId="1BE1E796" w14:textId="77777777" w:rsidR="001D5499" w:rsidRPr="006D4B27" w:rsidRDefault="001D5499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447E3870" w14:textId="77777777" w:rsidR="001D5499" w:rsidRPr="006D4B27" w:rsidRDefault="001D5499" w:rsidP="001D5499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005DCC49" w14:textId="77777777" w:rsidTr="006C42EA">
        <w:trPr>
          <w:trHeight w:val="564"/>
        </w:trPr>
        <w:tc>
          <w:tcPr>
            <w:tcW w:w="2235" w:type="dxa"/>
          </w:tcPr>
          <w:p w14:paraId="5FC89EBD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4DD1B01B" w14:textId="28561E1D" w:rsidR="00F238B1" w:rsidRPr="006D4B27" w:rsidRDefault="00833986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8319A2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Νοείται ότι, οποιαδήποτε εξοικονόμηση 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μεταξύ των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ομάδ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 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αφορούν 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>αποδοχές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>/μισθοδοσία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προσωπικού</w:t>
            </w:r>
            <w:r w:rsidR="000049FA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>02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>00 «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Κρατικοί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Υπάλληλοι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02300 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4F3DA7" w:rsidRPr="006D4B27">
              <w:rPr>
                <w:rFonts w:ascii="Arial" w:hAnsi="Arial" w:cs="Arial"/>
                <w:sz w:val="24"/>
                <w:szCs w:val="24"/>
                <w:lang w:val="el-GR"/>
              </w:rPr>
              <w:t>Ωρομίσθιο Κυβερνητικό Προσωπικό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0049FA" w:rsidRPr="006D4B2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Πρώτου Πίν</w:t>
            </w:r>
            <w:r w:rsidR="00DD2F5C" w:rsidRPr="006D4B27">
              <w:rPr>
                <w:rFonts w:ascii="Arial" w:hAnsi="Arial" w:cs="Arial"/>
                <w:sz w:val="24"/>
                <w:szCs w:val="24"/>
                <w:lang w:val="el-GR"/>
              </w:rPr>
              <w:t>ακα δεν δύναται να διατεθεί και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6406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να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δαπανηθεί για </w:t>
            </w:r>
            <w:r w:rsidR="001B778A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κάλυψη ελλείμματος οποιουδήποτε ποσού σε οποιαδήποτε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ομάδα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προαναφερόμενων ομάδων δαπανών,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αλλά ούτε και οποιαδήποτε εξοικονόμηση </w:t>
            </w:r>
            <w:r w:rsidR="001B778A" w:rsidRPr="006D4B27">
              <w:rPr>
                <w:rFonts w:ascii="Arial" w:hAnsi="Arial" w:cs="Arial"/>
                <w:sz w:val="24"/>
                <w:szCs w:val="24"/>
                <w:lang w:val="el-GR"/>
              </w:rPr>
              <w:t>στις</w:t>
            </w:r>
            <w:r w:rsidR="005D4ED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προαναφερόμεν</w:t>
            </w:r>
            <w:r w:rsidR="001B778A" w:rsidRPr="006D4B27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r w:rsidR="005D4ED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ομάδ</w:t>
            </w:r>
            <w:r w:rsidR="001B778A" w:rsidRPr="006D4B27">
              <w:rPr>
                <w:rFonts w:ascii="Arial" w:hAnsi="Arial" w:cs="Arial"/>
                <w:sz w:val="24"/>
                <w:szCs w:val="24"/>
                <w:lang w:val="el-GR"/>
              </w:rPr>
              <w:t>ες δαπανών</w:t>
            </w:r>
            <w:r w:rsidR="005D4ED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δύναται να διατεθεί και να δαπανηθεί για την κάλυψη ελλείματος </w:t>
            </w:r>
            <w:r w:rsidR="00F31D7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οποιουδήποτε ποσού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σε οποιοδήποτε άλλο άρθρο δαπανών άλλης ομάδας δαπανών,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ούτε </w:t>
            </w:r>
            <w:r w:rsidR="00F31D7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επίσης 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οποιαδήποτε εξοικονόμηση από </w:t>
            </w:r>
            <w:r w:rsidR="005D4ED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άλλες 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>ομάδ</w:t>
            </w:r>
            <w:r w:rsidR="005D4ED5" w:rsidRPr="006D4B27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 </w:t>
            </w:r>
            <w:r w:rsidR="00795BA9" w:rsidRPr="006D4B27">
              <w:rPr>
                <w:rFonts w:ascii="Arial" w:hAnsi="Arial" w:cs="Arial"/>
                <w:sz w:val="24"/>
                <w:szCs w:val="24"/>
                <w:lang w:val="el-GR"/>
              </w:rPr>
              <w:t>δύναται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να </w:t>
            </w:r>
            <w:r w:rsidR="00795BA9" w:rsidRPr="006D4B27">
              <w:rPr>
                <w:rFonts w:ascii="Arial" w:hAnsi="Arial" w:cs="Arial"/>
                <w:sz w:val="24"/>
                <w:szCs w:val="24"/>
                <w:lang w:val="el-GR"/>
              </w:rPr>
              <w:t>διατεθεί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</w:t>
            </w:r>
            <w:r w:rsidR="00795BA9" w:rsidRPr="006D4B27">
              <w:rPr>
                <w:rFonts w:ascii="Arial" w:hAnsi="Arial" w:cs="Arial"/>
                <w:sz w:val="24"/>
                <w:szCs w:val="24"/>
                <w:lang w:val="el-GR"/>
              </w:rPr>
              <w:t>να δαπανηθεί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</w:t>
            </w:r>
            <w:r w:rsidR="00F31D7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</w:t>
            </w:r>
            <w:r w:rsidR="00795BA9" w:rsidRPr="006D4B27">
              <w:rPr>
                <w:rFonts w:ascii="Arial" w:hAnsi="Arial" w:cs="Arial"/>
                <w:sz w:val="24"/>
                <w:szCs w:val="24"/>
                <w:lang w:val="el-GR"/>
              </w:rPr>
              <w:t>κάλυψη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95BA9" w:rsidRPr="006D4B27">
              <w:rPr>
                <w:rFonts w:ascii="Arial" w:hAnsi="Arial" w:cs="Arial"/>
                <w:sz w:val="24"/>
                <w:szCs w:val="24"/>
                <w:lang w:val="el-GR"/>
              </w:rPr>
              <w:t>ελλείμματος</w:t>
            </w:r>
            <w:r w:rsidR="00EF147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D4ED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οποιουδήποτε ποσού,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σε οποιαδήποτε ομάδα </w:t>
            </w:r>
            <w:r w:rsidR="00795BA9" w:rsidRPr="006D4B27">
              <w:rPr>
                <w:rFonts w:ascii="Arial" w:hAnsi="Arial" w:cs="Arial"/>
                <w:sz w:val="24"/>
                <w:szCs w:val="24"/>
                <w:lang w:val="el-GR"/>
              </w:rPr>
              <w:t>των προαναφερόμενων ομάδων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1D5499" w:rsidRPr="002656B4" w14:paraId="208C44E3" w14:textId="77777777" w:rsidTr="001D5499">
        <w:trPr>
          <w:trHeight w:val="381"/>
        </w:trPr>
        <w:tc>
          <w:tcPr>
            <w:tcW w:w="2235" w:type="dxa"/>
          </w:tcPr>
          <w:p w14:paraId="0055F750" w14:textId="77777777" w:rsidR="001D5499" w:rsidRPr="006D4B27" w:rsidRDefault="001D5499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7CFD6803" w14:textId="77777777" w:rsidR="001D5499" w:rsidRPr="006D4B27" w:rsidRDefault="001D5499" w:rsidP="001D5499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0B444345" w14:textId="77777777" w:rsidTr="006C42EA">
        <w:trPr>
          <w:trHeight w:val="564"/>
        </w:trPr>
        <w:tc>
          <w:tcPr>
            <w:tcW w:w="2235" w:type="dxa"/>
          </w:tcPr>
          <w:p w14:paraId="2972C325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6A7AFCE1" w14:textId="3D0D8CAB" w:rsidR="00F238B1" w:rsidRPr="006D4B27" w:rsidRDefault="00833986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8319A2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Νοείται περαιτέρω ότι, οποιαδήποτε εξοικονόμηση από παράλειψη εκτέλεσης οποιασδήποτε υπηρεσίας ή σκοπού δε</w:t>
            </w:r>
            <w:r w:rsidR="00534431" w:rsidRPr="006D4B27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θεωρείται εξοικονόμηση για τους σκοπούς του παρόντος άρθρου.</w:t>
            </w:r>
          </w:p>
        </w:tc>
      </w:tr>
      <w:tr w:rsidR="001D5499" w:rsidRPr="002656B4" w14:paraId="1DA68670" w14:textId="77777777" w:rsidTr="001D5499">
        <w:trPr>
          <w:trHeight w:val="277"/>
        </w:trPr>
        <w:tc>
          <w:tcPr>
            <w:tcW w:w="2235" w:type="dxa"/>
          </w:tcPr>
          <w:p w14:paraId="330CB74F" w14:textId="77777777" w:rsidR="001D5499" w:rsidRPr="006D4B27" w:rsidRDefault="001D5499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09E1271F" w14:textId="77777777" w:rsidR="001D5499" w:rsidRPr="006D4B27" w:rsidRDefault="001D5499" w:rsidP="006D4B27">
            <w:pPr>
              <w:tabs>
                <w:tab w:val="left" w:pos="88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1D5E2B22" w14:textId="77777777" w:rsidTr="006C42EA">
        <w:trPr>
          <w:trHeight w:val="564"/>
        </w:trPr>
        <w:tc>
          <w:tcPr>
            <w:tcW w:w="2235" w:type="dxa"/>
          </w:tcPr>
          <w:p w14:paraId="54D56763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118B057C" w14:textId="0E850EAA" w:rsidR="00833986" w:rsidRPr="006D4B27" w:rsidRDefault="001D5499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Σε περίπτωση που δεν υπάρχουν εξοικονομήσεις, όπως προβλέπεται στο εδάφιο (1)</w:t>
            </w:r>
            <w:r w:rsidR="00A16EC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άρθρου αυτού</w:t>
            </w:r>
            <w:r w:rsidR="009E4DB1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δύναται</w:t>
            </w:r>
            <w:r w:rsidR="00DD2F5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μετά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έγκριση του </w:t>
            </w:r>
            <w:r w:rsidR="009942D7" w:rsidRPr="006D4B27">
              <w:rPr>
                <w:rFonts w:ascii="Arial" w:hAnsi="Arial" w:cs="Arial"/>
                <w:sz w:val="24"/>
                <w:szCs w:val="24"/>
                <w:lang w:val="el-GR"/>
              </w:rPr>
              <w:t>Υπουργού Εσωτερικών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, να μεταφερθούν πιστώσεις από τ</w:t>
            </w:r>
            <w:r w:rsidR="00194B51" w:rsidRPr="006D4B27">
              <w:rPr>
                <w:rFonts w:ascii="Arial" w:hAnsi="Arial" w:cs="Arial"/>
                <w:sz w:val="24"/>
                <w:szCs w:val="24"/>
                <w:lang w:val="el-GR"/>
              </w:rPr>
              <w:t>ο άρθρο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“Μη Προβλεπόμενες Δαπάνες και Αποθεματικό” </w:t>
            </w:r>
            <w:r w:rsidR="00FB05B9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στα δελτία δαπανών στον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Πρώτο Πίνακα και να δαπανηθούν για την κάλυψη του ελλείμματος οποιουδήποτε ποσού</w:t>
            </w:r>
            <w:r w:rsidR="00BA148C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σε οποιοδήποτε άλλο άρθρο </w:t>
            </w:r>
            <w:r w:rsidR="0032006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οποιασδήποτε ομάδας δαπανών ή </w:t>
            </w:r>
            <w:r w:rsidR="000049FA" w:rsidRPr="006D4B27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εφαλαί</w:t>
            </w:r>
            <w:r w:rsidR="00320065" w:rsidRPr="006D4B27">
              <w:rPr>
                <w:rFonts w:ascii="Arial" w:hAnsi="Arial" w:cs="Arial"/>
                <w:sz w:val="24"/>
                <w:szCs w:val="24"/>
                <w:lang w:val="el-GR"/>
              </w:rPr>
              <w:t>ων τ</w:t>
            </w:r>
            <w:r w:rsidR="004A0701" w:rsidRPr="006D4B27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32006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δελτί</w:t>
            </w:r>
            <w:r w:rsidR="004A070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ων </w:t>
            </w:r>
            <w:r w:rsidR="0032006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δαπανών </w:t>
            </w:r>
            <w:r w:rsidR="002379B5" w:rsidRPr="006D4B27">
              <w:rPr>
                <w:rFonts w:ascii="Arial" w:hAnsi="Arial" w:cs="Arial"/>
                <w:sz w:val="24"/>
                <w:szCs w:val="24"/>
                <w:lang w:val="el-GR"/>
              </w:rPr>
              <w:t>στο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Πρώτο Πίνακα.</w:t>
            </w:r>
          </w:p>
        </w:tc>
      </w:tr>
      <w:tr w:rsidR="001D5499" w:rsidRPr="002656B4" w14:paraId="6B6C3E93" w14:textId="77777777" w:rsidTr="001D5499">
        <w:trPr>
          <w:trHeight w:val="245"/>
        </w:trPr>
        <w:tc>
          <w:tcPr>
            <w:tcW w:w="2235" w:type="dxa"/>
          </w:tcPr>
          <w:p w14:paraId="2FB06703" w14:textId="77777777" w:rsidR="001D5499" w:rsidRPr="006D4B27" w:rsidRDefault="001D5499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1D6CA114" w14:textId="77777777" w:rsidR="001D5499" w:rsidRDefault="001D5499" w:rsidP="001D5499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7D2B6912" w14:textId="77777777" w:rsidTr="006C42EA">
        <w:trPr>
          <w:trHeight w:val="564"/>
        </w:trPr>
        <w:tc>
          <w:tcPr>
            <w:tcW w:w="2235" w:type="dxa"/>
          </w:tcPr>
          <w:p w14:paraId="40A97CF6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0FD1C2D0" w14:textId="75ED0510" w:rsidR="00F238B1" w:rsidRPr="006D4B27" w:rsidRDefault="001D5499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Μέσα σε ένα μήνα από την έγκριση του 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>Υπουργού Εσωτερικών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, σύμφωνα με 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τις διατάξεις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εδ</w:t>
            </w:r>
            <w:r w:rsidR="00E5584B" w:rsidRPr="006D4B27">
              <w:rPr>
                <w:rFonts w:ascii="Arial" w:hAnsi="Arial" w:cs="Arial"/>
                <w:sz w:val="24"/>
                <w:szCs w:val="24"/>
                <w:lang w:val="el-GR"/>
              </w:rPr>
              <w:t>αφίων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(1) και (2), </w:t>
            </w:r>
            <w:r w:rsidR="00BA148C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κατατίθεται </w:t>
            </w:r>
            <w:r w:rsidR="0072031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στη Βουλή των Αντιπροσώπων, </w:t>
            </w:r>
            <w:r w:rsidR="00BA148C" w:rsidRPr="006D4B27">
              <w:rPr>
                <w:rFonts w:ascii="Arial" w:hAnsi="Arial" w:cs="Arial"/>
                <w:sz w:val="24"/>
                <w:szCs w:val="24"/>
                <w:lang w:val="el-GR"/>
              </w:rPr>
              <w:t>έκθεση</w:t>
            </w:r>
            <w:r w:rsidR="001D3D3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που αναφέρ</w:t>
            </w:r>
            <w:r w:rsidR="001D3D3E" w:rsidRPr="006D4B27">
              <w:rPr>
                <w:rFonts w:ascii="Arial" w:hAnsi="Arial" w:cs="Arial"/>
                <w:sz w:val="24"/>
                <w:szCs w:val="24"/>
                <w:lang w:val="el-GR"/>
              </w:rPr>
              <w:t>εται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D3D3E" w:rsidRPr="006D4B27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τις περιπτώσεις για τις οποίες δόθηκε τέτοια  έγκριση και τις συνθήκες υπό τις οποίες αυτή χορηγήθηκε.</w:t>
            </w:r>
          </w:p>
        </w:tc>
      </w:tr>
      <w:tr w:rsidR="001D5499" w:rsidRPr="002656B4" w14:paraId="79D1F064" w14:textId="77777777" w:rsidTr="001D5499">
        <w:trPr>
          <w:trHeight w:val="309"/>
        </w:trPr>
        <w:tc>
          <w:tcPr>
            <w:tcW w:w="2235" w:type="dxa"/>
          </w:tcPr>
          <w:p w14:paraId="2B849156" w14:textId="77777777" w:rsidR="001D5499" w:rsidRPr="006D4B27" w:rsidRDefault="001D5499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17C84A2A" w14:textId="77777777" w:rsidR="001D5499" w:rsidRDefault="001D5499" w:rsidP="001D5499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38B1" w:rsidRPr="002656B4" w14:paraId="623F0EFA" w14:textId="77777777" w:rsidTr="008319A2">
        <w:trPr>
          <w:trHeight w:val="292"/>
        </w:trPr>
        <w:tc>
          <w:tcPr>
            <w:tcW w:w="2235" w:type="dxa"/>
          </w:tcPr>
          <w:p w14:paraId="056ACAA2" w14:textId="77777777" w:rsidR="00F238B1" w:rsidRPr="006D4B27" w:rsidRDefault="00F238B1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6CEC5C53" w14:textId="7A70D881" w:rsidR="00F238B1" w:rsidRPr="006D4B27" w:rsidRDefault="008319A2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Κάθε υπέρβαση </w:t>
            </w:r>
            <w:r w:rsidR="000C1567" w:rsidRPr="006D4B27">
              <w:rPr>
                <w:rFonts w:ascii="Arial" w:hAnsi="Arial" w:cs="Arial"/>
                <w:sz w:val="24"/>
                <w:szCs w:val="24"/>
                <w:lang w:val="el-GR"/>
              </w:rPr>
              <w:t>σε</w:t>
            </w:r>
            <w:r w:rsidR="00AD2535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ομάδα δαπανών</w:t>
            </w:r>
            <w:r w:rsidR="000C1567" w:rsidRPr="006D4B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2E368D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κατά παράβαση της διαδικασίας που προβλέπεται στα εδάφια (1) και (2), θεωρείται ότι δεν έγινε νόμιμα και οι λειτουργοί που ασκούν έλεγχο </w:t>
            </w:r>
            <w:r w:rsidR="004A0701" w:rsidRPr="006D4B27">
              <w:rPr>
                <w:rFonts w:ascii="Arial" w:hAnsi="Arial" w:cs="Arial"/>
                <w:sz w:val="24"/>
                <w:szCs w:val="24"/>
                <w:lang w:val="el-GR"/>
              </w:rPr>
              <w:t>στα κονδύλια από τα οποία έγιν</w:t>
            </w:r>
            <w:r w:rsidR="001B775D" w:rsidRPr="006D4B27">
              <w:rPr>
                <w:rFonts w:ascii="Arial" w:hAnsi="Arial" w:cs="Arial"/>
                <w:sz w:val="24"/>
                <w:szCs w:val="24"/>
                <w:lang w:val="el-GR"/>
              </w:rPr>
              <w:t>ε υπέρβαση,</w:t>
            </w:r>
            <w:r w:rsidR="000C1567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κ</w:t>
            </w:r>
            <w:r w:rsidR="00F238B1" w:rsidRPr="006D4B27">
              <w:rPr>
                <w:rFonts w:ascii="Arial" w:hAnsi="Arial" w:cs="Arial"/>
                <w:sz w:val="24"/>
                <w:szCs w:val="24"/>
                <w:lang w:val="el-GR"/>
              </w:rPr>
              <w:t>αθίστανται προσωπικά υπεύθυνοι για κάθε υπέρβαση που διενεργήθηκε ή θα διενεργηθεί.</w:t>
            </w:r>
          </w:p>
          <w:p w14:paraId="429ED430" w14:textId="77777777" w:rsidR="00833986" w:rsidRPr="006D4B27" w:rsidRDefault="00833986" w:rsidP="006D4B27">
            <w:pPr>
              <w:tabs>
                <w:tab w:val="left" w:pos="88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C50FB" w:rsidRPr="002656B4" w14:paraId="73D2B0E2" w14:textId="77777777" w:rsidTr="006C42EA">
        <w:trPr>
          <w:trHeight w:val="564"/>
        </w:trPr>
        <w:tc>
          <w:tcPr>
            <w:tcW w:w="2235" w:type="dxa"/>
          </w:tcPr>
          <w:p w14:paraId="282E68FC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Λειτουργοί υπεύθυνοι για την είσπραξη των εσόδων. </w:t>
            </w:r>
          </w:p>
          <w:p w14:paraId="177E4F0F" w14:textId="664A80EA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Μέρος Α.</w:t>
            </w:r>
          </w:p>
          <w:p w14:paraId="4ED1FB30" w14:textId="431C44C2" w:rsidR="00DC50FB" w:rsidRPr="006D4B27" w:rsidRDefault="00DC50FB" w:rsidP="008319A2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Συμπλήρωμα</w:t>
            </w:r>
            <w:r w:rsidRPr="006D4B2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229" w:type="dxa"/>
          </w:tcPr>
          <w:p w14:paraId="17F53590" w14:textId="119603CB" w:rsidR="00DC50FB" w:rsidRPr="006D4B27" w:rsidRDefault="00DC50FB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5-(1).</w:t>
            </w:r>
            <w:r w:rsidR="008319A2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Οι λειτουργοί που αναφέρονται στο Μέρος Α του Συμπληρώματος ορίζονται ως οι λειτουργοί που είναι υπεύθυνοι για την είσπραξη των εσόδων.  </w:t>
            </w:r>
          </w:p>
          <w:p w14:paraId="3514A38A" w14:textId="77777777" w:rsidR="00DC50FB" w:rsidRPr="006D4B27" w:rsidRDefault="00DC50FB" w:rsidP="006D4B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319A2" w:rsidRPr="002656B4" w14:paraId="20B3176A" w14:textId="77777777" w:rsidTr="008319A2">
        <w:trPr>
          <w:trHeight w:val="375"/>
        </w:trPr>
        <w:tc>
          <w:tcPr>
            <w:tcW w:w="2235" w:type="dxa"/>
          </w:tcPr>
          <w:p w14:paraId="49B22045" w14:textId="77777777" w:rsidR="008319A2" w:rsidRPr="006D4B27" w:rsidRDefault="008319A2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518CC6CA" w14:textId="77777777" w:rsidR="008319A2" w:rsidRPr="006D4B27" w:rsidRDefault="008319A2" w:rsidP="008319A2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C50FB" w:rsidRPr="002656B4" w14:paraId="7C9EF83E" w14:textId="77777777" w:rsidTr="006C42EA">
        <w:trPr>
          <w:trHeight w:val="564"/>
        </w:trPr>
        <w:tc>
          <w:tcPr>
            <w:tcW w:w="2235" w:type="dxa"/>
          </w:tcPr>
          <w:p w14:paraId="74D8C070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Λειτουργοί υπεύθυνοι για την άσκηση ελέγχου πάνω στα κονδύλια</w:t>
            </w:r>
            <w:r w:rsidR="00C3349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</w:t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3A5B9015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Μέρος Β. </w:t>
            </w:r>
          </w:p>
          <w:p w14:paraId="2C49F144" w14:textId="0ED49B9B" w:rsidR="00DC50FB" w:rsidRPr="006D4B27" w:rsidRDefault="00DC50FB" w:rsidP="008319A2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Συμπλήρωμα</w:t>
            </w:r>
            <w:r w:rsidRPr="006D4B2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229" w:type="dxa"/>
          </w:tcPr>
          <w:p w14:paraId="2BB98569" w14:textId="7A6EEEDC" w:rsidR="00DC50FB" w:rsidRPr="006D4B27" w:rsidRDefault="008319A2" w:rsidP="008319A2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Οι λειτουργοί που αναφέρονται στο Μέρος Β του Συμπληρώματος ορίζονται ως οι λειτουργοί που είναι υπεύθυνοι για την άσκηση του ελέγχου πάνω στα κονδύλια</w:t>
            </w:r>
            <w:r w:rsidR="00C3349E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δαπανών</w:t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  <w:p w14:paraId="073FE078" w14:textId="77777777" w:rsidR="00DC50FB" w:rsidRPr="006D4B27" w:rsidRDefault="00DC50FB" w:rsidP="006D4B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  <w:p w14:paraId="38930E79" w14:textId="77777777" w:rsidR="00DC50FB" w:rsidRPr="006D4B27" w:rsidRDefault="00DC50FB" w:rsidP="006D4B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319A2" w:rsidRPr="002656B4" w14:paraId="0C540871" w14:textId="77777777" w:rsidTr="008319A2">
        <w:trPr>
          <w:trHeight w:val="329"/>
        </w:trPr>
        <w:tc>
          <w:tcPr>
            <w:tcW w:w="2235" w:type="dxa"/>
          </w:tcPr>
          <w:p w14:paraId="0258262B" w14:textId="77777777" w:rsidR="008319A2" w:rsidRPr="006D4B27" w:rsidRDefault="008319A2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0ABCE96F" w14:textId="77777777" w:rsidR="008319A2" w:rsidRDefault="008319A2" w:rsidP="008319A2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C50FB" w:rsidRPr="002656B4" w14:paraId="306282D4" w14:textId="77777777" w:rsidTr="006C42EA">
        <w:trPr>
          <w:trHeight w:val="564"/>
        </w:trPr>
        <w:tc>
          <w:tcPr>
            <w:tcW w:w="2235" w:type="dxa"/>
          </w:tcPr>
          <w:p w14:paraId="79A65CE1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Απαγόρευση διενέργειας δαπάνης για απασχόληση με οποιονδήποτε τρόπο συνταξιούχου προσώπου.</w:t>
            </w:r>
          </w:p>
          <w:p w14:paraId="7E461567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97(Ι) του 1997</w:t>
            </w:r>
          </w:p>
          <w:p w14:paraId="61AFFF63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3(Ι) του 1998</w:t>
            </w:r>
          </w:p>
          <w:p w14:paraId="37E55341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77(Ι) του 1999</w:t>
            </w:r>
          </w:p>
          <w:p w14:paraId="73B7B9BB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141(Ι) του 2001</w:t>
            </w:r>
          </w:p>
          <w:p w14:paraId="6A5D21F5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69(Ι) του 2005</w:t>
            </w:r>
          </w:p>
          <w:p w14:paraId="11ECAAEB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37(Ι) του 2010</w:t>
            </w:r>
          </w:p>
          <w:p w14:paraId="3F65B6F6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94(Ι) του 2010</w:t>
            </w:r>
          </w:p>
          <w:p w14:paraId="3C28E10C" w14:textId="77777777" w:rsidR="00DC50FB" w:rsidRPr="006D4B27" w:rsidRDefault="00DC50FB" w:rsidP="0098651F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31(Ι) του 2012</w:t>
            </w:r>
          </w:p>
          <w:p w14:paraId="074E4F7F" w14:textId="77777777" w:rsidR="00DC50FB" w:rsidRPr="006D4B27" w:rsidRDefault="00DC50FB" w:rsidP="0098651F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131(Ι) του 2012.</w:t>
            </w:r>
          </w:p>
        </w:tc>
        <w:tc>
          <w:tcPr>
            <w:tcW w:w="7229" w:type="dxa"/>
          </w:tcPr>
          <w:p w14:paraId="624C6F36" w14:textId="23CC0E3A" w:rsidR="00DC50FB" w:rsidRPr="006D4B27" w:rsidRDefault="00DC50FB" w:rsidP="0098651F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6.</w:t>
            </w:r>
            <w:r w:rsidR="008319A2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8651F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Απαγορεύεται η διενέργεια οποιασδήποτε δαπάνης κάτω από οποιαδήποτε άρθρο ομάδας δαπανών του παρόντος Νόμου για την απασχόληση με οποιοδήποτε τρόπο συνταξιούχου προσώπου σύμφωνα με τις διατάξεις του περί Συντάξεων Νόμου:</w:t>
            </w:r>
          </w:p>
          <w:p w14:paraId="29534DAD" w14:textId="77777777" w:rsidR="00DC50FB" w:rsidRPr="006D4B27" w:rsidRDefault="00DC50FB" w:rsidP="006D4B27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D79E44" w14:textId="77777777" w:rsidR="00DC50FB" w:rsidRPr="006D4B27" w:rsidRDefault="00DC50FB" w:rsidP="006D4B27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9DF8E4B" w14:textId="77777777" w:rsidR="00DC50FB" w:rsidRPr="006D4B27" w:rsidRDefault="00DC50FB" w:rsidP="006D4B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8651F" w:rsidRPr="002656B4" w14:paraId="5C7CC229" w14:textId="77777777" w:rsidTr="0098651F">
        <w:trPr>
          <w:trHeight w:val="286"/>
        </w:trPr>
        <w:tc>
          <w:tcPr>
            <w:tcW w:w="2235" w:type="dxa"/>
          </w:tcPr>
          <w:p w14:paraId="2FC2D0DF" w14:textId="77777777" w:rsidR="0098651F" w:rsidRPr="006D4B27" w:rsidRDefault="0098651F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</w:tcPr>
          <w:p w14:paraId="5FD3D41A" w14:textId="77777777" w:rsidR="0098651F" w:rsidRPr="006D4B27" w:rsidRDefault="0098651F" w:rsidP="0098651F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C50FB" w:rsidRPr="002656B4" w14:paraId="67FE90AC" w14:textId="77777777" w:rsidTr="006C42EA">
        <w:trPr>
          <w:trHeight w:val="564"/>
        </w:trPr>
        <w:tc>
          <w:tcPr>
            <w:tcW w:w="2235" w:type="dxa"/>
          </w:tcPr>
          <w:p w14:paraId="4E41BF9A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6066D0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C551AAB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ECFB8B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7AF323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CE786E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EEF152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ACBD11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1DE0CC5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9CA202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9FFE24C" w14:textId="77777777" w:rsidR="00DC50FB" w:rsidRPr="006D4B27" w:rsidRDefault="00DC50FB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DEA801" w14:textId="77777777" w:rsidR="00DC50FB" w:rsidRPr="006D4B27" w:rsidRDefault="00DC50FB" w:rsidP="006D4B27">
            <w:pPr>
              <w:spacing w:line="360" w:lineRule="auto"/>
              <w:ind w:right="176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8E0135E" w14:textId="05508C88" w:rsidR="00DC50FB" w:rsidRPr="00E964E2" w:rsidRDefault="00DC50FB" w:rsidP="000F1FC1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73(Ι) του 2016</w:t>
            </w:r>
          </w:p>
          <w:p w14:paraId="3D7329A7" w14:textId="77777777" w:rsidR="00DC50FB" w:rsidRDefault="00DC50FB" w:rsidP="000F1FC1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205(ι) του 2020</w:t>
            </w:r>
          </w:p>
          <w:p w14:paraId="2753D14B" w14:textId="2B882C77" w:rsidR="000F1FC1" w:rsidRPr="006D4B27" w:rsidRDefault="000F1FC1" w:rsidP="000F1FC1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74(Ι) του 2022.</w:t>
            </w:r>
          </w:p>
        </w:tc>
        <w:tc>
          <w:tcPr>
            <w:tcW w:w="7229" w:type="dxa"/>
          </w:tcPr>
          <w:p w14:paraId="55910369" w14:textId="3F0F36B2" w:rsidR="00DC50FB" w:rsidRDefault="00DC50FB" w:rsidP="0098651F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8651F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D4B27">
              <w:rPr>
                <w:rFonts w:ascii="Arial" w:hAnsi="Arial" w:cs="Arial"/>
                <w:sz w:val="24"/>
                <w:szCs w:val="24"/>
                <w:lang w:val="el-GR"/>
              </w:rPr>
              <w:t>Νοείται ότι, οι διατάξεις του παρόντος άρθρου δεν εφαρμόζονται αναφορικά με την απασχόληση συνταξιούχου προσώπου-</w:t>
            </w:r>
          </w:p>
          <w:p w14:paraId="45B20F86" w14:textId="77777777" w:rsidR="0098651F" w:rsidRPr="006D4B27" w:rsidRDefault="0098651F" w:rsidP="00005034">
            <w:pPr>
              <w:tabs>
                <w:tab w:val="left" w:pos="284"/>
                <w:tab w:val="left" w:pos="68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A54722" w14:textId="13626C93" w:rsidR="00DC50FB" w:rsidRDefault="0098651F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σε πολιτειακό αξίωμα,</w:t>
            </w:r>
          </w:p>
          <w:p w14:paraId="41EC03C4" w14:textId="77777777" w:rsidR="002656B4" w:rsidRPr="006D4B27" w:rsidRDefault="002656B4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75EC57" w14:textId="1659512B" w:rsidR="00DC50FB" w:rsidRDefault="0098651F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το οποίο δεν συμπλήρωσε το εξηκοστό πέμπτο (65</w:t>
            </w:r>
            <w:r w:rsidR="00DC50FB" w:rsidRPr="006D4B27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 xml:space="preserve">) έτος της ηλικίας του κατά το χρόνο έναρξης της απασχόλησής του, </w:t>
            </w:r>
          </w:p>
          <w:p w14:paraId="7B8BA5BA" w14:textId="77777777" w:rsidR="002656B4" w:rsidRPr="006D4B27" w:rsidRDefault="002656B4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018D01" w14:textId="3761B8DF" w:rsidR="00DC50FB" w:rsidRDefault="0098651F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το οποίο απασχολείται δυνάμει οποιουδήποτε ειδικού Νόμου,</w:t>
            </w:r>
          </w:p>
          <w:p w14:paraId="3AFE16DB" w14:textId="77777777" w:rsidR="002656B4" w:rsidRPr="006D4B27" w:rsidRDefault="002656B4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12D214" w14:textId="40BFB337" w:rsidR="00DC50FB" w:rsidRDefault="0098651F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σε περίπτωση που δεν δημιουργείται υπαλληλική σχέση,</w:t>
            </w:r>
          </w:p>
          <w:p w14:paraId="154B0ECA" w14:textId="77777777" w:rsidR="002656B4" w:rsidRPr="006D4B27" w:rsidRDefault="002656B4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240B8CE" w14:textId="182654A6" w:rsidR="00DC50FB" w:rsidRPr="006D4B27" w:rsidRDefault="0098651F" w:rsidP="0098651F">
            <w:pPr>
              <w:tabs>
                <w:tab w:val="left" w:pos="284"/>
                <w:tab w:val="left" w:pos="680"/>
                <w:tab w:val="left" w:pos="1077"/>
              </w:tabs>
              <w:spacing w:line="360" w:lineRule="auto"/>
              <w:ind w:left="1062" w:hanging="106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>(ε)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C50FB" w:rsidRPr="006D4B27">
              <w:rPr>
                <w:rFonts w:ascii="Arial" w:hAnsi="Arial" w:cs="Arial"/>
                <w:sz w:val="24"/>
                <w:szCs w:val="24"/>
                <w:lang w:val="el-GR"/>
              </w:rPr>
              <w:tab/>
              <w:t>του οποίου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Νόμου.</w:t>
            </w:r>
            <w:r w:rsidR="00DC50FB" w:rsidRPr="006D4B2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</w:t>
            </w:r>
          </w:p>
        </w:tc>
      </w:tr>
      <w:tr w:rsidR="0098651F" w:rsidRPr="002656B4" w14:paraId="7CFD11DE" w14:textId="77777777" w:rsidTr="006C42EA">
        <w:trPr>
          <w:trHeight w:val="564"/>
        </w:trPr>
        <w:tc>
          <w:tcPr>
            <w:tcW w:w="2235" w:type="dxa"/>
          </w:tcPr>
          <w:p w14:paraId="2BA74C4A" w14:textId="13A3766D" w:rsidR="0098651F" w:rsidRPr="006D4B27" w:rsidRDefault="0098651F" w:rsidP="006D4B27">
            <w:pPr>
              <w:spacing w:line="360" w:lineRule="auto"/>
              <w:ind w:right="176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</w:tc>
        <w:tc>
          <w:tcPr>
            <w:tcW w:w="7229" w:type="dxa"/>
          </w:tcPr>
          <w:p w14:paraId="4C26865A" w14:textId="77777777" w:rsidR="0098651F" w:rsidRPr="006D4B27" w:rsidRDefault="0098651F" w:rsidP="0098651F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C010E85" w14:textId="77777777" w:rsidR="00DB7661" w:rsidRPr="006D4B27" w:rsidRDefault="00DB7661" w:rsidP="006D4B27">
      <w:pPr>
        <w:tabs>
          <w:tab w:val="left" w:pos="1193"/>
          <w:tab w:val="left" w:pos="2554"/>
          <w:tab w:val="left" w:pos="5790"/>
          <w:tab w:val="left" w:pos="6762"/>
          <w:tab w:val="left" w:pos="7689"/>
          <w:tab w:val="left" w:pos="8650"/>
          <w:tab w:val="left" w:pos="9611"/>
        </w:tabs>
        <w:spacing w:before="80" w:line="360" w:lineRule="auto"/>
        <w:rPr>
          <w:rFonts w:ascii="Arial" w:hAnsi="Arial" w:cs="Arial"/>
          <w:sz w:val="24"/>
          <w:szCs w:val="24"/>
          <w:lang w:val="el-GR"/>
        </w:rPr>
      </w:pPr>
    </w:p>
    <w:p w14:paraId="02E7276D" w14:textId="5F2EFE4B" w:rsidR="006D4B27" w:rsidRDefault="000F1FC1">
      <w:pPr>
        <w:tabs>
          <w:tab w:val="left" w:pos="1193"/>
          <w:tab w:val="left" w:pos="2554"/>
          <w:tab w:val="left" w:pos="5790"/>
          <w:tab w:val="left" w:pos="6762"/>
          <w:tab w:val="left" w:pos="7689"/>
          <w:tab w:val="left" w:pos="8650"/>
          <w:tab w:val="left" w:pos="9611"/>
        </w:tabs>
        <w:spacing w:before="8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>.: 23.01.063.212-2022</w:t>
      </w:r>
    </w:p>
    <w:p w14:paraId="28DE7D9B" w14:textId="2E6DAA27" w:rsidR="000F1FC1" w:rsidRPr="006D4B27" w:rsidRDefault="000F1FC1">
      <w:pPr>
        <w:tabs>
          <w:tab w:val="left" w:pos="1193"/>
          <w:tab w:val="left" w:pos="2554"/>
          <w:tab w:val="left" w:pos="5790"/>
          <w:tab w:val="left" w:pos="6762"/>
          <w:tab w:val="left" w:pos="7689"/>
          <w:tab w:val="left" w:pos="8650"/>
          <w:tab w:val="left" w:pos="9611"/>
        </w:tabs>
        <w:spacing w:before="8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ΣΚ/ΧΧ</w:t>
      </w:r>
    </w:p>
    <w:sectPr w:rsidR="000F1FC1" w:rsidRPr="006D4B27" w:rsidSect="00E964E2">
      <w:headerReference w:type="default" r:id="rId8"/>
      <w:footerReference w:type="default" r:id="rId9"/>
      <w:pgSz w:w="11909" w:h="16834"/>
      <w:pgMar w:top="1418" w:right="1418" w:bottom="1418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993F" w14:textId="77777777" w:rsidR="00212620" w:rsidRDefault="00212620">
      <w:r>
        <w:separator/>
      </w:r>
    </w:p>
  </w:endnote>
  <w:endnote w:type="continuationSeparator" w:id="0">
    <w:p w14:paraId="7DE087F5" w14:textId="77777777" w:rsidR="00212620" w:rsidRDefault="002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DAB" w14:textId="77777777" w:rsidR="000F5B53" w:rsidRDefault="000F5B53">
    <w:pPr>
      <w:pStyle w:val="Footer"/>
    </w:pPr>
  </w:p>
  <w:p w14:paraId="21D3FD75" w14:textId="77777777" w:rsidR="000F5B53" w:rsidRDefault="000F5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97DA" w14:textId="77777777" w:rsidR="00212620" w:rsidRDefault="00212620">
      <w:r>
        <w:separator/>
      </w:r>
    </w:p>
  </w:footnote>
  <w:footnote w:type="continuationSeparator" w:id="0">
    <w:p w14:paraId="631CA773" w14:textId="77777777" w:rsidR="00212620" w:rsidRDefault="0021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891418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55D12" w14:textId="4208C4B8" w:rsidR="004C325D" w:rsidRPr="004C325D" w:rsidRDefault="004C325D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4C325D">
          <w:rPr>
            <w:rFonts w:ascii="Arial" w:hAnsi="Arial" w:cs="Arial"/>
            <w:sz w:val="24"/>
            <w:szCs w:val="24"/>
          </w:rPr>
          <w:fldChar w:fldCharType="begin"/>
        </w:r>
        <w:r w:rsidRPr="004C325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C325D">
          <w:rPr>
            <w:rFonts w:ascii="Arial" w:hAnsi="Arial" w:cs="Arial"/>
            <w:sz w:val="24"/>
            <w:szCs w:val="24"/>
          </w:rPr>
          <w:fldChar w:fldCharType="separate"/>
        </w:r>
        <w:r w:rsidRPr="004C325D">
          <w:rPr>
            <w:rFonts w:ascii="Arial" w:hAnsi="Arial" w:cs="Arial"/>
            <w:noProof/>
            <w:sz w:val="24"/>
            <w:szCs w:val="24"/>
          </w:rPr>
          <w:t>2</w:t>
        </w:r>
        <w:r w:rsidRPr="004C325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4DD862E" w14:textId="77777777" w:rsidR="004C325D" w:rsidRDefault="004C3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1D4"/>
    <w:multiLevelType w:val="hybridMultilevel"/>
    <w:tmpl w:val="FA182D7C"/>
    <w:lvl w:ilvl="0" w:tplc="7730D4EC">
      <w:start w:val="1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D54467"/>
    <w:multiLevelType w:val="hybridMultilevel"/>
    <w:tmpl w:val="BC36FE26"/>
    <w:lvl w:ilvl="0" w:tplc="4686F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C12"/>
    <w:multiLevelType w:val="hybridMultilevel"/>
    <w:tmpl w:val="8C840484"/>
    <w:lvl w:ilvl="0" w:tplc="90B02E1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0F6D8A"/>
    <w:multiLevelType w:val="hybridMultilevel"/>
    <w:tmpl w:val="7780EC5A"/>
    <w:lvl w:ilvl="0" w:tplc="D4D0C9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4722C"/>
    <w:multiLevelType w:val="hybridMultilevel"/>
    <w:tmpl w:val="3EEAEEA6"/>
    <w:lvl w:ilvl="0" w:tplc="04080001">
      <w:start w:val="7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2AFF"/>
    <w:multiLevelType w:val="hybridMultilevel"/>
    <w:tmpl w:val="1A849124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490"/>
    <w:multiLevelType w:val="hybridMultilevel"/>
    <w:tmpl w:val="CF0EF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1391"/>
    <w:multiLevelType w:val="hybridMultilevel"/>
    <w:tmpl w:val="8738D3BC"/>
    <w:lvl w:ilvl="0" w:tplc="4686FC94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1517B6A"/>
    <w:multiLevelType w:val="hybridMultilevel"/>
    <w:tmpl w:val="015A2402"/>
    <w:lvl w:ilvl="0" w:tplc="5572594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AD5D40"/>
    <w:multiLevelType w:val="hybridMultilevel"/>
    <w:tmpl w:val="AB2664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23B8D"/>
    <w:multiLevelType w:val="hybridMultilevel"/>
    <w:tmpl w:val="B2785872"/>
    <w:lvl w:ilvl="0" w:tplc="040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B996450"/>
    <w:multiLevelType w:val="hybridMultilevel"/>
    <w:tmpl w:val="204EC8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1DC"/>
    <w:multiLevelType w:val="hybridMultilevel"/>
    <w:tmpl w:val="0B342F56"/>
    <w:lvl w:ilvl="0" w:tplc="4656A3D6">
      <w:start w:val="2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2684"/>
    <w:multiLevelType w:val="hybridMultilevel"/>
    <w:tmpl w:val="73EC8F20"/>
    <w:lvl w:ilvl="0" w:tplc="04080001">
      <w:start w:val="7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D5AB2"/>
    <w:multiLevelType w:val="hybridMultilevel"/>
    <w:tmpl w:val="5FE68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6217C"/>
    <w:multiLevelType w:val="hybridMultilevel"/>
    <w:tmpl w:val="01649C8A"/>
    <w:lvl w:ilvl="0" w:tplc="9162DA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6567D"/>
    <w:multiLevelType w:val="hybridMultilevel"/>
    <w:tmpl w:val="A1FE39EC"/>
    <w:lvl w:ilvl="0" w:tplc="D4D0C9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9DF"/>
    <w:multiLevelType w:val="hybridMultilevel"/>
    <w:tmpl w:val="47BC8AEC"/>
    <w:lvl w:ilvl="0" w:tplc="B13271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A4E18"/>
    <w:multiLevelType w:val="hybridMultilevel"/>
    <w:tmpl w:val="0B342F56"/>
    <w:lvl w:ilvl="0" w:tplc="4656A3D6">
      <w:start w:val="2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C9B"/>
    <w:multiLevelType w:val="hybridMultilevel"/>
    <w:tmpl w:val="A7AC1B1A"/>
    <w:lvl w:ilvl="0" w:tplc="4686F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48B3"/>
    <w:multiLevelType w:val="hybridMultilevel"/>
    <w:tmpl w:val="FEFA8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925F2"/>
    <w:multiLevelType w:val="hybridMultilevel"/>
    <w:tmpl w:val="ECA2AB9E"/>
    <w:lvl w:ilvl="0" w:tplc="535692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6677"/>
    <w:multiLevelType w:val="hybridMultilevel"/>
    <w:tmpl w:val="AAB67A8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53867"/>
    <w:multiLevelType w:val="hybridMultilevel"/>
    <w:tmpl w:val="5C9C62AA"/>
    <w:lvl w:ilvl="0" w:tplc="DA522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30E67"/>
    <w:multiLevelType w:val="hybridMultilevel"/>
    <w:tmpl w:val="BE902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98435">
    <w:abstractNumId w:val="9"/>
  </w:num>
  <w:num w:numId="2" w16cid:durableId="1229733196">
    <w:abstractNumId w:val="0"/>
  </w:num>
  <w:num w:numId="3" w16cid:durableId="1379237157">
    <w:abstractNumId w:val="13"/>
  </w:num>
  <w:num w:numId="4" w16cid:durableId="1433935538">
    <w:abstractNumId w:val="4"/>
  </w:num>
  <w:num w:numId="5" w16cid:durableId="1169835376">
    <w:abstractNumId w:val="20"/>
  </w:num>
  <w:num w:numId="6" w16cid:durableId="257295083">
    <w:abstractNumId w:val="24"/>
  </w:num>
  <w:num w:numId="7" w16cid:durableId="622005688">
    <w:abstractNumId w:val="6"/>
  </w:num>
  <w:num w:numId="8" w16cid:durableId="156268211">
    <w:abstractNumId w:val="3"/>
  </w:num>
  <w:num w:numId="9" w16cid:durableId="1898589890">
    <w:abstractNumId w:val="15"/>
  </w:num>
  <w:num w:numId="10" w16cid:durableId="383916263">
    <w:abstractNumId w:val="22"/>
  </w:num>
  <w:num w:numId="11" w16cid:durableId="27074868">
    <w:abstractNumId w:val="21"/>
  </w:num>
  <w:num w:numId="12" w16cid:durableId="1892767564">
    <w:abstractNumId w:val="16"/>
  </w:num>
  <w:num w:numId="13" w16cid:durableId="944381825">
    <w:abstractNumId w:val="12"/>
  </w:num>
  <w:num w:numId="14" w16cid:durableId="1409577996">
    <w:abstractNumId w:val="19"/>
  </w:num>
  <w:num w:numId="15" w16cid:durableId="1059939620">
    <w:abstractNumId w:val="1"/>
  </w:num>
  <w:num w:numId="16" w16cid:durableId="1557933942">
    <w:abstractNumId w:val="7"/>
  </w:num>
  <w:num w:numId="17" w16cid:durableId="240726508">
    <w:abstractNumId w:val="17"/>
  </w:num>
  <w:num w:numId="18" w16cid:durableId="1865315768">
    <w:abstractNumId w:val="2"/>
  </w:num>
  <w:num w:numId="19" w16cid:durableId="1779519566">
    <w:abstractNumId w:val="23"/>
  </w:num>
  <w:num w:numId="20" w16cid:durableId="15078711">
    <w:abstractNumId w:val="5"/>
  </w:num>
  <w:num w:numId="21" w16cid:durableId="149178843">
    <w:abstractNumId w:val="8"/>
  </w:num>
  <w:num w:numId="22" w16cid:durableId="458650235">
    <w:abstractNumId w:val="18"/>
  </w:num>
  <w:num w:numId="23" w16cid:durableId="466749215">
    <w:abstractNumId w:val="10"/>
  </w:num>
  <w:num w:numId="24" w16cid:durableId="1613854553">
    <w:abstractNumId w:val="14"/>
  </w:num>
  <w:num w:numId="25" w16cid:durableId="1646083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A9"/>
    <w:rsid w:val="00000E83"/>
    <w:rsid w:val="00001189"/>
    <w:rsid w:val="000030EF"/>
    <w:rsid w:val="00004818"/>
    <w:rsid w:val="000049FA"/>
    <w:rsid w:val="00005034"/>
    <w:rsid w:val="00006108"/>
    <w:rsid w:val="000117CD"/>
    <w:rsid w:val="00014BE0"/>
    <w:rsid w:val="00016AB8"/>
    <w:rsid w:val="00017E7D"/>
    <w:rsid w:val="00021295"/>
    <w:rsid w:val="00021F80"/>
    <w:rsid w:val="00033A73"/>
    <w:rsid w:val="00033A77"/>
    <w:rsid w:val="0003740E"/>
    <w:rsid w:val="00037B15"/>
    <w:rsid w:val="00043A00"/>
    <w:rsid w:val="00044C0F"/>
    <w:rsid w:val="00046EC7"/>
    <w:rsid w:val="00047FF9"/>
    <w:rsid w:val="00052266"/>
    <w:rsid w:val="00053682"/>
    <w:rsid w:val="0005506B"/>
    <w:rsid w:val="00055BF3"/>
    <w:rsid w:val="000601DB"/>
    <w:rsid w:val="00060C6F"/>
    <w:rsid w:val="00065A64"/>
    <w:rsid w:val="00070CD9"/>
    <w:rsid w:val="000748C7"/>
    <w:rsid w:val="00074B0B"/>
    <w:rsid w:val="000753F8"/>
    <w:rsid w:val="00075F19"/>
    <w:rsid w:val="00082BCE"/>
    <w:rsid w:val="00083ACF"/>
    <w:rsid w:val="000841F1"/>
    <w:rsid w:val="00084278"/>
    <w:rsid w:val="00085FA2"/>
    <w:rsid w:val="00087392"/>
    <w:rsid w:val="000926F4"/>
    <w:rsid w:val="000A2060"/>
    <w:rsid w:val="000A5E18"/>
    <w:rsid w:val="000B1A99"/>
    <w:rsid w:val="000B28D0"/>
    <w:rsid w:val="000B3487"/>
    <w:rsid w:val="000B3B76"/>
    <w:rsid w:val="000B46E7"/>
    <w:rsid w:val="000B4741"/>
    <w:rsid w:val="000B5199"/>
    <w:rsid w:val="000B557F"/>
    <w:rsid w:val="000C04A5"/>
    <w:rsid w:val="000C1567"/>
    <w:rsid w:val="000C7C91"/>
    <w:rsid w:val="000D1DE7"/>
    <w:rsid w:val="000D4A93"/>
    <w:rsid w:val="000E2585"/>
    <w:rsid w:val="000E4EBC"/>
    <w:rsid w:val="000E5E96"/>
    <w:rsid w:val="000E5F38"/>
    <w:rsid w:val="000F1FC1"/>
    <w:rsid w:val="000F5B53"/>
    <w:rsid w:val="001003A9"/>
    <w:rsid w:val="001006C1"/>
    <w:rsid w:val="00101737"/>
    <w:rsid w:val="00105DD6"/>
    <w:rsid w:val="0011063A"/>
    <w:rsid w:val="00111B68"/>
    <w:rsid w:val="00114ABC"/>
    <w:rsid w:val="0011786F"/>
    <w:rsid w:val="00120051"/>
    <w:rsid w:val="00120E89"/>
    <w:rsid w:val="001222D1"/>
    <w:rsid w:val="00126776"/>
    <w:rsid w:val="00131543"/>
    <w:rsid w:val="00131C47"/>
    <w:rsid w:val="00133BF0"/>
    <w:rsid w:val="00136183"/>
    <w:rsid w:val="00136F91"/>
    <w:rsid w:val="001445FB"/>
    <w:rsid w:val="001458A4"/>
    <w:rsid w:val="00146BB6"/>
    <w:rsid w:val="00150752"/>
    <w:rsid w:val="00151A80"/>
    <w:rsid w:val="00153309"/>
    <w:rsid w:val="00154078"/>
    <w:rsid w:val="001544F8"/>
    <w:rsid w:val="0015554E"/>
    <w:rsid w:val="00163D73"/>
    <w:rsid w:val="00164F81"/>
    <w:rsid w:val="00165A4A"/>
    <w:rsid w:val="00166736"/>
    <w:rsid w:val="00166C84"/>
    <w:rsid w:val="00170DC6"/>
    <w:rsid w:val="00172115"/>
    <w:rsid w:val="00173E67"/>
    <w:rsid w:val="00176A50"/>
    <w:rsid w:val="00177699"/>
    <w:rsid w:val="001778A5"/>
    <w:rsid w:val="001813B1"/>
    <w:rsid w:val="00187139"/>
    <w:rsid w:val="00193EDE"/>
    <w:rsid w:val="00194B51"/>
    <w:rsid w:val="00194CA9"/>
    <w:rsid w:val="001964C0"/>
    <w:rsid w:val="00196DFC"/>
    <w:rsid w:val="001979F7"/>
    <w:rsid w:val="001A196A"/>
    <w:rsid w:val="001A28BC"/>
    <w:rsid w:val="001A4467"/>
    <w:rsid w:val="001A7096"/>
    <w:rsid w:val="001B0F62"/>
    <w:rsid w:val="001B1710"/>
    <w:rsid w:val="001B2CB2"/>
    <w:rsid w:val="001B53B6"/>
    <w:rsid w:val="001B775D"/>
    <w:rsid w:val="001B778A"/>
    <w:rsid w:val="001C1E5A"/>
    <w:rsid w:val="001C211C"/>
    <w:rsid w:val="001C32C9"/>
    <w:rsid w:val="001C3E94"/>
    <w:rsid w:val="001C727E"/>
    <w:rsid w:val="001D01BB"/>
    <w:rsid w:val="001D0A8B"/>
    <w:rsid w:val="001D3D3E"/>
    <w:rsid w:val="001D5499"/>
    <w:rsid w:val="001D5BC1"/>
    <w:rsid w:val="001D75F4"/>
    <w:rsid w:val="001D77FD"/>
    <w:rsid w:val="001E7B03"/>
    <w:rsid w:val="001F350B"/>
    <w:rsid w:val="001F3D04"/>
    <w:rsid w:val="001F430B"/>
    <w:rsid w:val="001F4D2B"/>
    <w:rsid w:val="001F5F43"/>
    <w:rsid w:val="001F7657"/>
    <w:rsid w:val="00201322"/>
    <w:rsid w:val="00202A94"/>
    <w:rsid w:val="00203CA2"/>
    <w:rsid w:val="00204618"/>
    <w:rsid w:val="00205E9C"/>
    <w:rsid w:val="0020702C"/>
    <w:rsid w:val="0020725E"/>
    <w:rsid w:val="00210656"/>
    <w:rsid w:val="00212620"/>
    <w:rsid w:val="00215605"/>
    <w:rsid w:val="00221044"/>
    <w:rsid w:val="00222C67"/>
    <w:rsid w:val="00224B94"/>
    <w:rsid w:val="00225B6B"/>
    <w:rsid w:val="00230379"/>
    <w:rsid w:val="002312A7"/>
    <w:rsid w:val="00232FFD"/>
    <w:rsid w:val="002331E9"/>
    <w:rsid w:val="00233DE3"/>
    <w:rsid w:val="00235ADA"/>
    <w:rsid w:val="00236B21"/>
    <w:rsid w:val="002379B5"/>
    <w:rsid w:val="00246928"/>
    <w:rsid w:val="002471FB"/>
    <w:rsid w:val="00250829"/>
    <w:rsid w:val="002521BC"/>
    <w:rsid w:val="0025308D"/>
    <w:rsid w:val="002544B0"/>
    <w:rsid w:val="00254D65"/>
    <w:rsid w:val="002572BC"/>
    <w:rsid w:val="00264C98"/>
    <w:rsid w:val="0026555E"/>
    <w:rsid w:val="002656B4"/>
    <w:rsid w:val="00266AAD"/>
    <w:rsid w:val="002729DE"/>
    <w:rsid w:val="00272A74"/>
    <w:rsid w:val="00274FA2"/>
    <w:rsid w:val="002760F9"/>
    <w:rsid w:val="00277447"/>
    <w:rsid w:val="00281F68"/>
    <w:rsid w:val="002853A1"/>
    <w:rsid w:val="002863FB"/>
    <w:rsid w:val="00286905"/>
    <w:rsid w:val="0028711A"/>
    <w:rsid w:val="00291FF4"/>
    <w:rsid w:val="00295CF9"/>
    <w:rsid w:val="002A04A6"/>
    <w:rsid w:val="002A04A7"/>
    <w:rsid w:val="002A488E"/>
    <w:rsid w:val="002A5CE6"/>
    <w:rsid w:val="002B03A1"/>
    <w:rsid w:val="002B08A0"/>
    <w:rsid w:val="002B0E57"/>
    <w:rsid w:val="002B4E03"/>
    <w:rsid w:val="002B4FA1"/>
    <w:rsid w:val="002C00A3"/>
    <w:rsid w:val="002C1161"/>
    <w:rsid w:val="002C776C"/>
    <w:rsid w:val="002D1BA7"/>
    <w:rsid w:val="002D4695"/>
    <w:rsid w:val="002D70AF"/>
    <w:rsid w:val="002E177D"/>
    <w:rsid w:val="002E2EA1"/>
    <w:rsid w:val="002E368D"/>
    <w:rsid w:val="002E402E"/>
    <w:rsid w:val="002E65DA"/>
    <w:rsid w:val="002E6CBF"/>
    <w:rsid w:val="002F0FBC"/>
    <w:rsid w:val="002F601F"/>
    <w:rsid w:val="002F7484"/>
    <w:rsid w:val="00304DA7"/>
    <w:rsid w:val="00305080"/>
    <w:rsid w:val="003070E2"/>
    <w:rsid w:val="003075E3"/>
    <w:rsid w:val="00312584"/>
    <w:rsid w:val="00313735"/>
    <w:rsid w:val="003174DE"/>
    <w:rsid w:val="0031774A"/>
    <w:rsid w:val="00317B6B"/>
    <w:rsid w:val="00320065"/>
    <w:rsid w:val="003204DC"/>
    <w:rsid w:val="003221A6"/>
    <w:rsid w:val="003240A8"/>
    <w:rsid w:val="00325073"/>
    <w:rsid w:val="00325E85"/>
    <w:rsid w:val="00327413"/>
    <w:rsid w:val="00334194"/>
    <w:rsid w:val="00336875"/>
    <w:rsid w:val="00340D3D"/>
    <w:rsid w:val="00343888"/>
    <w:rsid w:val="003469FB"/>
    <w:rsid w:val="00346AD8"/>
    <w:rsid w:val="0034735B"/>
    <w:rsid w:val="00351383"/>
    <w:rsid w:val="00351BBA"/>
    <w:rsid w:val="00351E99"/>
    <w:rsid w:val="00351F95"/>
    <w:rsid w:val="00353270"/>
    <w:rsid w:val="0035588E"/>
    <w:rsid w:val="0035679C"/>
    <w:rsid w:val="00357728"/>
    <w:rsid w:val="00357C28"/>
    <w:rsid w:val="003608AB"/>
    <w:rsid w:val="00362A6B"/>
    <w:rsid w:val="003656E0"/>
    <w:rsid w:val="00370322"/>
    <w:rsid w:val="00374557"/>
    <w:rsid w:val="003763A1"/>
    <w:rsid w:val="0038095F"/>
    <w:rsid w:val="0038323B"/>
    <w:rsid w:val="00386146"/>
    <w:rsid w:val="00387D67"/>
    <w:rsid w:val="00390098"/>
    <w:rsid w:val="00390BFB"/>
    <w:rsid w:val="00391D30"/>
    <w:rsid w:val="00392E6A"/>
    <w:rsid w:val="003938BD"/>
    <w:rsid w:val="003A25A7"/>
    <w:rsid w:val="003A34CC"/>
    <w:rsid w:val="003A3848"/>
    <w:rsid w:val="003A4640"/>
    <w:rsid w:val="003A5D6F"/>
    <w:rsid w:val="003B2E59"/>
    <w:rsid w:val="003B32EC"/>
    <w:rsid w:val="003B3D6B"/>
    <w:rsid w:val="003C2D13"/>
    <w:rsid w:val="003C7AF4"/>
    <w:rsid w:val="003D0D5E"/>
    <w:rsid w:val="003D2B76"/>
    <w:rsid w:val="003D31C1"/>
    <w:rsid w:val="003D4FA7"/>
    <w:rsid w:val="003D5000"/>
    <w:rsid w:val="003E4CD7"/>
    <w:rsid w:val="003E5980"/>
    <w:rsid w:val="003E65C7"/>
    <w:rsid w:val="003F209A"/>
    <w:rsid w:val="003F2271"/>
    <w:rsid w:val="003F3463"/>
    <w:rsid w:val="003F3514"/>
    <w:rsid w:val="003F37A0"/>
    <w:rsid w:val="003F3F7D"/>
    <w:rsid w:val="003F3FDD"/>
    <w:rsid w:val="003F62E1"/>
    <w:rsid w:val="003F7D2B"/>
    <w:rsid w:val="004002E5"/>
    <w:rsid w:val="00401130"/>
    <w:rsid w:val="00404C2D"/>
    <w:rsid w:val="0040517A"/>
    <w:rsid w:val="00410131"/>
    <w:rsid w:val="004127C8"/>
    <w:rsid w:val="004145E0"/>
    <w:rsid w:val="00415E48"/>
    <w:rsid w:val="00416BC6"/>
    <w:rsid w:val="00420950"/>
    <w:rsid w:val="004213E4"/>
    <w:rsid w:val="00421519"/>
    <w:rsid w:val="004308E2"/>
    <w:rsid w:val="004358EA"/>
    <w:rsid w:val="004365AB"/>
    <w:rsid w:val="00440F65"/>
    <w:rsid w:val="004415E6"/>
    <w:rsid w:val="00441661"/>
    <w:rsid w:val="00442E6E"/>
    <w:rsid w:val="00442F8A"/>
    <w:rsid w:val="00443EA8"/>
    <w:rsid w:val="004456F6"/>
    <w:rsid w:val="00451041"/>
    <w:rsid w:val="00453E1B"/>
    <w:rsid w:val="004549B0"/>
    <w:rsid w:val="00455628"/>
    <w:rsid w:val="004601E4"/>
    <w:rsid w:val="004604DE"/>
    <w:rsid w:val="00461BC5"/>
    <w:rsid w:val="00462458"/>
    <w:rsid w:val="00462D6D"/>
    <w:rsid w:val="00471F97"/>
    <w:rsid w:val="00472C1C"/>
    <w:rsid w:val="00474A3C"/>
    <w:rsid w:val="00474AA7"/>
    <w:rsid w:val="00476FA5"/>
    <w:rsid w:val="004801EF"/>
    <w:rsid w:val="00482F14"/>
    <w:rsid w:val="0049070F"/>
    <w:rsid w:val="004930BC"/>
    <w:rsid w:val="00497B75"/>
    <w:rsid w:val="004A0365"/>
    <w:rsid w:val="004A0701"/>
    <w:rsid w:val="004A2749"/>
    <w:rsid w:val="004B0642"/>
    <w:rsid w:val="004B191B"/>
    <w:rsid w:val="004B52D7"/>
    <w:rsid w:val="004C028C"/>
    <w:rsid w:val="004C1D6C"/>
    <w:rsid w:val="004C325D"/>
    <w:rsid w:val="004C3512"/>
    <w:rsid w:val="004C44EE"/>
    <w:rsid w:val="004D012F"/>
    <w:rsid w:val="004D0FDC"/>
    <w:rsid w:val="004D244D"/>
    <w:rsid w:val="004D3C40"/>
    <w:rsid w:val="004D63C9"/>
    <w:rsid w:val="004D77F7"/>
    <w:rsid w:val="004D7845"/>
    <w:rsid w:val="004E36CD"/>
    <w:rsid w:val="004E4145"/>
    <w:rsid w:val="004E7909"/>
    <w:rsid w:val="004F3959"/>
    <w:rsid w:val="004F3DA7"/>
    <w:rsid w:val="004F603D"/>
    <w:rsid w:val="005007F4"/>
    <w:rsid w:val="00500A38"/>
    <w:rsid w:val="00500EE9"/>
    <w:rsid w:val="00503B77"/>
    <w:rsid w:val="0050432D"/>
    <w:rsid w:val="00504DE3"/>
    <w:rsid w:val="00507C53"/>
    <w:rsid w:val="0051058C"/>
    <w:rsid w:val="0051146A"/>
    <w:rsid w:val="00512190"/>
    <w:rsid w:val="00512A0C"/>
    <w:rsid w:val="0051462B"/>
    <w:rsid w:val="005153E4"/>
    <w:rsid w:val="005163F3"/>
    <w:rsid w:val="00517ADD"/>
    <w:rsid w:val="00523548"/>
    <w:rsid w:val="00526AEE"/>
    <w:rsid w:val="00530931"/>
    <w:rsid w:val="005311AA"/>
    <w:rsid w:val="0053139C"/>
    <w:rsid w:val="00532BF0"/>
    <w:rsid w:val="00534431"/>
    <w:rsid w:val="00536B41"/>
    <w:rsid w:val="00537F36"/>
    <w:rsid w:val="005403AE"/>
    <w:rsid w:val="00540B3A"/>
    <w:rsid w:val="00540F01"/>
    <w:rsid w:val="0054118A"/>
    <w:rsid w:val="00542673"/>
    <w:rsid w:val="00543E60"/>
    <w:rsid w:val="0054595A"/>
    <w:rsid w:val="00545EBC"/>
    <w:rsid w:val="00546A50"/>
    <w:rsid w:val="0054744A"/>
    <w:rsid w:val="00551E23"/>
    <w:rsid w:val="00554547"/>
    <w:rsid w:val="00554D55"/>
    <w:rsid w:val="00556445"/>
    <w:rsid w:val="0056350B"/>
    <w:rsid w:val="005635A9"/>
    <w:rsid w:val="0056361F"/>
    <w:rsid w:val="00564A9A"/>
    <w:rsid w:val="00565117"/>
    <w:rsid w:val="00570CE6"/>
    <w:rsid w:val="0057148F"/>
    <w:rsid w:val="00577EE4"/>
    <w:rsid w:val="005903D2"/>
    <w:rsid w:val="00592831"/>
    <w:rsid w:val="00593A89"/>
    <w:rsid w:val="0059506B"/>
    <w:rsid w:val="00595B79"/>
    <w:rsid w:val="00597CBB"/>
    <w:rsid w:val="005A3669"/>
    <w:rsid w:val="005A622C"/>
    <w:rsid w:val="005B2038"/>
    <w:rsid w:val="005B4B73"/>
    <w:rsid w:val="005B763D"/>
    <w:rsid w:val="005C337F"/>
    <w:rsid w:val="005C4377"/>
    <w:rsid w:val="005C750E"/>
    <w:rsid w:val="005C760C"/>
    <w:rsid w:val="005D0499"/>
    <w:rsid w:val="005D12B8"/>
    <w:rsid w:val="005D244E"/>
    <w:rsid w:val="005D37CB"/>
    <w:rsid w:val="005D4086"/>
    <w:rsid w:val="005D4988"/>
    <w:rsid w:val="005D4ED5"/>
    <w:rsid w:val="005D71A2"/>
    <w:rsid w:val="005E02D4"/>
    <w:rsid w:val="005E48E3"/>
    <w:rsid w:val="005E52AD"/>
    <w:rsid w:val="005E72FD"/>
    <w:rsid w:val="005E7DE4"/>
    <w:rsid w:val="005F258F"/>
    <w:rsid w:val="005F63BE"/>
    <w:rsid w:val="00600236"/>
    <w:rsid w:val="0060137D"/>
    <w:rsid w:val="00601E99"/>
    <w:rsid w:val="006022D9"/>
    <w:rsid w:val="00602A72"/>
    <w:rsid w:val="00605ADC"/>
    <w:rsid w:val="0061439B"/>
    <w:rsid w:val="006143B2"/>
    <w:rsid w:val="00614880"/>
    <w:rsid w:val="00621DAA"/>
    <w:rsid w:val="0062245F"/>
    <w:rsid w:val="00622AA2"/>
    <w:rsid w:val="00623693"/>
    <w:rsid w:val="00623A90"/>
    <w:rsid w:val="006241DA"/>
    <w:rsid w:val="006274E7"/>
    <w:rsid w:val="0062764A"/>
    <w:rsid w:val="006326D6"/>
    <w:rsid w:val="0063391E"/>
    <w:rsid w:val="00633B6A"/>
    <w:rsid w:val="00635363"/>
    <w:rsid w:val="0064059E"/>
    <w:rsid w:val="00641BCC"/>
    <w:rsid w:val="0064218F"/>
    <w:rsid w:val="006424CF"/>
    <w:rsid w:val="00642D51"/>
    <w:rsid w:val="00645762"/>
    <w:rsid w:val="00647E5A"/>
    <w:rsid w:val="00647F20"/>
    <w:rsid w:val="00651011"/>
    <w:rsid w:val="00651580"/>
    <w:rsid w:val="00653374"/>
    <w:rsid w:val="00655638"/>
    <w:rsid w:val="00656C86"/>
    <w:rsid w:val="0066053F"/>
    <w:rsid w:val="00662E59"/>
    <w:rsid w:val="006640C2"/>
    <w:rsid w:val="00670927"/>
    <w:rsid w:val="00674FCF"/>
    <w:rsid w:val="00675135"/>
    <w:rsid w:val="0068103C"/>
    <w:rsid w:val="00681243"/>
    <w:rsid w:val="0068238C"/>
    <w:rsid w:val="00683C8A"/>
    <w:rsid w:val="00686C95"/>
    <w:rsid w:val="00687E36"/>
    <w:rsid w:val="0069034F"/>
    <w:rsid w:val="00691149"/>
    <w:rsid w:val="0069327B"/>
    <w:rsid w:val="0069778D"/>
    <w:rsid w:val="006A2849"/>
    <w:rsid w:val="006A6E3A"/>
    <w:rsid w:val="006A76B3"/>
    <w:rsid w:val="006B2281"/>
    <w:rsid w:val="006B2F5A"/>
    <w:rsid w:val="006B3310"/>
    <w:rsid w:val="006B4481"/>
    <w:rsid w:val="006B47DA"/>
    <w:rsid w:val="006B5CC8"/>
    <w:rsid w:val="006B5CF6"/>
    <w:rsid w:val="006B76FC"/>
    <w:rsid w:val="006B7CFC"/>
    <w:rsid w:val="006C0662"/>
    <w:rsid w:val="006C199C"/>
    <w:rsid w:val="006C3FFD"/>
    <w:rsid w:val="006C42EA"/>
    <w:rsid w:val="006C4F0D"/>
    <w:rsid w:val="006C7C3A"/>
    <w:rsid w:val="006D0372"/>
    <w:rsid w:val="006D3630"/>
    <w:rsid w:val="006D453E"/>
    <w:rsid w:val="006D4B27"/>
    <w:rsid w:val="006E0321"/>
    <w:rsid w:val="006E11EC"/>
    <w:rsid w:val="006E348C"/>
    <w:rsid w:val="006E3522"/>
    <w:rsid w:val="006E49E9"/>
    <w:rsid w:val="006E7142"/>
    <w:rsid w:val="006F2CF0"/>
    <w:rsid w:val="006F34DC"/>
    <w:rsid w:val="006F52CD"/>
    <w:rsid w:val="006F5FDA"/>
    <w:rsid w:val="006F6768"/>
    <w:rsid w:val="007003EE"/>
    <w:rsid w:val="00702FB2"/>
    <w:rsid w:val="0070328F"/>
    <w:rsid w:val="007039D7"/>
    <w:rsid w:val="00704DE9"/>
    <w:rsid w:val="00710031"/>
    <w:rsid w:val="00710A59"/>
    <w:rsid w:val="0071406E"/>
    <w:rsid w:val="0072031E"/>
    <w:rsid w:val="00721D8F"/>
    <w:rsid w:val="00723551"/>
    <w:rsid w:val="0072541A"/>
    <w:rsid w:val="00725FBB"/>
    <w:rsid w:val="00732825"/>
    <w:rsid w:val="00734B92"/>
    <w:rsid w:val="00735327"/>
    <w:rsid w:val="00736641"/>
    <w:rsid w:val="00740ECE"/>
    <w:rsid w:val="0074107E"/>
    <w:rsid w:val="00744CC4"/>
    <w:rsid w:val="007460A3"/>
    <w:rsid w:val="007460AF"/>
    <w:rsid w:val="007500FE"/>
    <w:rsid w:val="0075499B"/>
    <w:rsid w:val="00755F81"/>
    <w:rsid w:val="00756A3A"/>
    <w:rsid w:val="00757DF3"/>
    <w:rsid w:val="0076372C"/>
    <w:rsid w:val="0076383D"/>
    <w:rsid w:val="00763B6A"/>
    <w:rsid w:val="00764A9C"/>
    <w:rsid w:val="00765E6C"/>
    <w:rsid w:val="007729E4"/>
    <w:rsid w:val="00774902"/>
    <w:rsid w:val="007757D1"/>
    <w:rsid w:val="00775EA1"/>
    <w:rsid w:val="007816FC"/>
    <w:rsid w:val="007826A1"/>
    <w:rsid w:val="00784A6A"/>
    <w:rsid w:val="00791578"/>
    <w:rsid w:val="00794802"/>
    <w:rsid w:val="00795BA9"/>
    <w:rsid w:val="007A0676"/>
    <w:rsid w:val="007A2231"/>
    <w:rsid w:val="007A29B5"/>
    <w:rsid w:val="007A5836"/>
    <w:rsid w:val="007A6C08"/>
    <w:rsid w:val="007A6E7D"/>
    <w:rsid w:val="007A78F3"/>
    <w:rsid w:val="007A7A52"/>
    <w:rsid w:val="007B0AF8"/>
    <w:rsid w:val="007B213B"/>
    <w:rsid w:val="007B36A3"/>
    <w:rsid w:val="007B5DC9"/>
    <w:rsid w:val="007B6A67"/>
    <w:rsid w:val="007B7BB1"/>
    <w:rsid w:val="007C003E"/>
    <w:rsid w:val="007C1715"/>
    <w:rsid w:val="007C25CE"/>
    <w:rsid w:val="007C2E79"/>
    <w:rsid w:val="007C3904"/>
    <w:rsid w:val="007C560E"/>
    <w:rsid w:val="007C608A"/>
    <w:rsid w:val="007C7390"/>
    <w:rsid w:val="007C74F2"/>
    <w:rsid w:val="007D0B28"/>
    <w:rsid w:val="007D336F"/>
    <w:rsid w:val="007D39CB"/>
    <w:rsid w:val="007D7FE5"/>
    <w:rsid w:val="007E0689"/>
    <w:rsid w:val="007E074B"/>
    <w:rsid w:val="007E4494"/>
    <w:rsid w:val="007E4E58"/>
    <w:rsid w:val="007E5803"/>
    <w:rsid w:val="007F05C7"/>
    <w:rsid w:val="007F2171"/>
    <w:rsid w:val="007F4C45"/>
    <w:rsid w:val="008005AB"/>
    <w:rsid w:val="0080592F"/>
    <w:rsid w:val="00812D83"/>
    <w:rsid w:val="00815FB9"/>
    <w:rsid w:val="00816868"/>
    <w:rsid w:val="008178B1"/>
    <w:rsid w:val="00822220"/>
    <w:rsid w:val="008248AE"/>
    <w:rsid w:val="00824A5A"/>
    <w:rsid w:val="00825897"/>
    <w:rsid w:val="00827347"/>
    <w:rsid w:val="008301B0"/>
    <w:rsid w:val="008304DE"/>
    <w:rsid w:val="008319A2"/>
    <w:rsid w:val="00832497"/>
    <w:rsid w:val="00833986"/>
    <w:rsid w:val="00833B5E"/>
    <w:rsid w:val="008364C2"/>
    <w:rsid w:val="00836985"/>
    <w:rsid w:val="00837B64"/>
    <w:rsid w:val="00840AC3"/>
    <w:rsid w:val="008410DD"/>
    <w:rsid w:val="00842D59"/>
    <w:rsid w:val="008432CD"/>
    <w:rsid w:val="00844873"/>
    <w:rsid w:val="00851BB4"/>
    <w:rsid w:val="00854C67"/>
    <w:rsid w:val="00855C5E"/>
    <w:rsid w:val="00857B50"/>
    <w:rsid w:val="00862BB5"/>
    <w:rsid w:val="00865118"/>
    <w:rsid w:val="00865435"/>
    <w:rsid w:val="00866503"/>
    <w:rsid w:val="00871BF4"/>
    <w:rsid w:val="00875BE3"/>
    <w:rsid w:val="00876C88"/>
    <w:rsid w:val="00877E7D"/>
    <w:rsid w:val="0088364A"/>
    <w:rsid w:val="00884A3F"/>
    <w:rsid w:val="00890892"/>
    <w:rsid w:val="00891FF8"/>
    <w:rsid w:val="00893085"/>
    <w:rsid w:val="008A1CE0"/>
    <w:rsid w:val="008A41C8"/>
    <w:rsid w:val="008A5EAF"/>
    <w:rsid w:val="008B3832"/>
    <w:rsid w:val="008B4571"/>
    <w:rsid w:val="008B5664"/>
    <w:rsid w:val="008B5CB5"/>
    <w:rsid w:val="008B70AD"/>
    <w:rsid w:val="008C1A98"/>
    <w:rsid w:val="008C24D4"/>
    <w:rsid w:val="008C7750"/>
    <w:rsid w:val="008D36C9"/>
    <w:rsid w:val="008D6045"/>
    <w:rsid w:val="008D6E9D"/>
    <w:rsid w:val="008E1B23"/>
    <w:rsid w:val="008E2896"/>
    <w:rsid w:val="008E3F2E"/>
    <w:rsid w:val="008E41AA"/>
    <w:rsid w:val="008E426E"/>
    <w:rsid w:val="008E5A21"/>
    <w:rsid w:val="008E5B60"/>
    <w:rsid w:val="008E701C"/>
    <w:rsid w:val="008F22DF"/>
    <w:rsid w:val="008F2532"/>
    <w:rsid w:val="008F2EC6"/>
    <w:rsid w:val="008F448E"/>
    <w:rsid w:val="008F6477"/>
    <w:rsid w:val="008F6EC3"/>
    <w:rsid w:val="008F7E91"/>
    <w:rsid w:val="008F7F35"/>
    <w:rsid w:val="00902C6D"/>
    <w:rsid w:val="00903808"/>
    <w:rsid w:val="00912BA4"/>
    <w:rsid w:val="00912FE4"/>
    <w:rsid w:val="009130D5"/>
    <w:rsid w:val="00923E46"/>
    <w:rsid w:val="009249C9"/>
    <w:rsid w:val="00925147"/>
    <w:rsid w:val="00925D65"/>
    <w:rsid w:val="009268EE"/>
    <w:rsid w:val="00926D50"/>
    <w:rsid w:val="00930AAE"/>
    <w:rsid w:val="00930AD1"/>
    <w:rsid w:val="0093170E"/>
    <w:rsid w:val="00932938"/>
    <w:rsid w:val="009336CC"/>
    <w:rsid w:val="009370A6"/>
    <w:rsid w:val="009376EE"/>
    <w:rsid w:val="00940CC1"/>
    <w:rsid w:val="0094301D"/>
    <w:rsid w:val="00946E7B"/>
    <w:rsid w:val="00950B35"/>
    <w:rsid w:val="00953A50"/>
    <w:rsid w:val="00953F5A"/>
    <w:rsid w:val="009553F8"/>
    <w:rsid w:val="00957000"/>
    <w:rsid w:val="009713EC"/>
    <w:rsid w:val="00971C11"/>
    <w:rsid w:val="009739C1"/>
    <w:rsid w:val="00981311"/>
    <w:rsid w:val="009831DE"/>
    <w:rsid w:val="0098651F"/>
    <w:rsid w:val="00991983"/>
    <w:rsid w:val="009942D7"/>
    <w:rsid w:val="0099655E"/>
    <w:rsid w:val="009A09D7"/>
    <w:rsid w:val="009A0C2C"/>
    <w:rsid w:val="009A4A2C"/>
    <w:rsid w:val="009A4D30"/>
    <w:rsid w:val="009A674F"/>
    <w:rsid w:val="009A73B7"/>
    <w:rsid w:val="009B2571"/>
    <w:rsid w:val="009C046B"/>
    <w:rsid w:val="009C0C49"/>
    <w:rsid w:val="009C36C2"/>
    <w:rsid w:val="009C3908"/>
    <w:rsid w:val="009C536E"/>
    <w:rsid w:val="009C5B35"/>
    <w:rsid w:val="009C7F0A"/>
    <w:rsid w:val="009D34A0"/>
    <w:rsid w:val="009D4479"/>
    <w:rsid w:val="009D4778"/>
    <w:rsid w:val="009D61A1"/>
    <w:rsid w:val="009D6BFA"/>
    <w:rsid w:val="009D7D7B"/>
    <w:rsid w:val="009E132F"/>
    <w:rsid w:val="009E145E"/>
    <w:rsid w:val="009E3A21"/>
    <w:rsid w:val="009E4DB1"/>
    <w:rsid w:val="009F25FD"/>
    <w:rsid w:val="009F53FD"/>
    <w:rsid w:val="009F6AC3"/>
    <w:rsid w:val="00A02B67"/>
    <w:rsid w:val="00A02F0D"/>
    <w:rsid w:val="00A03362"/>
    <w:rsid w:val="00A03371"/>
    <w:rsid w:val="00A05AA8"/>
    <w:rsid w:val="00A11C9E"/>
    <w:rsid w:val="00A12DF5"/>
    <w:rsid w:val="00A142EA"/>
    <w:rsid w:val="00A148BE"/>
    <w:rsid w:val="00A14CED"/>
    <w:rsid w:val="00A16311"/>
    <w:rsid w:val="00A16ECA"/>
    <w:rsid w:val="00A21B9D"/>
    <w:rsid w:val="00A21DC7"/>
    <w:rsid w:val="00A303B5"/>
    <w:rsid w:val="00A3451C"/>
    <w:rsid w:val="00A35784"/>
    <w:rsid w:val="00A36518"/>
    <w:rsid w:val="00A365B7"/>
    <w:rsid w:val="00A429BA"/>
    <w:rsid w:val="00A4430B"/>
    <w:rsid w:val="00A45222"/>
    <w:rsid w:val="00A51AED"/>
    <w:rsid w:val="00A63B8F"/>
    <w:rsid w:val="00A63D8E"/>
    <w:rsid w:val="00A646D9"/>
    <w:rsid w:val="00A668AA"/>
    <w:rsid w:val="00A67257"/>
    <w:rsid w:val="00A67278"/>
    <w:rsid w:val="00A71C64"/>
    <w:rsid w:val="00A74246"/>
    <w:rsid w:val="00A7538F"/>
    <w:rsid w:val="00A759CE"/>
    <w:rsid w:val="00A76409"/>
    <w:rsid w:val="00A77888"/>
    <w:rsid w:val="00A77BF4"/>
    <w:rsid w:val="00A77E77"/>
    <w:rsid w:val="00A840F1"/>
    <w:rsid w:val="00A84A43"/>
    <w:rsid w:val="00A85385"/>
    <w:rsid w:val="00A8708B"/>
    <w:rsid w:val="00AA133D"/>
    <w:rsid w:val="00AA18C9"/>
    <w:rsid w:val="00AA2164"/>
    <w:rsid w:val="00AA76CC"/>
    <w:rsid w:val="00AA7C8E"/>
    <w:rsid w:val="00AB33B9"/>
    <w:rsid w:val="00AB4281"/>
    <w:rsid w:val="00AC1B2D"/>
    <w:rsid w:val="00AC24EA"/>
    <w:rsid w:val="00AC4D3E"/>
    <w:rsid w:val="00AC6A30"/>
    <w:rsid w:val="00AD06C0"/>
    <w:rsid w:val="00AD0987"/>
    <w:rsid w:val="00AD2535"/>
    <w:rsid w:val="00AD5B41"/>
    <w:rsid w:val="00AD6E81"/>
    <w:rsid w:val="00AD7931"/>
    <w:rsid w:val="00AE06A7"/>
    <w:rsid w:val="00AF1234"/>
    <w:rsid w:val="00AF1C56"/>
    <w:rsid w:val="00AF2DB0"/>
    <w:rsid w:val="00AF649F"/>
    <w:rsid w:val="00B03107"/>
    <w:rsid w:val="00B04319"/>
    <w:rsid w:val="00B056AD"/>
    <w:rsid w:val="00B059B4"/>
    <w:rsid w:val="00B05F91"/>
    <w:rsid w:val="00B05FAB"/>
    <w:rsid w:val="00B06C42"/>
    <w:rsid w:val="00B070B9"/>
    <w:rsid w:val="00B0725D"/>
    <w:rsid w:val="00B0750D"/>
    <w:rsid w:val="00B135C3"/>
    <w:rsid w:val="00B14593"/>
    <w:rsid w:val="00B17A2F"/>
    <w:rsid w:val="00B20D1D"/>
    <w:rsid w:val="00B24F68"/>
    <w:rsid w:val="00B24F7F"/>
    <w:rsid w:val="00B25C30"/>
    <w:rsid w:val="00B2692B"/>
    <w:rsid w:val="00B26F17"/>
    <w:rsid w:val="00B33DC8"/>
    <w:rsid w:val="00B3664F"/>
    <w:rsid w:val="00B37A55"/>
    <w:rsid w:val="00B4293F"/>
    <w:rsid w:val="00B433E4"/>
    <w:rsid w:val="00B44A6F"/>
    <w:rsid w:val="00B45983"/>
    <w:rsid w:val="00B45A17"/>
    <w:rsid w:val="00B50DCB"/>
    <w:rsid w:val="00B5397A"/>
    <w:rsid w:val="00B55D29"/>
    <w:rsid w:val="00B56DF8"/>
    <w:rsid w:val="00B56F46"/>
    <w:rsid w:val="00B60C55"/>
    <w:rsid w:val="00B64F5A"/>
    <w:rsid w:val="00B70950"/>
    <w:rsid w:val="00B75929"/>
    <w:rsid w:val="00B806DA"/>
    <w:rsid w:val="00B8120F"/>
    <w:rsid w:val="00B850F4"/>
    <w:rsid w:val="00B905DA"/>
    <w:rsid w:val="00B91072"/>
    <w:rsid w:val="00B93710"/>
    <w:rsid w:val="00B957A7"/>
    <w:rsid w:val="00B964DF"/>
    <w:rsid w:val="00B97038"/>
    <w:rsid w:val="00BA0FFA"/>
    <w:rsid w:val="00BA10C2"/>
    <w:rsid w:val="00BA148C"/>
    <w:rsid w:val="00BA1D17"/>
    <w:rsid w:val="00BA24B8"/>
    <w:rsid w:val="00BA2BD6"/>
    <w:rsid w:val="00BA2C83"/>
    <w:rsid w:val="00BA620E"/>
    <w:rsid w:val="00BA7178"/>
    <w:rsid w:val="00BB26C3"/>
    <w:rsid w:val="00BB2A92"/>
    <w:rsid w:val="00BB52AF"/>
    <w:rsid w:val="00BC17BA"/>
    <w:rsid w:val="00BC659A"/>
    <w:rsid w:val="00BD117A"/>
    <w:rsid w:val="00BD2EA3"/>
    <w:rsid w:val="00BD49E6"/>
    <w:rsid w:val="00BD70D1"/>
    <w:rsid w:val="00BD73CD"/>
    <w:rsid w:val="00BD7601"/>
    <w:rsid w:val="00BE5478"/>
    <w:rsid w:val="00BE5599"/>
    <w:rsid w:val="00BE5F6F"/>
    <w:rsid w:val="00BF0054"/>
    <w:rsid w:val="00BF2206"/>
    <w:rsid w:val="00BF31D0"/>
    <w:rsid w:val="00BF3946"/>
    <w:rsid w:val="00BF4CEB"/>
    <w:rsid w:val="00BF6046"/>
    <w:rsid w:val="00BF7AB0"/>
    <w:rsid w:val="00BF7E55"/>
    <w:rsid w:val="00C006AB"/>
    <w:rsid w:val="00C00A43"/>
    <w:rsid w:val="00C01A8F"/>
    <w:rsid w:val="00C01D79"/>
    <w:rsid w:val="00C02F01"/>
    <w:rsid w:val="00C0571C"/>
    <w:rsid w:val="00C06745"/>
    <w:rsid w:val="00C12BCC"/>
    <w:rsid w:val="00C15446"/>
    <w:rsid w:val="00C175EC"/>
    <w:rsid w:val="00C208DB"/>
    <w:rsid w:val="00C21606"/>
    <w:rsid w:val="00C21BF8"/>
    <w:rsid w:val="00C24F74"/>
    <w:rsid w:val="00C26ADE"/>
    <w:rsid w:val="00C27342"/>
    <w:rsid w:val="00C27594"/>
    <w:rsid w:val="00C31058"/>
    <w:rsid w:val="00C31928"/>
    <w:rsid w:val="00C324C7"/>
    <w:rsid w:val="00C3349E"/>
    <w:rsid w:val="00C342B0"/>
    <w:rsid w:val="00C36D6A"/>
    <w:rsid w:val="00C37D16"/>
    <w:rsid w:val="00C42597"/>
    <w:rsid w:val="00C425D7"/>
    <w:rsid w:val="00C520AB"/>
    <w:rsid w:val="00C570A3"/>
    <w:rsid w:val="00C57F64"/>
    <w:rsid w:val="00C6273B"/>
    <w:rsid w:val="00C65113"/>
    <w:rsid w:val="00C66E5C"/>
    <w:rsid w:val="00C6709C"/>
    <w:rsid w:val="00C72BFB"/>
    <w:rsid w:val="00C809AF"/>
    <w:rsid w:val="00C80A67"/>
    <w:rsid w:val="00C84D0E"/>
    <w:rsid w:val="00C84F9C"/>
    <w:rsid w:val="00C91D9E"/>
    <w:rsid w:val="00C94D53"/>
    <w:rsid w:val="00C957A5"/>
    <w:rsid w:val="00C957F9"/>
    <w:rsid w:val="00C95BFD"/>
    <w:rsid w:val="00C9746B"/>
    <w:rsid w:val="00CA055F"/>
    <w:rsid w:val="00CA1029"/>
    <w:rsid w:val="00CA4AA0"/>
    <w:rsid w:val="00CA7AA5"/>
    <w:rsid w:val="00CB04EA"/>
    <w:rsid w:val="00CB2AD3"/>
    <w:rsid w:val="00CB32E3"/>
    <w:rsid w:val="00CB4114"/>
    <w:rsid w:val="00CB5B77"/>
    <w:rsid w:val="00CB67E9"/>
    <w:rsid w:val="00CB6DE4"/>
    <w:rsid w:val="00CB7281"/>
    <w:rsid w:val="00CC0C4D"/>
    <w:rsid w:val="00CC2928"/>
    <w:rsid w:val="00CC6BB0"/>
    <w:rsid w:val="00CD3591"/>
    <w:rsid w:val="00CD3DC8"/>
    <w:rsid w:val="00CD4511"/>
    <w:rsid w:val="00CD4A30"/>
    <w:rsid w:val="00CD4D6E"/>
    <w:rsid w:val="00CE10F6"/>
    <w:rsid w:val="00CE120F"/>
    <w:rsid w:val="00CE3751"/>
    <w:rsid w:val="00CE59B3"/>
    <w:rsid w:val="00CE5B53"/>
    <w:rsid w:val="00CE797E"/>
    <w:rsid w:val="00CF2067"/>
    <w:rsid w:val="00CF66B3"/>
    <w:rsid w:val="00D019DE"/>
    <w:rsid w:val="00D0364E"/>
    <w:rsid w:val="00D03EB6"/>
    <w:rsid w:val="00D078DB"/>
    <w:rsid w:val="00D116F4"/>
    <w:rsid w:val="00D13C77"/>
    <w:rsid w:val="00D13F9D"/>
    <w:rsid w:val="00D17AB1"/>
    <w:rsid w:val="00D17EF3"/>
    <w:rsid w:val="00D20053"/>
    <w:rsid w:val="00D204A6"/>
    <w:rsid w:val="00D211D6"/>
    <w:rsid w:val="00D22192"/>
    <w:rsid w:val="00D22222"/>
    <w:rsid w:val="00D223E8"/>
    <w:rsid w:val="00D27135"/>
    <w:rsid w:val="00D275A8"/>
    <w:rsid w:val="00D312E0"/>
    <w:rsid w:val="00D32375"/>
    <w:rsid w:val="00D32C2C"/>
    <w:rsid w:val="00D32FDD"/>
    <w:rsid w:val="00D330A3"/>
    <w:rsid w:val="00D33E6B"/>
    <w:rsid w:val="00D34009"/>
    <w:rsid w:val="00D34BA4"/>
    <w:rsid w:val="00D366CE"/>
    <w:rsid w:val="00D41392"/>
    <w:rsid w:val="00D426D5"/>
    <w:rsid w:val="00D46D6B"/>
    <w:rsid w:val="00D47AA4"/>
    <w:rsid w:val="00D50678"/>
    <w:rsid w:val="00D54E75"/>
    <w:rsid w:val="00D57D51"/>
    <w:rsid w:val="00D60515"/>
    <w:rsid w:val="00D6378D"/>
    <w:rsid w:val="00D63B3F"/>
    <w:rsid w:val="00D63E26"/>
    <w:rsid w:val="00D63E2F"/>
    <w:rsid w:val="00D6406E"/>
    <w:rsid w:val="00D679A8"/>
    <w:rsid w:val="00D71614"/>
    <w:rsid w:val="00D71A0E"/>
    <w:rsid w:val="00D72119"/>
    <w:rsid w:val="00D72155"/>
    <w:rsid w:val="00D7367F"/>
    <w:rsid w:val="00D75B87"/>
    <w:rsid w:val="00D8422E"/>
    <w:rsid w:val="00D85348"/>
    <w:rsid w:val="00D855EF"/>
    <w:rsid w:val="00D90CC5"/>
    <w:rsid w:val="00D92C38"/>
    <w:rsid w:val="00D95B9E"/>
    <w:rsid w:val="00D971D3"/>
    <w:rsid w:val="00D9734F"/>
    <w:rsid w:val="00DA1D9C"/>
    <w:rsid w:val="00DA3753"/>
    <w:rsid w:val="00DA3F17"/>
    <w:rsid w:val="00DA7334"/>
    <w:rsid w:val="00DB51FF"/>
    <w:rsid w:val="00DB7661"/>
    <w:rsid w:val="00DB776A"/>
    <w:rsid w:val="00DC0C03"/>
    <w:rsid w:val="00DC3144"/>
    <w:rsid w:val="00DC50FB"/>
    <w:rsid w:val="00DD185B"/>
    <w:rsid w:val="00DD21F5"/>
    <w:rsid w:val="00DD2F5C"/>
    <w:rsid w:val="00DD33ED"/>
    <w:rsid w:val="00DD3C8A"/>
    <w:rsid w:val="00DD59D9"/>
    <w:rsid w:val="00DE27E0"/>
    <w:rsid w:val="00DE320E"/>
    <w:rsid w:val="00DE7F65"/>
    <w:rsid w:val="00DF04F2"/>
    <w:rsid w:val="00DF1DD6"/>
    <w:rsid w:val="00DF4675"/>
    <w:rsid w:val="00E03A14"/>
    <w:rsid w:val="00E041A9"/>
    <w:rsid w:val="00E046FB"/>
    <w:rsid w:val="00E06AC2"/>
    <w:rsid w:val="00E07E36"/>
    <w:rsid w:val="00E10908"/>
    <w:rsid w:val="00E113D6"/>
    <w:rsid w:val="00E12901"/>
    <w:rsid w:val="00E222EA"/>
    <w:rsid w:val="00E234E7"/>
    <w:rsid w:val="00E25847"/>
    <w:rsid w:val="00E2688A"/>
    <w:rsid w:val="00E27655"/>
    <w:rsid w:val="00E3236F"/>
    <w:rsid w:val="00E32A6E"/>
    <w:rsid w:val="00E3671A"/>
    <w:rsid w:val="00E4030D"/>
    <w:rsid w:val="00E414E8"/>
    <w:rsid w:val="00E4277C"/>
    <w:rsid w:val="00E45D81"/>
    <w:rsid w:val="00E461BA"/>
    <w:rsid w:val="00E47615"/>
    <w:rsid w:val="00E50C5C"/>
    <w:rsid w:val="00E519BC"/>
    <w:rsid w:val="00E52AA2"/>
    <w:rsid w:val="00E546E8"/>
    <w:rsid w:val="00E5584B"/>
    <w:rsid w:val="00E5639C"/>
    <w:rsid w:val="00E57C0F"/>
    <w:rsid w:val="00E57F76"/>
    <w:rsid w:val="00E62FC1"/>
    <w:rsid w:val="00E65E6D"/>
    <w:rsid w:val="00E66332"/>
    <w:rsid w:val="00E66F6C"/>
    <w:rsid w:val="00E67DED"/>
    <w:rsid w:val="00E67EFB"/>
    <w:rsid w:val="00E80474"/>
    <w:rsid w:val="00E83660"/>
    <w:rsid w:val="00E913BC"/>
    <w:rsid w:val="00E91E3E"/>
    <w:rsid w:val="00E929EF"/>
    <w:rsid w:val="00E93A36"/>
    <w:rsid w:val="00E93CF0"/>
    <w:rsid w:val="00E95D6B"/>
    <w:rsid w:val="00E95DB2"/>
    <w:rsid w:val="00E964E2"/>
    <w:rsid w:val="00E9675F"/>
    <w:rsid w:val="00EA19CB"/>
    <w:rsid w:val="00EA3C40"/>
    <w:rsid w:val="00EA551A"/>
    <w:rsid w:val="00EB2262"/>
    <w:rsid w:val="00EB240D"/>
    <w:rsid w:val="00EB33B0"/>
    <w:rsid w:val="00EB6062"/>
    <w:rsid w:val="00EB6429"/>
    <w:rsid w:val="00EC11C2"/>
    <w:rsid w:val="00EC245A"/>
    <w:rsid w:val="00EC554C"/>
    <w:rsid w:val="00EC5A4B"/>
    <w:rsid w:val="00ED2D74"/>
    <w:rsid w:val="00ED404A"/>
    <w:rsid w:val="00ED4888"/>
    <w:rsid w:val="00ED6457"/>
    <w:rsid w:val="00ED7ED1"/>
    <w:rsid w:val="00EE46CE"/>
    <w:rsid w:val="00EE4E2E"/>
    <w:rsid w:val="00EE53DC"/>
    <w:rsid w:val="00EE62DE"/>
    <w:rsid w:val="00EF147E"/>
    <w:rsid w:val="00EF2D88"/>
    <w:rsid w:val="00EF61D4"/>
    <w:rsid w:val="00EF6E7F"/>
    <w:rsid w:val="00F003FE"/>
    <w:rsid w:val="00F0086C"/>
    <w:rsid w:val="00F02475"/>
    <w:rsid w:val="00F025BD"/>
    <w:rsid w:val="00F07B1E"/>
    <w:rsid w:val="00F120A2"/>
    <w:rsid w:val="00F13132"/>
    <w:rsid w:val="00F132BC"/>
    <w:rsid w:val="00F155E9"/>
    <w:rsid w:val="00F20A4B"/>
    <w:rsid w:val="00F2155D"/>
    <w:rsid w:val="00F2274B"/>
    <w:rsid w:val="00F238B1"/>
    <w:rsid w:val="00F24486"/>
    <w:rsid w:val="00F259BA"/>
    <w:rsid w:val="00F2799D"/>
    <w:rsid w:val="00F31D7C"/>
    <w:rsid w:val="00F421FD"/>
    <w:rsid w:val="00F42D02"/>
    <w:rsid w:val="00F45641"/>
    <w:rsid w:val="00F465F6"/>
    <w:rsid w:val="00F51A29"/>
    <w:rsid w:val="00F52136"/>
    <w:rsid w:val="00F52BB0"/>
    <w:rsid w:val="00F56D48"/>
    <w:rsid w:val="00F607AF"/>
    <w:rsid w:val="00F647CA"/>
    <w:rsid w:val="00F66D20"/>
    <w:rsid w:val="00F6716E"/>
    <w:rsid w:val="00F75563"/>
    <w:rsid w:val="00F77788"/>
    <w:rsid w:val="00F80CC6"/>
    <w:rsid w:val="00F8160A"/>
    <w:rsid w:val="00F84E05"/>
    <w:rsid w:val="00F918D1"/>
    <w:rsid w:val="00FA57F5"/>
    <w:rsid w:val="00FA5932"/>
    <w:rsid w:val="00FA750E"/>
    <w:rsid w:val="00FB05B9"/>
    <w:rsid w:val="00FB2EC1"/>
    <w:rsid w:val="00FB4327"/>
    <w:rsid w:val="00FC2907"/>
    <w:rsid w:val="00FC3F72"/>
    <w:rsid w:val="00FC7514"/>
    <w:rsid w:val="00FD4007"/>
    <w:rsid w:val="00FD49F4"/>
    <w:rsid w:val="00FD7753"/>
    <w:rsid w:val="00FD7FEC"/>
    <w:rsid w:val="00FE0561"/>
    <w:rsid w:val="00FE1066"/>
    <w:rsid w:val="00FE432C"/>
    <w:rsid w:val="00FE7085"/>
    <w:rsid w:val="00FF0BEC"/>
    <w:rsid w:val="00FF186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750A3"/>
  <w15:chartTrackingRefBased/>
  <w15:docId w15:val="{F9156CEB-3AE7-4B08-9B66-F118D7F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A2C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760"/>
        <w:tab w:val="right" w:pos="6663"/>
      </w:tabs>
      <w:outlineLvl w:val="0"/>
    </w:pPr>
    <w:rPr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"/>
      <w:outlineLvl w:val="3"/>
    </w:pPr>
    <w:rPr>
      <w:b/>
      <w:color w:val="000000"/>
      <w:sz w:val="22"/>
      <w:lang w:val="el-GR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b/>
      <w:color w:val="000000"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5113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265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  <w:jc w:val="both"/>
    </w:pPr>
    <w:rPr>
      <w:sz w:val="27"/>
      <w:lang w:val="el-GR"/>
    </w:rPr>
  </w:style>
  <w:style w:type="paragraph" w:styleId="BodyText">
    <w:name w:val="Body Text"/>
    <w:basedOn w:val="Normal"/>
    <w:pPr>
      <w:jc w:val="both"/>
    </w:pPr>
    <w:rPr>
      <w:sz w:val="28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ind w:right="-108"/>
      <w:jc w:val="center"/>
    </w:pPr>
    <w:rPr>
      <w:sz w:val="28"/>
      <w:lang w:val="el-GR"/>
    </w:rPr>
  </w:style>
  <w:style w:type="numbering" w:customStyle="1" w:styleId="NoList1">
    <w:name w:val="No List1"/>
    <w:next w:val="NoList"/>
    <w:uiPriority w:val="99"/>
    <w:semiHidden/>
    <w:unhideWhenUsed/>
    <w:rsid w:val="00351BBA"/>
  </w:style>
  <w:style w:type="character" w:styleId="Hyperlink">
    <w:name w:val="Hyperlink"/>
    <w:uiPriority w:val="99"/>
    <w:unhideWhenUsed/>
    <w:rsid w:val="00351BB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51BBA"/>
    <w:rPr>
      <w:color w:val="800080"/>
      <w:u w:val="single"/>
    </w:rPr>
  </w:style>
  <w:style w:type="paragraph" w:customStyle="1" w:styleId="font5">
    <w:name w:val="font5"/>
    <w:basedOn w:val="Normal"/>
    <w:rsid w:val="00351BB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l-GR" w:eastAsia="el-GR"/>
    </w:rPr>
  </w:style>
  <w:style w:type="paragraph" w:customStyle="1" w:styleId="font6">
    <w:name w:val="font6"/>
    <w:basedOn w:val="Normal"/>
    <w:rsid w:val="00351B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l-GR" w:eastAsia="el-GR"/>
    </w:rPr>
  </w:style>
  <w:style w:type="paragraph" w:customStyle="1" w:styleId="xl66">
    <w:name w:val="xl66"/>
    <w:basedOn w:val="Normal"/>
    <w:rsid w:val="00351BBA"/>
    <w:pP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67">
    <w:name w:val="xl67"/>
    <w:basedOn w:val="Normal"/>
    <w:rsid w:val="00351BBA"/>
    <w:pP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68">
    <w:name w:val="xl68"/>
    <w:basedOn w:val="Normal"/>
    <w:rsid w:val="00351BBA"/>
    <w:pP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69">
    <w:name w:val="xl69"/>
    <w:basedOn w:val="Normal"/>
    <w:rsid w:val="00351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70">
    <w:name w:val="xl70"/>
    <w:basedOn w:val="Normal"/>
    <w:rsid w:val="00351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71">
    <w:name w:val="xl71"/>
    <w:basedOn w:val="Normal"/>
    <w:rsid w:val="00351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72">
    <w:name w:val="xl72"/>
    <w:basedOn w:val="Normal"/>
    <w:rsid w:val="00351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73">
    <w:name w:val="xl73"/>
    <w:basedOn w:val="Normal"/>
    <w:rsid w:val="00351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74">
    <w:name w:val="xl74"/>
    <w:basedOn w:val="Normal"/>
    <w:rsid w:val="00351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75">
    <w:name w:val="xl75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l-GR" w:eastAsia="el-GR"/>
    </w:rPr>
  </w:style>
  <w:style w:type="paragraph" w:customStyle="1" w:styleId="xl76">
    <w:name w:val="xl76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  <w:lang w:val="el-GR" w:eastAsia="el-GR"/>
    </w:rPr>
  </w:style>
  <w:style w:type="paragraph" w:customStyle="1" w:styleId="xl77">
    <w:name w:val="xl77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78">
    <w:name w:val="xl78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el-GR" w:eastAsia="el-GR"/>
    </w:rPr>
  </w:style>
  <w:style w:type="paragraph" w:customStyle="1" w:styleId="xl79">
    <w:name w:val="xl79"/>
    <w:basedOn w:val="Normal"/>
    <w:rsid w:val="00351BBA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80">
    <w:name w:val="xl80"/>
    <w:basedOn w:val="Normal"/>
    <w:rsid w:val="00351BBA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81">
    <w:name w:val="xl81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82">
    <w:name w:val="xl82"/>
    <w:basedOn w:val="Normal"/>
    <w:rsid w:val="00351BBA"/>
    <w:pPr>
      <w:spacing w:before="100" w:beforeAutospacing="1" w:after="100" w:afterAutospacing="1"/>
    </w:pPr>
    <w:rPr>
      <w:rFonts w:ascii="Arial" w:hAnsi="Arial" w:cs="Arial"/>
      <w:sz w:val="24"/>
      <w:szCs w:val="24"/>
      <w:lang w:val="el-GR" w:eastAsia="el-GR"/>
    </w:rPr>
  </w:style>
  <w:style w:type="paragraph" w:customStyle="1" w:styleId="xl83">
    <w:name w:val="xl83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84">
    <w:name w:val="xl84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85">
    <w:name w:val="xl85"/>
    <w:basedOn w:val="Normal"/>
    <w:rsid w:val="00351BBA"/>
    <w:pP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86">
    <w:name w:val="xl86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87">
    <w:name w:val="xl87"/>
    <w:basedOn w:val="Normal"/>
    <w:rsid w:val="00351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88">
    <w:name w:val="xl88"/>
    <w:basedOn w:val="Normal"/>
    <w:rsid w:val="00351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89">
    <w:name w:val="xl89"/>
    <w:basedOn w:val="Normal"/>
    <w:rsid w:val="00351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90">
    <w:name w:val="xl90"/>
    <w:basedOn w:val="Normal"/>
    <w:rsid w:val="00351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91">
    <w:name w:val="xl91"/>
    <w:basedOn w:val="Normal"/>
    <w:rsid w:val="00351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92">
    <w:name w:val="xl92"/>
    <w:basedOn w:val="Normal"/>
    <w:rsid w:val="00351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93">
    <w:name w:val="xl93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94">
    <w:name w:val="xl94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l-GR" w:eastAsia="el-GR"/>
    </w:rPr>
  </w:style>
  <w:style w:type="paragraph" w:customStyle="1" w:styleId="xl95">
    <w:name w:val="xl95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  <w:lang w:val="el-GR" w:eastAsia="el-GR"/>
    </w:rPr>
  </w:style>
  <w:style w:type="paragraph" w:customStyle="1" w:styleId="xl96">
    <w:name w:val="xl96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97">
    <w:name w:val="xl97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98">
    <w:name w:val="xl98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l-GR" w:eastAsia="el-GR"/>
    </w:rPr>
  </w:style>
  <w:style w:type="paragraph" w:customStyle="1" w:styleId="xl99">
    <w:name w:val="xl99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l-GR" w:eastAsia="el-GR"/>
    </w:rPr>
  </w:style>
  <w:style w:type="paragraph" w:customStyle="1" w:styleId="xl100">
    <w:name w:val="xl100"/>
    <w:basedOn w:val="Normal"/>
    <w:rsid w:val="00351BBA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01">
    <w:name w:val="xl101"/>
    <w:basedOn w:val="Normal"/>
    <w:rsid w:val="00351BBA"/>
    <w:pPr>
      <w:spacing w:before="100" w:beforeAutospacing="1" w:after="100" w:afterAutospacing="1"/>
    </w:pPr>
    <w:rPr>
      <w:sz w:val="10"/>
      <w:szCs w:val="10"/>
      <w:lang w:val="el-GR" w:eastAsia="el-GR"/>
    </w:rPr>
  </w:style>
  <w:style w:type="paragraph" w:customStyle="1" w:styleId="xl102">
    <w:name w:val="xl102"/>
    <w:basedOn w:val="Normal"/>
    <w:rsid w:val="00351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l-GR" w:eastAsia="el-GR"/>
    </w:rPr>
  </w:style>
  <w:style w:type="paragraph" w:customStyle="1" w:styleId="xl103">
    <w:name w:val="xl103"/>
    <w:basedOn w:val="Normal"/>
    <w:rsid w:val="00351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l-GR" w:eastAsia="el-GR"/>
    </w:rPr>
  </w:style>
  <w:style w:type="paragraph" w:customStyle="1" w:styleId="xl104">
    <w:name w:val="xl104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05">
    <w:name w:val="xl105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l-GR" w:eastAsia="el-GR"/>
    </w:rPr>
  </w:style>
  <w:style w:type="paragraph" w:customStyle="1" w:styleId="xl106">
    <w:name w:val="xl106"/>
    <w:basedOn w:val="Normal"/>
    <w:rsid w:val="00351BBA"/>
    <w:pPr>
      <w:spacing w:before="100" w:beforeAutospacing="1" w:after="100" w:afterAutospacing="1"/>
    </w:pPr>
    <w:rPr>
      <w:rFonts w:ascii="Arial" w:hAnsi="Arial" w:cs="Arial"/>
      <w:sz w:val="24"/>
      <w:szCs w:val="24"/>
      <w:lang w:val="el-GR" w:eastAsia="el-GR"/>
    </w:rPr>
  </w:style>
  <w:style w:type="paragraph" w:customStyle="1" w:styleId="xl107">
    <w:name w:val="xl107"/>
    <w:basedOn w:val="Normal"/>
    <w:rsid w:val="00351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108">
    <w:name w:val="xl108"/>
    <w:basedOn w:val="Normal"/>
    <w:rsid w:val="00351B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109">
    <w:name w:val="xl109"/>
    <w:basedOn w:val="Normal"/>
    <w:rsid w:val="00351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paragraph" w:customStyle="1" w:styleId="xl110">
    <w:name w:val="xl110"/>
    <w:basedOn w:val="Normal"/>
    <w:rsid w:val="00351B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11">
    <w:name w:val="xl111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l-GR" w:eastAsia="el-GR"/>
    </w:rPr>
  </w:style>
  <w:style w:type="paragraph" w:customStyle="1" w:styleId="xl112">
    <w:name w:val="xl112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13">
    <w:name w:val="xl113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l-GR" w:eastAsia="el-GR"/>
    </w:rPr>
  </w:style>
  <w:style w:type="paragraph" w:customStyle="1" w:styleId="xl114">
    <w:name w:val="xl114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115">
    <w:name w:val="xl115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l-GR" w:eastAsia="el-GR"/>
    </w:rPr>
  </w:style>
  <w:style w:type="paragraph" w:customStyle="1" w:styleId="xl116">
    <w:name w:val="xl116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17">
    <w:name w:val="xl117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18">
    <w:name w:val="xl118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val="el-GR" w:eastAsia="el-GR"/>
    </w:rPr>
  </w:style>
  <w:style w:type="paragraph" w:customStyle="1" w:styleId="xl119">
    <w:name w:val="xl119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l-GR" w:eastAsia="el-GR"/>
    </w:rPr>
  </w:style>
  <w:style w:type="paragraph" w:customStyle="1" w:styleId="xl120">
    <w:name w:val="xl120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l-GR" w:eastAsia="el-GR"/>
    </w:rPr>
  </w:style>
  <w:style w:type="paragraph" w:customStyle="1" w:styleId="xl121">
    <w:name w:val="xl121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122">
    <w:name w:val="xl122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l-GR" w:eastAsia="el-GR"/>
    </w:rPr>
  </w:style>
  <w:style w:type="paragraph" w:customStyle="1" w:styleId="xl123">
    <w:name w:val="xl123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124">
    <w:name w:val="xl124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l-GR" w:eastAsia="el-GR"/>
    </w:rPr>
  </w:style>
  <w:style w:type="paragraph" w:customStyle="1" w:styleId="xl125">
    <w:name w:val="xl125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26">
    <w:name w:val="xl126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127">
    <w:name w:val="xl127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28">
    <w:name w:val="xl128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el-GR" w:eastAsia="el-GR"/>
    </w:rPr>
  </w:style>
  <w:style w:type="paragraph" w:customStyle="1" w:styleId="xl129">
    <w:name w:val="xl129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customStyle="1" w:styleId="xl130">
    <w:name w:val="xl130"/>
    <w:basedOn w:val="Normal"/>
    <w:rsid w:val="0035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el-GR" w:eastAsia="el-GR"/>
    </w:rPr>
  </w:style>
  <w:style w:type="paragraph" w:customStyle="1" w:styleId="xl131">
    <w:name w:val="xl131"/>
    <w:basedOn w:val="Normal"/>
    <w:rsid w:val="003B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el-GR" w:eastAsia="el-GR"/>
    </w:rPr>
  </w:style>
  <w:style w:type="paragraph" w:customStyle="1" w:styleId="xl132">
    <w:name w:val="xl132"/>
    <w:basedOn w:val="Normal"/>
    <w:rsid w:val="003B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l-GR" w:eastAsia="el-GR"/>
    </w:rPr>
  </w:style>
  <w:style w:type="table" w:styleId="TableGrid">
    <w:name w:val="Table Grid"/>
    <w:basedOn w:val="TableNormal"/>
    <w:rsid w:val="003B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AD3"/>
    <w:pPr>
      <w:ind w:left="720"/>
    </w:pPr>
    <w:rPr>
      <w:rFonts w:ascii="Arial" w:hAnsi="Arial"/>
      <w:sz w:val="24"/>
      <w:lang w:val="el-GR"/>
    </w:rPr>
  </w:style>
  <w:style w:type="paragraph" w:customStyle="1" w:styleId="xl133">
    <w:name w:val="xl133"/>
    <w:basedOn w:val="Normal"/>
    <w:rsid w:val="000A5E1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134">
    <w:name w:val="xl134"/>
    <w:basedOn w:val="Normal"/>
    <w:rsid w:val="000A5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l-GR" w:eastAsia="el-GR"/>
    </w:rPr>
  </w:style>
  <w:style w:type="paragraph" w:customStyle="1" w:styleId="xl135">
    <w:name w:val="xl135"/>
    <w:basedOn w:val="Normal"/>
    <w:rsid w:val="000A5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l-GR" w:eastAsia="el-GR"/>
    </w:rPr>
  </w:style>
  <w:style w:type="paragraph" w:customStyle="1" w:styleId="xl136">
    <w:name w:val="xl136"/>
    <w:basedOn w:val="Normal"/>
    <w:rsid w:val="000A5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l-GR" w:eastAsia="el-GR"/>
    </w:rPr>
  </w:style>
  <w:style w:type="paragraph" w:customStyle="1" w:styleId="xl137">
    <w:name w:val="xl137"/>
    <w:basedOn w:val="Normal"/>
    <w:rsid w:val="000A5E18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FooterChar">
    <w:name w:val="Footer Char"/>
    <w:link w:val="Footer"/>
    <w:uiPriority w:val="99"/>
    <w:rsid w:val="00EE53DC"/>
    <w:rPr>
      <w:lang w:val="en-GB" w:eastAsia="en-US"/>
    </w:rPr>
  </w:style>
  <w:style w:type="character" w:styleId="CommentReference">
    <w:name w:val="annotation reference"/>
    <w:rsid w:val="00FF7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736"/>
  </w:style>
  <w:style w:type="character" w:customStyle="1" w:styleId="CommentTextChar">
    <w:name w:val="Comment Text Char"/>
    <w:link w:val="CommentText"/>
    <w:rsid w:val="00FF773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7736"/>
    <w:rPr>
      <w:b/>
      <w:bCs/>
    </w:rPr>
  </w:style>
  <w:style w:type="character" w:customStyle="1" w:styleId="CommentSubjectChar">
    <w:name w:val="Comment Subject Char"/>
    <w:link w:val="CommentSubject"/>
    <w:rsid w:val="00FF7736"/>
    <w:rPr>
      <w:b/>
      <w:bCs/>
      <w:lang w:val="en-GB"/>
    </w:rPr>
  </w:style>
  <w:style w:type="paragraph" w:styleId="EnvelopeAddress">
    <w:name w:val="envelope address"/>
    <w:basedOn w:val="Normal"/>
    <w:rsid w:val="0053093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2">
    <w:name w:val="Body Text Indent 2"/>
    <w:basedOn w:val="Normal"/>
    <w:link w:val="BodyTextIndent2Char"/>
    <w:rsid w:val="00530931"/>
    <w:pPr>
      <w:ind w:left="2790" w:hanging="2790"/>
      <w:jc w:val="both"/>
    </w:pPr>
    <w:rPr>
      <w:bCs/>
      <w:sz w:val="32"/>
      <w:lang w:val="el-GR"/>
    </w:rPr>
  </w:style>
  <w:style w:type="character" w:customStyle="1" w:styleId="BodyTextIndent2Char">
    <w:name w:val="Body Text Indent 2 Char"/>
    <w:link w:val="BodyTextIndent2"/>
    <w:rsid w:val="00530931"/>
    <w:rPr>
      <w:bCs/>
      <w:sz w:val="32"/>
      <w:lang w:eastAsia="en-US"/>
    </w:rPr>
  </w:style>
  <w:style w:type="paragraph" w:customStyle="1" w:styleId="CharCharCharCharCharChar">
    <w:name w:val="Char Char Char Char Char Char"/>
    <w:basedOn w:val="Normal"/>
    <w:next w:val="Normal"/>
    <w:rsid w:val="00530931"/>
    <w:pPr>
      <w:spacing w:after="160" w:line="240" w:lineRule="exact"/>
    </w:pPr>
    <w:rPr>
      <w:rFonts w:ascii="Tahoma" w:hAnsi="Tahoma"/>
      <w:sz w:val="24"/>
      <w:lang w:val="en-US"/>
    </w:rPr>
  </w:style>
  <w:style w:type="character" w:styleId="Emphasis">
    <w:name w:val="Emphasis"/>
    <w:qFormat/>
    <w:rsid w:val="00530931"/>
    <w:rPr>
      <w:i/>
      <w:iCs/>
    </w:rPr>
  </w:style>
  <w:style w:type="character" w:styleId="LineNumber">
    <w:name w:val="line number"/>
    <w:rsid w:val="00A148BE"/>
  </w:style>
  <w:style w:type="paragraph" w:styleId="NormalWeb">
    <w:name w:val="Normal (Web)"/>
    <w:basedOn w:val="Normal"/>
    <w:uiPriority w:val="99"/>
    <w:unhideWhenUsed/>
    <w:rsid w:val="00D7367F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C32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746F95-4ABA-4FC7-801B-6A29ADE2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14(I)/93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14(I)/93</dc:title>
  <dc:subject/>
  <dc:creator>andreas</dc:creator>
  <cp:keywords/>
  <cp:lastModifiedBy>MANTOVANI</cp:lastModifiedBy>
  <cp:revision>26</cp:revision>
  <cp:lastPrinted>2022-11-29T11:34:00Z</cp:lastPrinted>
  <dcterms:created xsi:type="dcterms:W3CDTF">2022-11-14T07:31:00Z</dcterms:created>
  <dcterms:modified xsi:type="dcterms:W3CDTF">2022-11-29T11:34:00Z</dcterms:modified>
</cp:coreProperties>
</file>