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B7EA" w14:textId="77777777" w:rsidR="0071774A" w:rsidRPr="002079F1" w:rsidRDefault="00845548" w:rsidP="0044594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2079F1">
        <w:rPr>
          <w:rFonts w:ascii="Arial" w:hAnsi="Arial" w:cs="Arial"/>
          <w:bCs/>
          <w:sz w:val="24"/>
          <w:szCs w:val="24"/>
          <w:lang w:val="el-GR"/>
        </w:rPr>
        <w:t xml:space="preserve">ΝΟΜΟΣ ΠΟΥ ΤΡΟΠΟΠΟΙΕΙ ΤΟΥ ΠΕΡΙ </w:t>
      </w:r>
      <w:r w:rsidR="0071774A" w:rsidRPr="002079F1">
        <w:rPr>
          <w:rFonts w:ascii="Arial" w:hAnsi="Arial" w:cs="Arial"/>
          <w:bCs/>
          <w:sz w:val="24"/>
          <w:szCs w:val="24"/>
          <w:lang w:val="el-GR"/>
        </w:rPr>
        <w:t>ΚΟΙΝΩΝΙΚΩΝ ΑΣΦΑΛΙΣΕΩΝ</w:t>
      </w:r>
      <w:r w:rsidRPr="002079F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71774A" w:rsidRPr="002079F1">
        <w:rPr>
          <w:rFonts w:ascii="Arial" w:hAnsi="Arial" w:cs="Arial"/>
          <w:bCs/>
          <w:sz w:val="24"/>
          <w:szCs w:val="24"/>
          <w:lang w:val="el-GR"/>
        </w:rPr>
        <w:t>ΝΟΜΟ</w:t>
      </w:r>
      <w:r w:rsidRPr="002079F1">
        <w:rPr>
          <w:rFonts w:ascii="Arial" w:hAnsi="Arial" w:cs="Arial"/>
          <w:bCs/>
          <w:sz w:val="24"/>
          <w:szCs w:val="24"/>
          <w:lang w:val="el-GR"/>
        </w:rPr>
        <w:t>Υ</w:t>
      </w:r>
      <w:r w:rsidR="0071774A" w:rsidRPr="002079F1">
        <w:rPr>
          <w:rFonts w:ascii="Arial" w:hAnsi="Arial" w:cs="Arial"/>
          <w:bCs/>
          <w:sz w:val="24"/>
          <w:szCs w:val="24"/>
          <w:lang w:val="el-GR"/>
        </w:rPr>
        <w:t xml:space="preserve">Σ ΤΟΥ </w:t>
      </w:r>
      <w:r w:rsidRPr="002079F1">
        <w:rPr>
          <w:rFonts w:ascii="Arial" w:hAnsi="Arial" w:cs="Arial"/>
          <w:bCs/>
          <w:sz w:val="24"/>
          <w:szCs w:val="24"/>
          <w:lang w:val="el-GR"/>
        </w:rPr>
        <w:t xml:space="preserve">2010 ΕΩΣ (ΑΡ.4) ΤΟΥ </w:t>
      </w:r>
      <w:r w:rsidR="0071774A" w:rsidRPr="002079F1">
        <w:rPr>
          <w:rFonts w:ascii="Arial" w:hAnsi="Arial" w:cs="Arial"/>
          <w:bCs/>
          <w:sz w:val="24"/>
          <w:szCs w:val="24"/>
          <w:lang w:val="el-GR"/>
        </w:rPr>
        <w:t>2022</w:t>
      </w:r>
    </w:p>
    <w:p w14:paraId="07647B48" w14:textId="77777777" w:rsidR="0071774A" w:rsidRPr="009D7631" w:rsidRDefault="0071774A" w:rsidP="00445940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8737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032"/>
        <w:gridCol w:w="1559"/>
        <w:gridCol w:w="5146"/>
      </w:tblGrid>
      <w:tr w:rsidR="00845548" w:rsidRPr="00445940" w14:paraId="2617C4B9" w14:textId="77777777" w:rsidTr="00445940">
        <w:trPr>
          <w:trHeight w:val="390"/>
        </w:trPr>
        <w:tc>
          <w:tcPr>
            <w:tcW w:w="2032" w:type="dxa"/>
          </w:tcPr>
          <w:p w14:paraId="34DA2298" w14:textId="77777777" w:rsidR="00845548" w:rsidRPr="00445940" w:rsidRDefault="00845548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705" w:type="dxa"/>
            <w:gridSpan w:val="2"/>
          </w:tcPr>
          <w:p w14:paraId="2F6DE5DB" w14:textId="303BDA3F" w:rsidR="00845548" w:rsidRPr="00EB2349" w:rsidRDefault="00445940" w:rsidP="00445940">
            <w:pPr>
              <w:tabs>
                <w:tab w:val="left" w:pos="397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845548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845548" w:rsidRPr="00445940" w14:paraId="16B33999" w14:textId="77777777" w:rsidTr="00445940">
        <w:trPr>
          <w:trHeight w:val="390"/>
        </w:trPr>
        <w:tc>
          <w:tcPr>
            <w:tcW w:w="2032" w:type="dxa"/>
          </w:tcPr>
          <w:p w14:paraId="78E2AF97" w14:textId="77777777" w:rsidR="00845548" w:rsidRPr="00445940" w:rsidRDefault="00845548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705" w:type="dxa"/>
            <w:gridSpan w:val="2"/>
          </w:tcPr>
          <w:p w14:paraId="2B773183" w14:textId="77777777" w:rsidR="00845548" w:rsidRPr="00EB2349" w:rsidRDefault="00845548" w:rsidP="0044594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1774A" w:rsidRPr="00445940" w14:paraId="32995E73" w14:textId="77777777" w:rsidTr="00445940">
        <w:trPr>
          <w:trHeight w:val="2390"/>
        </w:trPr>
        <w:tc>
          <w:tcPr>
            <w:tcW w:w="2032" w:type="dxa"/>
          </w:tcPr>
          <w:p w14:paraId="74B54F3D" w14:textId="77777777" w:rsidR="00845548" w:rsidRPr="00445940" w:rsidRDefault="0071774A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6AADBAE3" w14:textId="77777777" w:rsidR="0071774A" w:rsidRPr="00445940" w:rsidRDefault="0071774A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25E78DAD" w14:textId="77777777" w:rsidR="0071774A" w:rsidRPr="00445940" w:rsidRDefault="0071774A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32FF50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 w:eastAsia="el-GR"/>
              </w:rPr>
              <w:t>59(</w:t>
            </w:r>
            <w:r w:rsidRPr="004459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 w:eastAsia="el-GR"/>
              </w:rPr>
              <w:t>) του 2010</w:t>
            </w:r>
          </w:p>
          <w:p w14:paraId="22797542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114(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 xml:space="preserve">) του </w:t>
            </w:r>
            <w:r w:rsidRPr="004459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 w:eastAsia="el-GR"/>
              </w:rPr>
              <w:t>2010</w:t>
            </w:r>
          </w:p>
          <w:p w14:paraId="28942C9C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126(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2010</w:t>
            </w:r>
          </w:p>
          <w:p w14:paraId="57802906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2(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2012</w:t>
            </w:r>
          </w:p>
          <w:p w14:paraId="6AB2A88A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37(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2012</w:t>
            </w:r>
          </w:p>
          <w:p w14:paraId="62F89C68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170(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2012</w:t>
            </w:r>
          </w:p>
          <w:p w14:paraId="76953FA8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193(Ι) του 2012</w:t>
            </w:r>
          </w:p>
          <w:p w14:paraId="56B8163A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106(Ι) του 2014</w:t>
            </w:r>
          </w:p>
          <w:p w14:paraId="6F399532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194(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2014</w:t>
            </w:r>
          </w:p>
          <w:p w14:paraId="0F1D8F1C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176(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2015</w:t>
            </w:r>
          </w:p>
          <w:p w14:paraId="7C07E708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 2017</w:t>
            </w:r>
          </w:p>
          <w:p w14:paraId="56371125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52(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) του 2017</w:t>
            </w:r>
          </w:p>
          <w:p w14:paraId="1999A05F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445940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l-GR"/>
              </w:rPr>
              <w:t>115(Ι) του 2017</w:t>
            </w:r>
          </w:p>
          <w:p w14:paraId="35AA0D84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132(Ι) του 2018</w:t>
            </w:r>
          </w:p>
          <w:p w14:paraId="57D552D9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126(Ι) του 2019</w:t>
            </w:r>
          </w:p>
          <w:p w14:paraId="2DD83D21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194(Ι) του 2020</w:t>
            </w:r>
          </w:p>
          <w:p w14:paraId="5BADDCD9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88(Ι) του 2021</w:t>
            </w:r>
          </w:p>
          <w:p w14:paraId="37FE6413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101(Ι) του 2021</w:t>
            </w:r>
          </w:p>
          <w:p w14:paraId="3551EE51" w14:textId="77777777" w:rsidR="0071774A" w:rsidRPr="00445940" w:rsidRDefault="0071774A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168(Ι) του 2021</w:t>
            </w:r>
          </w:p>
          <w:p w14:paraId="233062DC" w14:textId="77777777" w:rsidR="00845548" w:rsidRPr="00445940" w:rsidRDefault="00845548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44(Ι) του 2022</w:t>
            </w:r>
          </w:p>
          <w:p w14:paraId="124D45B3" w14:textId="77777777" w:rsidR="00845548" w:rsidRPr="00445940" w:rsidRDefault="00A34D4D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81(Ι) του 2022</w:t>
            </w:r>
          </w:p>
          <w:p w14:paraId="3977AB36" w14:textId="77777777" w:rsidR="00845548" w:rsidRPr="00445940" w:rsidRDefault="00845548" w:rsidP="00445940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150(Ι) του 2022</w:t>
            </w:r>
          </w:p>
          <w:p w14:paraId="3EEFFF86" w14:textId="77777777" w:rsidR="0071774A" w:rsidRPr="00445940" w:rsidRDefault="00845548" w:rsidP="002079F1">
            <w:pPr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…….  του 2022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705" w:type="dxa"/>
            <w:gridSpan w:val="2"/>
          </w:tcPr>
          <w:p w14:paraId="182A8768" w14:textId="66D8EB5C" w:rsidR="0071774A" w:rsidRPr="00445940" w:rsidRDefault="0071774A" w:rsidP="00445940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</w:t>
            </w:r>
            <w:r w:rsidR="00D73251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περί Κοινωνικών Ασφαλίσεων (Τροποποιητικός) 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>(Αρ.</w:t>
            </w:r>
            <w:r w:rsidR="00845548" w:rsidRPr="00445940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D73251" w:rsidRPr="00445940">
              <w:rPr>
                <w:rFonts w:ascii="Arial" w:hAnsi="Arial" w:cs="Arial"/>
                <w:sz w:val="24"/>
                <w:szCs w:val="24"/>
                <w:lang w:val="el-GR"/>
              </w:rPr>
              <w:t>Νόμος του 2022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τους περί Κοινωνικών Ασφαλίσεων Νόμους του 2010 έως</w:t>
            </w:r>
            <w:r w:rsidR="00845548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(Αρ.4)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>του 2022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 (που στο εξής θα αναφέρονται ως «ο βασικός νόμος») και ο βασικός νόμος και ο παρών </w:t>
            </w:r>
            <w:r w:rsidRPr="00445940">
              <w:rPr>
                <w:rFonts w:ascii="Arial" w:hAnsi="Arial" w:cs="Arial"/>
                <w:sz w:val="24"/>
                <w:szCs w:val="24"/>
              </w:rPr>
              <w:t>N</w:t>
            </w:r>
            <w:proofErr w:type="spellStart"/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όμος</w:t>
            </w:r>
            <w:proofErr w:type="spellEnd"/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θα αναφέρονται μαζί ως οι περί Κοινωνικών Ασφαλίσεων Νόμοι του 2010 έως του 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>(Αρ.</w:t>
            </w:r>
            <w:r w:rsidR="00845548" w:rsidRPr="00445940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A34D4D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2022.</w:t>
            </w:r>
          </w:p>
        </w:tc>
      </w:tr>
      <w:tr w:rsidR="0071774A" w:rsidRPr="00445940" w14:paraId="67F00C77" w14:textId="77777777" w:rsidTr="00445940">
        <w:trPr>
          <w:trHeight w:val="325"/>
        </w:trPr>
        <w:tc>
          <w:tcPr>
            <w:tcW w:w="2032" w:type="dxa"/>
          </w:tcPr>
          <w:p w14:paraId="40C9280F" w14:textId="77777777" w:rsidR="0071774A" w:rsidRPr="00445940" w:rsidRDefault="0071774A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705" w:type="dxa"/>
            <w:gridSpan w:val="2"/>
          </w:tcPr>
          <w:p w14:paraId="0012AFD4" w14:textId="6EF9942C" w:rsidR="002079F1" w:rsidRPr="002079F1" w:rsidRDefault="002079F1" w:rsidP="002079F1">
            <w:pPr>
              <w:tabs>
                <w:tab w:val="left" w:pos="204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1774A" w:rsidRPr="00445940" w14:paraId="321D8B7E" w14:textId="77777777" w:rsidTr="00445940">
        <w:trPr>
          <w:trHeight w:val="80"/>
        </w:trPr>
        <w:tc>
          <w:tcPr>
            <w:tcW w:w="2032" w:type="dxa"/>
          </w:tcPr>
          <w:p w14:paraId="7F1B10C3" w14:textId="77777777" w:rsidR="0071774A" w:rsidRPr="00445940" w:rsidRDefault="00845548" w:rsidP="004459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Τροποποίηση του βασικού νόμου με την π</w:t>
            </w:r>
            <w:r w:rsidR="005943B5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ροσθήκη 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5943B5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νέου άρθρου 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77</w:t>
            </w:r>
            <w:r w:rsidRPr="002079F1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6705" w:type="dxa"/>
            <w:gridSpan w:val="2"/>
          </w:tcPr>
          <w:p w14:paraId="4C5F0705" w14:textId="74964522" w:rsidR="0071774A" w:rsidRPr="002079F1" w:rsidRDefault="005943B5" w:rsidP="002079F1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079F1">
              <w:rPr>
                <w:rFonts w:ascii="Arial" w:hAnsi="Arial" w:cs="Arial"/>
                <w:sz w:val="24"/>
                <w:szCs w:val="24"/>
                <w:lang w:val="el-GR"/>
              </w:rPr>
              <w:t>Ο βασικός νόμος, τροποποιείται με τη π</w:t>
            </w:r>
            <w:r w:rsidR="00917675" w:rsidRPr="002079F1">
              <w:rPr>
                <w:rFonts w:ascii="Arial" w:hAnsi="Arial" w:cs="Arial"/>
                <w:sz w:val="24"/>
                <w:szCs w:val="24"/>
                <w:lang w:val="el-GR"/>
              </w:rPr>
              <w:t>ροσθήκη, αμέσως μετά το άρθρο 77</w:t>
            </w:r>
            <w:r w:rsidR="00845548" w:rsidRPr="002079F1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8E4422" w:rsidRPr="002079F1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ακόλουθου νέου άρθρου</w:t>
            </w:r>
            <w:r w:rsidR="0071774A" w:rsidRPr="002079F1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749D2028" w14:textId="77777777" w:rsidR="0071774A" w:rsidRDefault="0071774A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E79A76" w14:textId="77777777" w:rsidR="0071774A" w:rsidRPr="00EB2349" w:rsidRDefault="0071774A" w:rsidP="00445940">
            <w:pPr>
              <w:pStyle w:val="cybar-text-indent"/>
              <w:spacing w:before="0" w:beforeAutospacing="0" w:after="0" w:afterAutospacing="0" w:line="360" w:lineRule="auto"/>
              <w:ind w:firstLine="450"/>
              <w:jc w:val="both"/>
              <w:rPr>
                <w:rFonts w:ascii="Arial" w:hAnsi="Arial" w:cs="Arial"/>
              </w:rPr>
            </w:pPr>
          </w:p>
        </w:tc>
      </w:tr>
      <w:tr w:rsidR="005943B5" w:rsidRPr="00445940" w14:paraId="5A93368E" w14:textId="77777777" w:rsidTr="00445940">
        <w:trPr>
          <w:trHeight w:val="80"/>
        </w:trPr>
        <w:tc>
          <w:tcPr>
            <w:tcW w:w="2032" w:type="dxa"/>
          </w:tcPr>
          <w:p w14:paraId="327D2675" w14:textId="77777777" w:rsidR="005943B5" w:rsidRPr="00445940" w:rsidRDefault="005943B5" w:rsidP="004459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705" w:type="dxa"/>
            <w:gridSpan w:val="2"/>
          </w:tcPr>
          <w:p w14:paraId="06392D80" w14:textId="77777777" w:rsidR="005943B5" w:rsidRDefault="005943B5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943B5" w:rsidRPr="00445940" w14:paraId="2238A18C" w14:textId="77777777" w:rsidTr="002079F1">
        <w:trPr>
          <w:trHeight w:val="80"/>
        </w:trPr>
        <w:tc>
          <w:tcPr>
            <w:tcW w:w="2032" w:type="dxa"/>
          </w:tcPr>
          <w:p w14:paraId="5CA0C21F" w14:textId="77777777" w:rsidR="005943B5" w:rsidRPr="00445940" w:rsidRDefault="005943B5" w:rsidP="00445940">
            <w:pPr>
              <w:spacing w:after="0" w:line="36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14:paraId="1E44059E" w14:textId="77777777" w:rsidR="005943B5" w:rsidRPr="002079F1" w:rsidRDefault="005943B5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079F1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845548" w:rsidRPr="002079F1">
              <w:rPr>
                <w:rFonts w:ascii="Arial" w:hAnsi="Arial" w:cs="Arial"/>
                <w:sz w:val="24"/>
                <w:szCs w:val="24"/>
                <w:lang w:val="el-GR"/>
              </w:rPr>
              <w:t>Παράταση προθεσμίας καταβολής εισφορών.</w:t>
            </w:r>
          </w:p>
        </w:tc>
        <w:tc>
          <w:tcPr>
            <w:tcW w:w="5146" w:type="dxa"/>
          </w:tcPr>
          <w:p w14:paraId="3753BAF9" w14:textId="22DF3BDF" w:rsidR="00917675" w:rsidRPr="00917675" w:rsidRDefault="00917675" w:rsidP="002079F1">
            <w:pPr>
              <w:pStyle w:val="NormalWeb"/>
              <w:tabs>
                <w:tab w:val="left" w:pos="510"/>
                <w:tab w:val="left" w:pos="964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77Α.(1)</w:t>
            </w:r>
            <w:r w:rsidR="002079F1">
              <w:rPr>
                <w:rFonts w:ascii="Arial" w:hAnsi="Arial" w:cs="Arial"/>
              </w:rPr>
              <w:tab/>
            </w:r>
            <w:r w:rsidR="008434BE">
              <w:rPr>
                <w:rFonts w:ascii="Arial" w:hAnsi="Arial" w:cs="Arial"/>
              </w:rPr>
              <w:t>Ανεξάρτητα από τις διατάξεις του παρόντος Νόμου και των δυνάμει αυτού</w:t>
            </w:r>
            <w:r w:rsidR="00845548">
              <w:rPr>
                <w:rFonts w:ascii="Arial" w:hAnsi="Arial" w:cs="Arial"/>
              </w:rPr>
              <w:t xml:space="preserve"> εκδιδομένων Κανονισμών</w:t>
            </w:r>
            <w:r w:rsidR="008434BE">
              <w:rPr>
                <w:rFonts w:ascii="Arial" w:hAnsi="Arial" w:cs="Arial"/>
              </w:rPr>
              <w:t>, ο</w:t>
            </w:r>
            <w:r w:rsidR="005943B5">
              <w:rPr>
                <w:rFonts w:ascii="Arial" w:hAnsi="Arial" w:cs="Arial"/>
              </w:rPr>
              <w:t xml:space="preserve"> Υπουργός </w:t>
            </w:r>
            <w:r w:rsidR="008434BE">
              <w:rPr>
                <w:rFonts w:ascii="Arial" w:hAnsi="Arial" w:cs="Arial"/>
              </w:rPr>
              <w:t xml:space="preserve">δύναται </w:t>
            </w:r>
            <w:r w:rsidR="00845548">
              <w:rPr>
                <w:rFonts w:ascii="Arial" w:hAnsi="Arial" w:cs="Arial"/>
              </w:rPr>
              <w:t>να</w:t>
            </w:r>
            <w:r w:rsidR="008434BE">
              <w:rPr>
                <w:rFonts w:ascii="Arial" w:hAnsi="Arial" w:cs="Arial"/>
              </w:rPr>
              <w:t xml:space="preserve"> εκδίδει διάταγμα</w:t>
            </w:r>
            <w:r w:rsidR="00845548">
              <w:rPr>
                <w:rFonts w:ascii="Arial" w:hAnsi="Arial" w:cs="Arial"/>
              </w:rPr>
              <w:t xml:space="preserve"> </w:t>
            </w:r>
            <w:r w:rsidR="008434BE">
              <w:rPr>
                <w:rFonts w:ascii="Arial" w:hAnsi="Arial" w:cs="Arial"/>
              </w:rPr>
              <w:t xml:space="preserve">με το οποίο παρατείνεται η </w:t>
            </w:r>
            <w:r w:rsidR="00845548">
              <w:rPr>
                <w:rFonts w:ascii="Arial" w:hAnsi="Arial" w:cs="Arial"/>
              </w:rPr>
              <w:t>προθεσμία</w:t>
            </w:r>
            <w:r w:rsidR="008434BE">
              <w:rPr>
                <w:rFonts w:ascii="Arial" w:hAnsi="Arial" w:cs="Arial"/>
              </w:rPr>
              <w:t xml:space="preserve"> καταβολής εισφορών από </w:t>
            </w:r>
            <w:r w:rsidR="008434BE" w:rsidRPr="008434BE">
              <w:rPr>
                <w:rFonts w:ascii="Arial" w:hAnsi="Arial" w:cs="Arial"/>
                <w:color w:val="000000"/>
              </w:rPr>
              <w:t>τους εργοδότες και τους αυτοτελώς εργαζομένους</w:t>
            </w:r>
            <w:r w:rsidR="008434BE">
              <w:rPr>
                <w:rFonts w:ascii="Arial" w:hAnsi="Arial" w:cs="Arial"/>
                <w:color w:val="000000"/>
              </w:rPr>
              <w:t xml:space="preserve"> για μέγιστη χρονική περίοδο δύο </w:t>
            </w:r>
            <w:r w:rsidR="00845548">
              <w:rPr>
                <w:rFonts w:ascii="Arial" w:hAnsi="Arial" w:cs="Arial"/>
                <w:color w:val="000000"/>
              </w:rPr>
              <w:t xml:space="preserve">(2) </w:t>
            </w:r>
            <w:r w:rsidR="008434BE">
              <w:rPr>
                <w:rFonts w:ascii="Arial" w:hAnsi="Arial" w:cs="Arial"/>
                <w:color w:val="000000"/>
              </w:rPr>
              <w:t>εβδομάδων</w:t>
            </w:r>
            <w:r w:rsidR="00D73251">
              <w:rPr>
                <w:rFonts w:ascii="Arial" w:hAnsi="Arial" w:cs="Arial"/>
                <w:color w:val="000000"/>
              </w:rPr>
              <w:t xml:space="preserve"> </w:t>
            </w:r>
            <w:r w:rsidR="00075733">
              <w:rPr>
                <w:rFonts w:ascii="Arial" w:hAnsi="Arial" w:cs="Arial"/>
                <w:color w:val="000000"/>
              </w:rPr>
              <w:t>από την ημερομηνία έκδοσης του</w:t>
            </w:r>
            <w:r w:rsidR="00066216">
              <w:rPr>
                <w:rFonts w:ascii="Arial" w:hAnsi="Arial" w:cs="Arial"/>
                <w:color w:val="000000"/>
              </w:rPr>
              <w:t xml:space="preserve"> διατάγματος</w:t>
            </w:r>
            <w:r w:rsidR="00845548">
              <w:rPr>
                <w:rFonts w:ascii="Arial" w:hAnsi="Arial" w:cs="Arial"/>
                <w:color w:val="000000"/>
              </w:rPr>
              <w:t xml:space="preserve"> </w:t>
            </w:r>
            <w:r w:rsidR="00D73251">
              <w:rPr>
                <w:rFonts w:ascii="Arial" w:hAnsi="Arial" w:cs="Arial"/>
                <w:color w:val="000000"/>
              </w:rPr>
              <w:t>για αντιμετώπιση εκτάκτων περιπτώσεων.</w:t>
            </w:r>
          </w:p>
        </w:tc>
      </w:tr>
      <w:tr w:rsidR="002079F1" w:rsidRPr="00445940" w14:paraId="52C43B3C" w14:textId="77777777" w:rsidTr="002079F1">
        <w:trPr>
          <w:trHeight w:val="80"/>
        </w:trPr>
        <w:tc>
          <w:tcPr>
            <w:tcW w:w="2032" w:type="dxa"/>
          </w:tcPr>
          <w:p w14:paraId="6BE2BB30" w14:textId="77777777" w:rsidR="002079F1" w:rsidRPr="00445940" w:rsidRDefault="002079F1" w:rsidP="00445940">
            <w:pPr>
              <w:spacing w:after="0" w:line="36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14:paraId="743411CD" w14:textId="77777777" w:rsidR="002079F1" w:rsidRPr="002079F1" w:rsidRDefault="002079F1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6" w:type="dxa"/>
          </w:tcPr>
          <w:p w14:paraId="0C9BDEEF" w14:textId="77777777" w:rsidR="002079F1" w:rsidRDefault="002079F1" w:rsidP="002079F1">
            <w:pPr>
              <w:pStyle w:val="NormalWeb"/>
              <w:tabs>
                <w:tab w:val="left" w:pos="510"/>
                <w:tab w:val="left" w:pos="964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79F1" w:rsidRPr="002079F1" w14:paraId="6C6C1157" w14:textId="77777777" w:rsidTr="002079F1">
        <w:trPr>
          <w:trHeight w:val="80"/>
        </w:trPr>
        <w:tc>
          <w:tcPr>
            <w:tcW w:w="2032" w:type="dxa"/>
          </w:tcPr>
          <w:p w14:paraId="219DF3F5" w14:textId="77777777" w:rsidR="002079F1" w:rsidRPr="00445940" w:rsidRDefault="002079F1" w:rsidP="00445940">
            <w:pPr>
              <w:spacing w:after="0" w:line="36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14:paraId="43A4BB25" w14:textId="77777777" w:rsidR="002079F1" w:rsidRPr="002079F1" w:rsidRDefault="002079F1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6" w:type="dxa"/>
          </w:tcPr>
          <w:p w14:paraId="21AC5CAD" w14:textId="1B59F7A0" w:rsidR="002079F1" w:rsidRDefault="002079F1" w:rsidP="002079F1">
            <w:pPr>
              <w:pStyle w:val="NormalWeb"/>
              <w:tabs>
                <w:tab w:val="left" w:pos="510"/>
                <w:tab w:val="left" w:pos="964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2079F1">
              <w:rPr>
                <w:rFonts w:ascii="Arial" w:hAnsi="Arial" w:cs="Arial"/>
                <w:color w:val="000000"/>
              </w:rPr>
              <w:t>(2)</w:t>
            </w:r>
            <w:r w:rsidRPr="002079F1">
              <w:rPr>
                <w:rFonts w:ascii="Arial" w:hAnsi="Arial" w:cs="Arial"/>
                <w:color w:val="000000"/>
              </w:rPr>
              <w:tab/>
              <w:t>Το διάταγμα το οποίο προβλέπεται δυνάμει των διατάξεων του εδαφίου (1) δύναται όπως έχει αναδρομική ισχύ.».</w:t>
            </w:r>
          </w:p>
        </w:tc>
      </w:tr>
      <w:tr w:rsidR="002079F1" w:rsidRPr="002079F1" w14:paraId="789B520A" w14:textId="77777777" w:rsidTr="002079F1">
        <w:trPr>
          <w:trHeight w:val="80"/>
        </w:trPr>
        <w:tc>
          <w:tcPr>
            <w:tcW w:w="2032" w:type="dxa"/>
          </w:tcPr>
          <w:p w14:paraId="43BE8B13" w14:textId="77777777" w:rsidR="002079F1" w:rsidRPr="00445940" w:rsidRDefault="002079F1" w:rsidP="00445940">
            <w:pPr>
              <w:spacing w:after="0" w:line="36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14:paraId="7FEA24C6" w14:textId="77777777" w:rsidR="002079F1" w:rsidRPr="002079F1" w:rsidRDefault="002079F1" w:rsidP="004459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146" w:type="dxa"/>
          </w:tcPr>
          <w:p w14:paraId="5491CE11" w14:textId="77777777" w:rsidR="002079F1" w:rsidRDefault="002079F1" w:rsidP="002079F1">
            <w:pPr>
              <w:pStyle w:val="NormalWeb"/>
              <w:tabs>
                <w:tab w:val="left" w:pos="510"/>
                <w:tab w:val="left" w:pos="964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73251" w:rsidRPr="00445940" w14:paraId="5BECF457" w14:textId="77777777" w:rsidTr="00445940">
        <w:trPr>
          <w:trHeight w:val="80"/>
        </w:trPr>
        <w:tc>
          <w:tcPr>
            <w:tcW w:w="2032" w:type="dxa"/>
          </w:tcPr>
          <w:p w14:paraId="759C4603" w14:textId="77777777" w:rsidR="00D73251" w:rsidRPr="00445940" w:rsidRDefault="00845548" w:rsidP="004459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5940">
              <w:rPr>
                <w:rFonts w:ascii="Arial" w:hAnsi="Arial" w:cs="Arial"/>
                <w:sz w:val="24"/>
                <w:szCs w:val="24"/>
                <w:lang w:val="el-GR"/>
              </w:rPr>
              <w:t>Λήξη της</w:t>
            </w:r>
            <w:r w:rsidR="00D73251" w:rsidRPr="00445940">
              <w:rPr>
                <w:rFonts w:ascii="Arial" w:hAnsi="Arial" w:cs="Arial"/>
                <w:sz w:val="24"/>
                <w:szCs w:val="24"/>
                <w:lang w:val="el-GR"/>
              </w:rPr>
              <w:t xml:space="preserve"> ισχύος του παρόντος Νόμου.</w:t>
            </w:r>
          </w:p>
        </w:tc>
        <w:tc>
          <w:tcPr>
            <w:tcW w:w="6705" w:type="dxa"/>
            <w:gridSpan w:val="2"/>
          </w:tcPr>
          <w:p w14:paraId="0736C9EB" w14:textId="5FB7FCF5" w:rsidR="00D73251" w:rsidRDefault="00845548" w:rsidP="002079F1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ισχύς του παρόντος Νόμου λήγει την 31</w:t>
            </w:r>
            <w:r w:rsidRPr="00845548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Δεκεμβρίου 2023. </w:t>
            </w:r>
          </w:p>
        </w:tc>
      </w:tr>
    </w:tbl>
    <w:p w14:paraId="2C66A1BF" w14:textId="7C92D130" w:rsidR="00F54C9F" w:rsidRPr="002079F1" w:rsidRDefault="00F54C9F" w:rsidP="00445940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770120E" w14:textId="1171610E" w:rsidR="002079F1" w:rsidRPr="002079F1" w:rsidRDefault="002079F1" w:rsidP="00445940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45A511E1" w14:textId="24E2D982" w:rsidR="002079F1" w:rsidRPr="002079F1" w:rsidRDefault="002079F1" w:rsidP="00445940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 w:rsidRPr="002079F1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Pr="002079F1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Pr="002079F1"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 w:rsidRPr="002079F1">
        <w:rPr>
          <w:rFonts w:ascii="Arial" w:hAnsi="Arial" w:cs="Arial"/>
          <w:sz w:val="24"/>
          <w:szCs w:val="24"/>
          <w:lang w:val="el-GR"/>
        </w:rPr>
        <w:t>.: 23.01.063.181-2022</w:t>
      </w:r>
    </w:p>
    <w:p w14:paraId="2DBF079A" w14:textId="6B0829C7" w:rsidR="002079F1" w:rsidRPr="002079F1" w:rsidRDefault="002079F1" w:rsidP="00445940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2079F1">
        <w:rPr>
          <w:rFonts w:ascii="Arial" w:hAnsi="Arial" w:cs="Arial"/>
          <w:sz w:val="24"/>
          <w:szCs w:val="24"/>
          <w:lang w:val="el-GR"/>
        </w:rPr>
        <w:t>ΑΔ/ΧΧ</w:t>
      </w:r>
    </w:p>
    <w:sectPr w:rsidR="002079F1" w:rsidRPr="002079F1" w:rsidSect="002079F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34E4" w14:textId="77777777" w:rsidR="0099044C" w:rsidRDefault="0099044C" w:rsidP="00F74110">
      <w:pPr>
        <w:spacing w:after="0" w:line="240" w:lineRule="auto"/>
      </w:pPr>
      <w:r>
        <w:separator/>
      </w:r>
    </w:p>
  </w:endnote>
  <w:endnote w:type="continuationSeparator" w:id="0">
    <w:p w14:paraId="1375EE81" w14:textId="77777777" w:rsidR="0099044C" w:rsidRDefault="0099044C" w:rsidP="00F7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BD61" w14:textId="77777777" w:rsidR="0099044C" w:rsidRDefault="0099044C" w:rsidP="00F74110">
      <w:pPr>
        <w:spacing w:after="0" w:line="240" w:lineRule="auto"/>
      </w:pPr>
      <w:r>
        <w:separator/>
      </w:r>
    </w:p>
  </w:footnote>
  <w:footnote w:type="continuationSeparator" w:id="0">
    <w:p w14:paraId="7CF4DE06" w14:textId="77777777" w:rsidR="0099044C" w:rsidRDefault="0099044C" w:rsidP="00F7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92161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FE0F01D" w14:textId="0370A198" w:rsidR="009B3D48" w:rsidRPr="009B3D48" w:rsidRDefault="009B3D4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9B3D48">
          <w:rPr>
            <w:rFonts w:ascii="Arial" w:hAnsi="Arial" w:cs="Arial"/>
            <w:sz w:val="24"/>
            <w:szCs w:val="24"/>
          </w:rPr>
          <w:fldChar w:fldCharType="begin"/>
        </w:r>
        <w:r w:rsidRPr="009B3D4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B3D48">
          <w:rPr>
            <w:rFonts w:ascii="Arial" w:hAnsi="Arial" w:cs="Arial"/>
            <w:sz w:val="24"/>
            <w:szCs w:val="24"/>
          </w:rPr>
          <w:fldChar w:fldCharType="separate"/>
        </w:r>
        <w:r w:rsidRPr="009B3D48">
          <w:rPr>
            <w:rFonts w:ascii="Arial" w:hAnsi="Arial" w:cs="Arial"/>
            <w:noProof/>
            <w:sz w:val="24"/>
            <w:szCs w:val="24"/>
          </w:rPr>
          <w:t>2</w:t>
        </w:r>
        <w:r w:rsidRPr="009B3D4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6D98C3C" w14:textId="77777777" w:rsidR="009B3D48" w:rsidRDefault="009B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46B"/>
    <w:multiLevelType w:val="hybridMultilevel"/>
    <w:tmpl w:val="F7DC70A4"/>
    <w:lvl w:ilvl="0" w:tplc="3008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7B5B"/>
    <w:multiLevelType w:val="hybridMultilevel"/>
    <w:tmpl w:val="89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3302">
    <w:abstractNumId w:val="1"/>
  </w:num>
  <w:num w:numId="2" w16cid:durableId="54572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0F"/>
    <w:rsid w:val="00027BB4"/>
    <w:rsid w:val="00066216"/>
    <w:rsid w:val="00075733"/>
    <w:rsid w:val="001116E9"/>
    <w:rsid w:val="00192BBE"/>
    <w:rsid w:val="002079F1"/>
    <w:rsid w:val="00275978"/>
    <w:rsid w:val="002C1701"/>
    <w:rsid w:val="00405DA3"/>
    <w:rsid w:val="00445940"/>
    <w:rsid w:val="005943B5"/>
    <w:rsid w:val="005B46B5"/>
    <w:rsid w:val="006034C0"/>
    <w:rsid w:val="0064324F"/>
    <w:rsid w:val="006B2050"/>
    <w:rsid w:val="006D73CB"/>
    <w:rsid w:val="0071774A"/>
    <w:rsid w:val="008434BE"/>
    <w:rsid w:val="00845548"/>
    <w:rsid w:val="00850C5C"/>
    <w:rsid w:val="00860307"/>
    <w:rsid w:val="008D397B"/>
    <w:rsid w:val="008E4422"/>
    <w:rsid w:val="008F591E"/>
    <w:rsid w:val="00917675"/>
    <w:rsid w:val="0099044C"/>
    <w:rsid w:val="009B3D48"/>
    <w:rsid w:val="00A34D4D"/>
    <w:rsid w:val="00A560EE"/>
    <w:rsid w:val="00A900E5"/>
    <w:rsid w:val="00A94AC5"/>
    <w:rsid w:val="00BB28FC"/>
    <w:rsid w:val="00D73251"/>
    <w:rsid w:val="00DE2E41"/>
    <w:rsid w:val="00E17F68"/>
    <w:rsid w:val="00E911A6"/>
    <w:rsid w:val="00E91254"/>
    <w:rsid w:val="00E96E0F"/>
    <w:rsid w:val="00F54C9F"/>
    <w:rsid w:val="00F72496"/>
    <w:rsid w:val="00F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9A2D"/>
  <w15:chartTrackingRefBased/>
  <w15:docId w15:val="{6057667E-B1DF-48A4-95C9-8332DEA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4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cybar-text-indent">
    <w:name w:val="cybar-text-indent"/>
    <w:basedOn w:val="Normal"/>
    <w:rsid w:val="00717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11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E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E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E9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4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1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10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MANTOVANI</cp:lastModifiedBy>
  <cp:revision>3</cp:revision>
  <cp:lastPrinted>2022-09-29T13:41:00Z</cp:lastPrinted>
  <dcterms:created xsi:type="dcterms:W3CDTF">2022-11-25T10:48:00Z</dcterms:created>
  <dcterms:modified xsi:type="dcterms:W3CDTF">2022-11-25T11:17:00Z</dcterms:modified>
</cp:coreProperties>
</file>