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BAD9" w14:textId="55E7F3E8" w:rsidR="00C831EC" w:rsidRPr="00DC250B" w:rsidRDefault="002846E7" w:rsidP="00DC250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DC250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ΝΟΜΟ</w:t>
      </w:r>
      <w:r w:rsidR="00BA0D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</w:t>
      </w:r>
      <w:r w:rsidR="00C831EC" w:rsidRPr="00DC250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ΠΟΥ ΤΡΟΠΟΠΟΙΕΙ ΤΟ</w:t>
      </w:r>
      <w:r w:rsidR="00C831EC" w:rsidRPr="00DC250B">
        <w:rPr>
          <w:rFonts w:ascii="Arial" w:eastAsia="Times New Roman" w:hAnsi="Arial" w:cs="Arial"/>
          <w:color w:val="000000"/>
          <w:sz w:val="24"/>
          <w:szCs w:val="24"/>
          <w:lang w:val="en-GB" w:eastAsia="el-GR"/>
        </w:rPr>
        <w:t>Y</w:t>
      </w:r>
      <w:r w:rsidR="00C831EC" w:rsidRPr="00DC250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Σ ΠΕΡΙ ΜΕΤΑΒΙΒΑΣΕΩΣ </w:t>
      </w:r>
      <w:r w:rsidR="00C831EC" w:rsidRPr="00DC250B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KAI</w:t>
      </w:r>
      <w:r w:rsidR="00DC250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Υ</w:t>
      </w:r>
      <w:r w:rsidR="00C831EC" w:rsidRPr="00DC250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ΠΟΘΗΚΕΥΣΕΩΣ ΑΚΙΝΗΤΩΝ ΝΟΜΟΥΣ </w:t>
      </w:r>
      <w:r w:rsidR="00F5608B" w:rsidRPr="00DC250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ΤΟΥ 1965 ΕΩΣ (ΑΡ. </w:t>
      </w:r>
      <w:r w:rsidR="00BA0DE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2</w:t>
      </w:r>
      <w:r w:rsidR="00F5608B" w:rsidRPr="00DC250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 ΤΟΥ 202</w:t>
      </w:r>
      <w:r w:rsidR="00C44CF0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</w:t>
      </w:r>
    </w:p>
    <w:p w14:paraId="4B0392BF" w14:textId="63218639" w:rsidR="00A00A6E" w:rsidRPr="00DC250B" w:rsidRDefault="00A00A6E" w:rsidP="00DC250B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5"/>
        <w:gridCol w:w="2117"/>
        <w:gridCol w:w="5527"/>
      </w:tblGrid>
      <w:tr w:rsidR="002E6297" w:rsidRPr="00DC250B" w14:paraId="08ADCA6D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26BED342" w14:textId="71EE3F36" w:rsidR="002E6297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hAnsi="Arial" w:cs="Arial"/>
                <w:sz w:val="24"/>
                <w:szCs w:val="24"/>
              </w:rPr>
              <w:t>Προοίμιο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5" w:type="pct"/>
            <w:gridSpan w:val="2"/>
            <w:shd w:val="clear" w:color="auto" w:fill="auto"/>
          </w:tcPr>
          <w:p w14:paraId="01BB475F" w14:textId="3E7C0C85" w:rsidR="002E6297" w:rsidRPr="00DC250B" w:rsidRDefault="00DC250B" w:rsidP="00DC25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hAnsi="Arial" w:cs="Arial"/>
                <w:sz w:val="24"/>
                <w:szCs w:val="24"/>
              </w:rPr>
              <w:t>ΕΠΕΙΔΗ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 έχουν συσσωρευθεί σημαντικά επίπεδα χρέους, μεγάλο μέρος του οποίου είναι συγκεντρωμένο σε ενυπόθηκο χρέος που σχετίζεται με ακίνητα που προορίζονται για κατοικία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C250B" w:rsidRPr="00DC250B" w14:paraId="3551BABD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6380DBFE" w14:textId="77777777" w:rsidR="00DC250B" w:rsidRPr="00DC250B" w:rsidRDefault="00DC250B" w:rsidP="00DC25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61848E3E" w14:textId="77777777" w:rsidR="00DC250B" w:rsidRP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50B" w:rsidRPr="00DC250B" w14:paraId="08781F5E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590D34A6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6AA9A050" w14:textId="7CF58ACC" w:rsidR="00DC250B" w:rsidRPr="00DC250B" w:rsidRDefault="00DC250B" w:rsidP="00DC25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ΕΠΕΙΔΗ, κρίνεται αναγκαία </w:t>
            </w: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 άρση της άδικης μεταχείρισης την οποία υφίστανται οι ενυπόθηκοι οφειλέτες, καθότι η αξία της ανταλλαγής καθορίζεται μονομερώς από τους ενυπόθηκους δανειστές και στις πλείστες περιπτώσεις ως τέτοια ορίζεται η καταναγκαστική αξία πώλησης του ακινήτου, η οποία είναι κατά πολύ χαμηλότερη από την εκτιμημένη αξία αυτού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C250B" w:rsidRPr="00DC250B" w14:paraId="3C61DE77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3BE61F3C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064912C6" w14:textId="77777777" w:rsid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50B" w:rsidRPr="00DC250B" w14:paraId="6DC741F1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61A24D07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2A71E0BB" w14:textId="4224616A" w:rsidR="00DC250B" w:rsidRP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Pr="00DC250B">
              <w:rPr>
                <w:rFonts w:ascii="Arial" w:hAnsi="Arial" w:cs="Arial"/>
                <w:sz w:val="24"/>
                <w:szCs w:val="24"/>
              </w:rPr>
              <w:t>ΕΠΕΙΔΗ,</w:t>
            </w:r>
            <w:r w:rsidRPr="00DC250B">
              <w:rPr>
                <w:rFonts w:ascii="Arial" w:hAnsi="Arial" w:cs="Arial"/>
                <w:color w:val="000000"/>
                <w:sz w:val="24"/>
                <w:szCs w:val="24"/>
              </w:rPr>
              <w:t xml:space="preserve"> το Άρθρο 26.1 του Συντάγματος προβλέπει τη διά νόμου υπαγωγή του δικαιώματος του συμβάλλεσθαι ελευθέρως σε όρους, περιορισμούς ή δεσμεύσεις που τίθενται στη βάση των γενικών αρχών του δικαίου των συμβάσεων, καθώς και για σκοπούς πρόληψης της εκμετάλλευσης από πρόσωπα που διαθέτουν ιδιάζουσα οικονομική ισχύ,</w:t>
            </w:r>
          </w:p>
        </w:tc>
      </w:tr>
      <w:tr w:rsidR="00DC250B" w:rsidRPr="00DC250B" w14:paraId="271D4BCD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5CBE2038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04E6D8F1" w14:textId="77777777" w:rsid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50B" w:rsidRPr="00DC250B" w14:paraId="08C67F3F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56B948B6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1D2753CC" w14:textId="77CF51CE" w:rsid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ΚΑΙ </w:t>
            </w:r>
            <w:r w:rsidRPr="00DC250B">
              <w:rPr>
                <w:rFonts w:ascii="Arial" w:hAnsi="Arial" w:cs="Arial"/>
                <w:color w:val="000000"/>
                <w:sz w:val="24"/>
                <w:szCs w:val="24"/>
              </w:rPr>
              <w:t>ΕΠΕΙΔΗ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DC250B">
              <w:rPr>
                <w:rFonts w:ascii="Arial" w:hAnsi="Arial" w:cs="Arial"/>
                <w:sz w:val="24"/>
                <w:szCs w:val="24"/>
              </w:rPr>
              <w:t>για σκοπούς διασφάλισης της ισορροπίας μεταξύ των συμβαλλόμενων μερών αναφορικά με τη</w:t>
            </w:r>
            <w:r>
              <w:rPr>
                <w:rFonts w:ascii="Arial" w:hAnsi="Arial" w:cs="Arial"/>
                <w:sz w:val="24"/>
                <w:szCs w:val="24"/>
              </w:rPr>
              <w:t>ν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 άσκηση του δικαιώματος  του συμβάλλεσθαι ελευθέρως</w:t>
            </w:r>
            <w:r w:rsidR="00BA0DEB">
              <w:rPr>
                <w:rFonts w:ascii="Arial" w:hAnsi="Arial" w:cs="Arial"/>
                <w:sz w:val="24"/>
                <w:szCs w:val="24"/>
              </w:rPr>
              <w:t>,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 είναι απαραίτητη η λήψη μέτρων για πρόληψη </w:t>
            </w:r>
            <w:r>
              <w:rPr>
                <w:rFonts w:ascii="Arial" w:hAnsi="Arial" w:cs="Arial"/>
                <w:sz w:val="24"/>
                <w:szCs w:val="24"/>
              </w:rPr>
              <w:t xml:space="preserve">της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εκμετάλλευσης των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ενυπόθηκων οφειλετών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ή/και εγγυητών από τους ενυπόθηκους δανειστές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όπως πιστωτικά ιδρύματα και εταιρείες εξαγοράς πιστώσεων 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που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διαθέτουν ιδιάζουσα οικονομική ισχύ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</w:t>
            </w:r>
          </w:p>
        </w:tc>
      </w:tr>
      <w:tr w:rsidR="00DC250B" w:rsidRPr="00DC250B" w14:paraId="1D7FC3F9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49DEC019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017C6D75" w14:textId="77777777" w:rsid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C250B" w:rsidRPr="00DC250B" w14:paraId="5B2803CB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2BFF9A96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07DA4224" w14:textId="54218FE4" w:rsid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ΕΠΕΙΔΗ, η διασφάλιση της ισορροπίας μεταξύ των συμβαλλόμενων μερών επιτυγχάνεται μέσω </w:t>
            </w:r>
            <w:r>
              <w:rPr>
                <w:rFonts w:ascii="Arial" w:hAnsi="Arial" w:cs="Arial"/>
                <w:sz w:val="24"/>
                <w:szCs w:val="24"/>
              </w:rPr>
              <w:t xml:space="preserve">του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καθορισμού της αγοραίας αξίας </w:t>
            </w:r>
            <w:r>
              <w:rPr>
                <w:rFonts w:ascii="Arial" w:hAnsi="Arial" w:cs="Arial"/>
                <w:sz w:val="24"/>
                <w:szCs w:val="24"/>
              </w:rPr>
              <w:t xml:space="preserve">του ενυπόθηκου ακινήτου,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κατόπιν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ιορισμού εκτιμητών εκ μέρους του ενυπόθηκου δανειστή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καθώς και εκ μέρους του ενυπόθηκου οφειλέτη για τη διενέργεια, ταυτόχρονα, ανεξάρτητων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εκτιμήσεων του ακινήτου για σκοπούς υπολογισμού της αγοραίας αξίας αυτού</w:t>
            </w:r>
            <w:r w:rsidRPr="00DC250B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DC250B" w:rsidRPr="00DC250B" w14:paraId="043A9773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43BE8D05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0034CA1E" w14:textId="77777777" w:rsid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50B" w:rsidRPr="00DC250B" w14:paraId="7E1DAA88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471F5200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1799B0BB" w14:textId="22888944" w:rsidR="00DC250B" w:rsidRDefault="00117047" w:rsidP="0011704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6036A">
              <w:rPr>
                <w:rFonts w:ascii="Arial" w:hAnsi="Arial" w:cs="Arial"/>
                <w:sz w:val="24"/>
                <w:szCs w:val="24"/>
              </w:rPr>
              <w:t>Για όλους τους πιο πάνω λόγους</w:t>
            </w:r>
            <w:r w:rsidR="00C44CF0">
              <w:rPr>
                <w:rFonts w:ascii="Arial" w:hAnsi="Arial" w:cs="Arial"/>
                <w:sz w:val="24"/>
                <w:szCs w:val="24"/>
              </w:rPr>
              <w:t>,</w:t>
            </w:r>
            <w:r w:rsidR="00E60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50B" w:rsidRPr="00DC250B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ακολούθως:</w:t>
            </w:r>
          </w:p>
        </w:tc>
      </w:tr>
      <w:tr w:rsidR="00DC250B" w:rsidRPr="00DC250B" w14:paraId="76E32302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38222590" w14:textId="77777777" w:rsidR="00DC250B" w:rsidRPr="00DC250B" w:rsidRDefault="00DC250B" w:rsidP="00DC25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1107E4D9" w14:textId="77777777" w:rsidR="00DC250B" w:rsidRDefault="00DC250B" w:rsidP="00DC25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6A" w:rsidRPr="00DC250B" w14:paraId="4163E509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2682FC6C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Συνοπτικός </w:t>
            </w:r>
          </w:p>
          <w:p w14:paraId="0A1A7DD9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τίτλος.</w:t>
            </w:r>
          </w:p>
          <w:p w14:paraId="1168DE1E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9 του 1965</w:t>
            </w:r>
          </w:p>
          <w:p w14:paraId="7F1DDBF8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51 του 1970</w:t>
            </w:r>
          </w:p>
          <w:p w14:paraId="378CA657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3 του 1978</w:t>
            </w:r>
          </w:p>
          <w:p w14:paraId="29D62B27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6 του 1981</w:t>
            </w:r>
          </w:p>
          <w:p w14:paraId="18423EF4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181(I) του 2002</w:t>
            </w:r>
          </w:p>
          <w:p w14:paraId="4075CA91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59(I) του 2006</w:t>
            </w:r>
          </w:p>
          <w:p w14:paraId="01E8F1CC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122(I) του 2007</w:t>
            </w:r>
          </w:p>
          <w:p w14:paraId="6090DFC5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52(I) του 2008</w:t>
            </w:r>
          </w:p>
          <w:p w14:paraId="30E57F68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26(I) του 2010</w:t>
            </w:r>
          </w:p>
          <w:p w14:paraId="6F558668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120(I) του 2011</w:t>
            </w:r>
          </w:p>
          <w:p w14:paraId="3F122484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142(I) του 2014</w:t>
            </w:r>
          </w:p>
          <w:p w14:paraId="360FA29D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197(I) του 2014</w:t>
            </w:r>
          </w:p>
          <w:p w14:paraId="10DE1F87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4(I) του 2015</w:t>
            </w:r>
          </w:p>
          <w:p w14:paraId="346C4440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27(Ι) του 2015</w:t>
            </w:r>
          </w:p>
          <w:p w14:paraId="38832CA8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32(Ι) του 2015</w:t>
            </w:r>
          </w:p>
          <w:p w14:paraId="1B5507F8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42(Ι) του 2015</w:t>
            </w:r>
          </w:p>
          <w:p w14:paraId="281F6DE4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46(Ι) του 2015</w:t>
            </w:r>
          </w:p>
          <w:p w14:paraId="58C79187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53(I) του 2015</w:t>
            </w:r>
          </w:p>
          <w:p w14:paraId="7B26CFBE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75(I) του 2015</w:t>
            </w:r>
          </w:p>
          <w:p w14:paraId="1AFC94DA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76(Ι) του 2015</w:t>
            </w:r>
          </w:p>
          <w:p w14:paraId="66E7272A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133(I) του 2015</w:t>
            </w:r>
          </w:p>
          <w:p w14:paraId="4CD66A65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139(I) του 2015</w:t>
            </w:r>
          </w:p>
          <w:p w14:paraId="58BC935C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198(I) του 2015</w:t>
            </w:r>
          </w:p>
          <w:p w14:paraId="556E1520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87(I) του 2018</w:t>
            </w:r>
          </w:p>
          <w:p w14:paraId="7B2D4B42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118(I) του 2019</w:t>
            </w:r>
          </w:p>
          <w:p w14:paraId="13AD0CA1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138(I) του 2019</w:t>
            </w:r>
          </w:p>
          <w:p w14:paraId="70CA3475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lastRenderedPageBreak/>
              <w:t>61(I) του 2020</w:t>
            </w:r>
          </w:p>
          <w:p w14:paraId="184B60A5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195(I) του 2020</w:t>
            </w:r>
          </w:p>
          <w:p w14:paraId="1EC76266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212(I) του 2020</w:t>
            </w:r>
          </w:p>
          <w:p w14:paraId="6216AF54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98(I) του 2021</w:t>
            </w:r>
          </w:p>
          <w:p w14:paraId="1B512646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185(Ι) του 2021</w:t>
            </w:r>
          </w:p>
          <w:p w14:paraId="13360F78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82(Ι) του 2022</w:t>
            </w:r>
          </w:p>
          <w:p w14:paraId="1BFC1F60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147(I) του 2022</w:t>
            </w:r>
          </w:p>
          <w:p w14:paraId="324C62DE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173(I) του 2022</w:t>
            </w:r>
          </w:p>
          <w:p w14:paraId="3779B2F2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204(Ι) του 2022</w:t>
            </w:r>
          </w:p>
          <w:p w14:paraId="52D2AEA7" w14:textId="77777777" w:rsidR="00E6036A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10(Ι) του 2023</w:t>
            </w:r>
          </w:p>
          <w:p w14:paraId="18DAEFDD" w14:textId="7783141B" w:rsidR="00E6036A" w:rsidRPr="00DC250B" w:rsidRDefault="00E6036A" w:rsidP="00E6036A">
            <w:pPr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l-GR"/>
              </w:rPr>
              <w:t>....(Ι) του 2023.</w:t>
            </w:r>
          </w:p>
        </w:tc>
        <w:tc>
          <w:tcPr>
            <w:tcW w:w="3965" w:type="pct"/>
            <w:gridSpan w:val="2"/>
            <w:shd w:val="clear" w:color="auto" w:fill="auto"/>
          </w:tcPr>
          <w:p w14:paraId="7BAFBBCB" w14:textId="77777777" w:rsidR="00E6036A" w:rsidRPr="00DC250B" w:rsidRDefault="00E6036A" w:rsidP="00E603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 xml:space="preserve">Ο παρών Νόμος θα αναφέρεται ως ο περί Μεταβιβάσεως και  Υποθηκεύσεως Ακινήτων (Τροποποιητικός) (Αρ.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) Νόμος του 2023 και θα διαβάζεται μαζί με τους περί Μεταβιβάσεως και Υποθηκεύσεως Ακινήτων Νόμους του 1965 έως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(Αρ. 2) του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2023 (που στο εξής θα αναφέρονται ως «ο βασικός νόμος») και ο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βασικός νόμος και ο παρών Νόμος θα αναφέρονται μαζί ως οι περί Μεταβιβάσεως και Υποθηκεύσεως Ακινήτων Νόμοι του 1965 έως (Αρ.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C250B">
              <w:rPr>
                <w:rFonts w:ascii="Arial" w:hAnsi="Arial" w:cs="Arial"/>
                <w:sz w:val="24"/>
                <w:szCs w:val="24"/>
              </w:rPr>
              <w:t>) του 2023.</w:t>
            </w:r>
          </w:p>
          <w:p w14:paraId="2230B386" w14:textId="1FC4599A" w:rsidR="00E6036A" w:rsidRDefault="00E6036A" w:rsidP="00E603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25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36A" w:rsidRPr="00DC250B" w14:paraId="3CB86DCB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77FB0296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739F2E19" w14:textId="77777777" w:rsidR="00E6036A" w:rsidRDefault="00E6036A" w:rsidP="00E603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36A" w:rsidRPr="00DC250B" w14:paraId="407105BD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5D479BC4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Τροποποίηση</w:t>
            </w:r>
          </w:p>
          <w:p w14:paraId="0F3872E8" w14:textId="77777777" w:rsidR="00BA0DE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του βασικού νόμου με την προσθήκη </w:t>
            </w:r>
          </w:p>
          <w:p w14:paraId="5CFF1B3A" w14:textId="2DE39784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του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νέου Μέρους VIΓ.</w:t>
            </w:r>
          </w:p>
        </w:tc>
        <w:tc>
          <w:tcPr>
            <w:tcW w:w="3965" w:type="pct"/>
            <w:gridSpan w:val="2"/>
            <w:shd w:val="clear" w:color="auto" w:fill="auto"/>
          </w:tcPr>
          <w:p w14:paraId="41C45B55" w14:textId="300C97C9" w:rsidR="00E6036A" w:rsidRPr="00DC250B" w:rsidRDefault="00E6036A" w:rsidP="00E6036A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Ο βασικός νόμος τροποποιείται με την προσθήκη, αμέσως μετά το άρθρο 44ΚΖ του Μέρους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el-GR"/>
              </w:rPr>
              <w:t>VIB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 του ακόλουθου νέου Μέρους:</w:t>
            </w:r>
          </w:p>
          <w:p w14:paraId="24F0AEDC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7718DA15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5F46E55E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3DDA3465" w14:textId="5DC508E6" w:rsidR="00E6036A" w:rsidRPr="00DC250B" w:rsidRDefault="00E6036A" w:rsidP="00E6036A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«ΜΕΡΟΣ VIΓ</w:t>
            </w:r>
          </w:p>
        </w:tc>
      </w:tr>
      <w:tr w:rsidR="00E6036A" w:rsidRPr="00DC250B" w14:paraId="52D97DC6" w14:textId="77777777" w:rsidTr="00DC250B">
        <w:trPr>
          <w:trHeight w:val="405"/>
        </w:trPr>
        <w:tc>
          <w:tcPr>
            <w:tcW w:w="1035" w:type="pct"/>
            <w:shd w:val="clear" w:color="auto" w:fill="auto"/>
          </w:tcPr>
          <w:p w14:paraId="3E8C16F7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965" w:type="pct"/>
            <w:gridSpan w:val="2"/>
            <w:shd w:val="clear" w:color="auto" w:fill="auto"/>
          </w:tcPr>
          <w:p w14:paraId="1F59CB50" w14:textId="52923DC7" w:rsidR="00E6036A" w:rsidRPr="00DC250B" w:rsidRDefault="00E6036A" w:rsidP="00E6036A">
            <w:pPr>
              <w:pStyle w:val="ListParagraph"/>
              <w:tabs>
                <w:tab w:val="left" w:pos="397"/>
              </w:tabs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ΔΙΑΘΕΣΗ ΚΑΙ ΜΕΤΑΒΙΒΑΣΗ ΕΝΥΠΟΘΗΚΟΥ ΑΚΙΝΗΤΟΥ Η ΟΠΟΙΑ ΑΠΟΣΚΟΠΕΙ ΣΤΗ ΜΕΙΩΣΗ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΄Η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ΕΞΟΦΛΗΣΗ ΕΝΥΠΟΘΗΚΟΥ ΧΡΕΟΥΣ</w:t>
            </w:r>
          </w:p>
        </w:tc>
      </w:tr>
      <w:tr w:rsidR="00BA0DEB" w:rsidRPr="00DC250B" w14:paraId="2AC64F40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6398D0B8" w14:textId="77777777" w:rsidR="00BA0DEB" w:rsidRPr="00DC250B" w:rsidRDefault="00BA0DEB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788C115C" w14:textId="77777777" w:rsidR="00BA0DEB" w:rsidRPr="00DC250B" w:rsidRDefault="00BA0DEB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3082F38E" w14:textId="77777777" w:rsidR="00BA0DEB" w:rsidRPr="00DC250B" w:rsidRDefault="00BA0DEB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46801EE2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0C8588CA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79DD5F82" w14:textId="07E1A966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Ερμηνεία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867" w:type="pct"/>
            <w:shd w:val="clear" w:color="auto" w:fill="auto"/>
          </w:tcPr>
          <w:p w14:paraId="3CA5FA4D" w14:textId="6E05B0B9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ΚΗ</w:t>
            </w:r>
            <w:r w:rsidR="00C44C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-(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1) Για τους σκοπούς του παρόντος Μέρους, εκτός εάν από το κείμενο προκύπτει διαφορετική έννοια-</w:t>
            </w:r>
          </w:p>
        </w:tc>
      </w:tr>
      <w:tr w:rsidR="00E6036A" w:rsidRPr="00DC250B" w14:paraId="76AA2018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50378D20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7E2DF803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449080CD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4F3D1992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5A6BF2CC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7A4E51E6" w14:textId="29C760ED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29A8E3EF" w14:textId="315DC480" w:rsidR="00E6036A" w:rsidRPr="00DC250B" w:rsidRDefault="00E6036A" w:rsidP="00E6036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E60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“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αναδιάρθρωση</w:t>
            </w:r>
            <w:r w:rsidRPr="00E60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”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σημαίνει την άμεση ή έμμεση διάθεση και </w:t>
            </w:r>
            <w:bookmarkStart w:id="0" w:name="_Hlk138930165"/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μεταβίβαση ακίνητης ιδιοκτησίας, καθώς και μεταβίβαση δικαιωμάτων δυνάμει πωλ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ητήρι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ου εγγράφου κατατεθειμένου στο Τμήμα Κτηματολογίου και Χωρομετρίας, μεταξύ ενός ή περισσότερων ενυπόθηκων οφειλετών </w:t>
            </w:r>
            <w:r w:rsidRPr="00DC25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ή/και εγγυητών σχετικά με την ίδια πιστωτική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 xml:space="preserve">διευκόλυνση ή χορήγηση ή οφειλή και ενός ή περισσότερων ενυπόθηκων δανειστών, η οποία  αποσκοπεί στη μείωση ή την εξόφληση των πιστωτικών διευκολύνσεων ή χορηγήσεων που </w:t>
            </w:r>
            <w:r w:rsidR="00F35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παραχωρήθηκαν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προς δανειολήπτες από ένα</w:t>
            </w:r>
            <w:r w:rsidR="00BA0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ν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ή περισσότερους ενυπόθηκους δανειστές</w:t>
            </w:r>
            <w:bookmarkEnd w:id="0"/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ή/και σχετικών οφειλών αυτών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∙</w:t>
            </w:r>
          </w:p>
        </w:tc>
      </w:tr>
      <w:tr w:rsidR="00E6036A" w:rsidRPr="00DC250B" w14:paraId="1B5F021C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2159EDB7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12014ADE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56A1E1C4" w14:textId="77777777" w:rsidR="00E6036A" w:rsidRPr="00E6036A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6EF77FEA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7EBE3920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3125981D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14:paraId="0A494E34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14:paraId="3949E72D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14:paraId="53EB577E" w14:textId="77777777" w:rsidR="00E6036A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14:paraId="63366B5C" w14:textId="09DF3B1C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169(I)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του 2015</w:t>
            </w:r>
          </w:p>
          <w:p w14:paraId="39C1833C" w14:textId="77777777" w:rsidR="00E6036A" w:rsidRPr="00DC250B" w:rsidRDefault="00E6036A" w:rsidP="00E6036A">
            <w:pPr>
              <w:spacing w:after="0" w:line="36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86(I) του 2018</w:t>
            </w:r>
          </w:p>
          <w:p w14:paraId="62A28313" w14:textId="4FD47454" w:rsidR="00E6036A" w:rsidRPr="00DC250B" w:rsidRDefault="00E6036A" w:rsidP="00E6036A">
            <w:pPr>
              <w:spacing w:after="0"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129(I) του 2022.</w:t>
            </w:r>
          </w:p>
        </w:tc>
        <w:tc>
          <w:tcPr>
            <w:tcW w:w="2867" w:type="pct"/>
            <w:shd w:val="clear" w:color="auto" w:fill="auto"/>
          </w:tcPr>
          <w:p w14:paraId="0F8B52E3" w14:textId="26E0A0D9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“ενυπόθηκος δανειστής” έχει την έννοια που αποδίδεται στον όρο αυτό από το άρθρο 2 και περιλαμβάνει αγοραστή κατά την έννοια που αποδίδεται στον όρο αυτό από τις διατάξεις του περί Αγοραπωλησίας Πιστωτικών Διευκολύνσεων και για Συναφή Θέµατα Νόμου·</w:t>
            </w:r>
          </w:p>
        </w:tc>
      </w:tr>
      <w:tr w:rsidR="00E6036A" w:rsidRPr="00DC250B" w14:paraId="7804A472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5CE4601F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404865D8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3477EE7B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5B65C9C7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39CD4674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1314B0F3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1BD527D5" w14:textId="2958BEB5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“επαγγελµατική στέγη” σημαίνει ακίνητο το οποίο χρησιμοποιείται ως χώρος στέγασης επιχείρησης</w:t>
            </w:r>
            <w:r w:rsidR="00BA0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η οποία έχει ετήσιο κύκλο εργασιών που δεν υπερβαίνει τις επτακόσιες πενήντα χιλιάδες ευρώ (€750.000)·</w:t>
            </w:r>
          </w:p>
        </w:tc>
      </w:tr>
      <w:tr w:rsidR="00E6036A" w:rsidRPr="00DC250B" w14:paraId="225B4A07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18303482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0C5B2763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2002B15F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32DCA50D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579D0E61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3F3D7EEC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353AFBDA" w14:textId="19F6625C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“κύρια κατοικία” έχει την έννοια που αποδίδεται στον όρο αυτό από το άρθρο 44Ι</w:t>
            </w:r>
            <w:r w:rsidRPr="00DC250B">
              <w:rPr>
                <w:rFonts w:ascii="Arial" w:hAnsi="Arial" w:cs="Arial"/>
                <w:color w:val="000000"/>
                <w:sz w:val="24"/>
                <w:szCs w:val="24"/>
              </w:rPr>
              <w:t>Ε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</w:tr>
      <w:tr w:rsidR="00E6036A" w:rsidRPr="00DC250B" w14:paraId="61210A6A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22EAA740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1F1EF820" w14:textId="652B973C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0221AE1C" w14:textId="065A794F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ab/>
            </w:r>
          </w:p>
        </w:tc>
      </w:tr>
      <w:tr w:rsidR="00E6036A" w:rsidRPr="00DC250B" w14:paraId="0DE69A39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707629A8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0028FC0F" w14:textId="06887111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Εκτίμηση ενυπόθηκου ακινήτου στο πλαίσιο αναδιάρθρωσης.</w:t>
            </w:r>
          </w:p>
        </w:tc>
        <w:tc>
          <w:tcPr>
            <w:tcW w:w="2867" w:type="pct"/>
            <w:shd w:val="clear" w:color="auto" w:fill="auto"/>
          </w:tcPr>
          <w:p w14:paraId="3F5A7FD3" w14:textId="1886D525" w:rsidR="00E6036A" w:rsidRPr="00DC250B" w:rsidRDefault="00E6036A" w:rsidP="00075F4A">
            <w:pPr>
              <w:tabs>
                <w:tab w:val="left" w:pos="851"/>
                <w:tab w:val="left" w:pos="1252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ΚΘ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.-(1)</w:t>
            </w:r>
            <w:r w:rsidR="00075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Ανεξαρτήτως των διατάξεων του παρόντος Νόμου και οποιουδήποτε άλλου εν ισχύι Νόμου ή οποιωνδήποτε Κανονισμών εκδιδόμενων κατ’ εξουσιοδότηση Νόμου και υπό την επιφύλαξη του εδαφίου (2),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σε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περίπτωση αναδιάρθρωσης στο πλαίσιο της οποίας το ακίνητο συνιστά κύρια κατοικία ή επαγγελματική στέγη, ως αξία ανταλλαγής ορίζεται η αγοραία αξία που προκύπτει σύμφωνα με τη διαδικασία εκτίμησης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ενυπόθηκου ακινήτου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, όπως αυτή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καθορίζεται στο παρόν Μέρος. </w:t>
            </w:r>
          </w:p>
        </w:tc>
      </w:tr>
      <w:tr w:rsidR="00E6036A" w:rsidRPr="00DC250B" w14:paraId="25D390BA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2328A4DA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6948FD15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3022102E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198EF8BF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30BED083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23520DD4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1DE9487F" w14:textId="5C498FAD" w:rsidR="00E6036A" w:rsidRPr="00DC250B" w:rsidRDefault="00E6036A" w:rsidP="00075F4A">
            <w:pPr>
              <w:tabs>
                <w:tab w:val="left" w:pos="567"/>
                <w:tab w:val="left" w:pos="742"/>
                <w:tab w:val="left" w:pos="1027"/>
                <w:tab w:val="left" w:pos="1167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(2)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75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Οι διατάξεις του παρόντος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Μέρο</w:t>
            </w:r>
            <w:r w:rsidR="00075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υ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ς δεν εφαρμόζ</w:t>
            </w:r>
            <w:r w:rsidR="00075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ον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ται σε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περίπτωση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μεταβίβαση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ς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ακινήτου προς την Κυπριακή Εταιρεία Διαχείρισης Περιουσιακών Στοιχείων Λτδ</w:t>
            </w:r>
            <w:r w:rsidR="00F35F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η οποία φέρει αριθμό εγγραφής ΗΕ387704 στο μητρώο που τηρείται από τον Έφορο Εταιρειών και Διανοητικής Ιδιοκτησίας,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ή θυγατρική της εταιρεία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στο πλαίσιο του 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Σχεδίου </w:t>
            </w:r>
            <w:r w:rsidR="00BA0DEB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“</w:t>
            </w:r>
            <w:r w:rsidR="00075F4A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Ενοίκιο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75F4A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Έναντι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75F4A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Δόσης</w:t>
            </w:r>
            <w:r w:rsidR="00BA0DEB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το οποίο αρχικά εγκρίθηκε με την </w:t>
            </w:r>
            <w:r w:rsidR="00075F4A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υπ’ αριθμό 94.380 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απόφαση του Υπουργικού Συμβουλίου</w:t>
            </w:r>
            <w:r w:rsidR="00075F4A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ημερ</w:t>
            </w:r>
            <w:r w:rsidR="00075F4A"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ομηνίας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 Φεβρουαρίου 2023, ως αυτό εκάστοτε τροποποιείται και εφαρμόζεται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BA0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η οποία μεταβίβαση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αποσκοπεί στην εξόφληση των πιστωτικών διευκολύνσεων ή χορηγήσεων που </w:t>
            </w:r>
            <w:r w:rsidR="00F35F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παραχωρήθηκαν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προς δανειολήπτες από έναν ή περισσότερους ενυπόθηκους δανειστές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ή/και σχετικών οφειλών αυτών</w:t>
            </w:r>
            <w:r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.</w:t>
            </w:r>
          </w:p>
        </w:tc>
      </w:tr>
      <w:tr w:rsidR="00E6036A" w:rsidRPr="00DC250B" w14:paraId="72A6EE66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35237E23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2DAAC89A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0BDE8527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03FB8199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55CF956F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17A4AE79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23C6280F" w14:textId="5F76A24B" w:rsidR="00E6036A" w:rsidRPr="00DC250B" w:rsidRDefault="00075F4A" w:rsidP="00075F4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(3)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Για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τους 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σκοπούς της 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προβλεπόμενης στο εδάφιο (1) 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διαδικασίας εκτίμησης ενυπόθηκου ακινήτου δ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ιορίζονται δύο (2) εκτιμητές, ένας εκ μέρους του ενυπόθηκου δανειστή και ένας εκ μέρους του ενυπόθηκου οφειλέτη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για τη διενέργεια, ταυτόχρονα, ανεξάρτητων εκτιμήσεων του ακινήτου για σκοπούς υπολογισμού της αγοραίας αξίας αυτού, στους οποίους επιδίδονται από τον ενυπόθηκο οφειλέτη και από τον ενυπόθηκο δανειστή ή/και λαμβάνονται από αρμόδια τμήματα ή υπηρεσίες της Δημοκρατίας τα ίδια στοιχεία και πληροφορίες όσον αφορά το ακίνητο:</w:t>
            </w:r>
          </w:p>
        </w:tc>
      </w:tr>
      <w:tr w:rsidR="00E6036A" w:rsidRPr="00DC250B" w14:paraId="3C4AA9AD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4BE52700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3115F674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329C969C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2324762F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26B9E87D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4518D65B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64E43DD1" w14:textId="0864DE00" w:rsidR="00E6036A" w:rsidRPr="00DC250B" w:rsidRDefault="00075F4A" w:rsidP="00BA0DEB">
            <w:pPr>
              <w:tabs>
                <w:tab w:val="left" w:pos="116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Νοείται ότι, ο ενυπόθηκος οφειλέτης δύναται</w:t>
            </w:r>
            <w:r w:rsidR="00C44C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αντί να προβεί στο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διορισμό εκτιμητή σύμφωνα με τα πιο πάνω, να ζητήσει όπως η αξία γενικής εκτίμησης που αφορά ακίνητο, όπως αυτή εκάστοτε ορίζεται στον περί Ακίνητης Ιδιοκτησίας (Διακατοχή, Εγγραφή και Εκτίμηση) Νόμο, είναι η εκτιμημένη αγοραία αξία του εν λόγω ακινήτου:</w:t>
            </w:r>
          </w:p>
        </w:tc>
      </w:tr>
      <w:tr w:rsidR="00E6036A" w:rsidRPr="00DC250B" w14:paraId="03927AD9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43BA3675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59C7FFBE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68AB02AC" w14:textId="5EA37FC6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302A8457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6E03ED30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27AF2BEC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0634BC5A" w14:textId="20A5652B" w:rsidR="00E6036A" w:rsidRPr="00DC250B" w:rsidRDefault="00075F4A" w:rsidP="00BA0DEB">
            <w:pPr>
              <w:tabs>
                <w:tab w:val="left" w:pos="116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Νοείται περαιτέρω ότι, ο ενυπόθηκος οφειλέτης ή/και οποιοδήποτε ενδιαφερόμενο πρόσωπο, καθώς και ο ενυπόθηκος δανειστής συνεργάζονται και διευκολύνουν τον εκτιμητή στην εκτέλεση του έργου του:</w:t>
            </w:r>
          </w:p>
        </w:tc>
      </w:tr>
      <w:tr w:rsidR="00E6036A" w:rsidRPr="00DC250B" w14:paraId="53E7B179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588E5032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66A76E4C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403F352C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16228A68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00485DEA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7347926D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1BC95730" w14:textId="610E109C" w:rsidR="00E6036A" w:rsidRPr="00DC250B" w:rsidRDefault="00CF54E7" w:rsidP="00BA0DEB">
            <w:pPr>
              <w:tabs>
                <w:tab w:val="left" w:pos="116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Νοείται έτι περαιτέρω ότι</w:t>
            </w:r>
            <w:r w:rsidR="00075F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οι δύο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(2)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εκτιμητές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κατά τη διενέργεια των ανεξάρτητων εκτιμήσεών </w:t>
            </w:r>
            <w:r w:rsidR="0066376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τους,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λαμβάνουν υπόψη και την εκάστοτε εκτίμηση του αρμόδιου Επαρχιακού Κτηματολογικού Γραφείου:</w:t>
            </w:r>
          </w:p>
        </w:tc>
      </w:tr>
      <w:tr w:rsidR="00E6036A" w:rsidRPr="00DC250B" w14:paraId="3A16DCBA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162BAA66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2434CF9E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190D9B98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5151B2BA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10D0E3BA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38BD0028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45BBD11A" w14:textId="0EB4CFE3" w:rsidR="00E6036A" w:rsidRPr="00DC250B" w:rsidRDefault="00CF54E7" w:rsidP="00BA0DEB">
            <w:pPr>
              <w:tabs>
                <w:tab w:val="left" w:pos="1168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Νοείται έτι έτι περαιτέρω ότι, τα μέρη καταβάλλουν το κόστος υπηρεσιών του εκτιμητή το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οποίο έκαστος διορίζει.</w:t>
            </w:r>
          </w:p>
        </w:tc>
      </w:tr>
      <w:tr w:rsidR="00E6036A" w:rsidRPr="00DC250B" w14:paraId="731EC5A7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6F37FBFB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51CAC14C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6A6656D9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22D60157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70B0A303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436AAB44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6E392F3C" w14:textId="7BC64E34" w:rsidR="00E6036A" w:rsidRPr="00DC250B" w:rsidRDefault="00CF54E7" w:rsidP="00CF54E7">
            <w:pPr>
              <w:tabs>
                <w:tab w:val="left" w:pos="742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(4)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Οι εκτιμητές, με βάση τις διατάξεις του εδαφίου (3), συντάσσουν εκθέσεις εκτίμησης ταυτόχρονα, ανεξάρτητα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χωρίς να διαβουλεύονται μεταξύ τους και χωρίς να ανακοινώνουν την εκτίμησή τους ο ένας στον άλλο ή σε τρίτο μέρος μέχρι την επίσημη παράδοσή 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τους 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στον ενυπόθηκο δανειστή και στον ενυπόθηκο οφειλέτη.</w:t>
            </w:r>
          </w:p>
        </w:tc>
      </w:tr>
      <w:tr w:rsidR="00E6036A" w:rsidRPr="00DC250B" w14:paraId="6A91D63C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3791225E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55E04C3C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18D97CB4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685C72B4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4976CC39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6D858617" w14:textId="77ACFE5B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367602F6" w14:textId="446DFAB4" w:rsidR="00E6036A" w:rsidRPr="00DC250B" w:rsidRDefault="00CF54E7" w:rsidP="00CF54E7">
            <w:pPr>
              <w:tabs>
                <w:tab w:val="left" w:pos="752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(5)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Σε περίπτωση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κατά την οποία,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η ψηλότερη εκτίμηση με βάση τις εκθέσεις εκτίμησης που αναφέρονται στο εδάφιο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είναι μικρότερη από τη χαμηλότερη εκτίμηση συν το είκοσι πέντε τοις εκατόν (25%) αυτής, τότε ως αγοραία αξία θεωρείται ο μέσος όρος των δύο (2) εκτιμήσεων και η 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εν λόγω 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αγοραία αξία είναι τελική.</w:t>
            </w:r>
          </w:p>
        </w:tc>
      </w:tr>
      <w:tr w:rsidR="00E6036A" w:rsidRPr="00DC250B" w14:paraId="19D0A2A3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3B907AA3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30BD9D53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75495862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279A6D22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76F99880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605C5B03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521C6D50" w14:textId="4A379D83" w:rsidR="00E6036A" w:rsidRPr="00DC250B" w:rsidRDefault="00CF54E7" w:rsidP="0068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(6) Σε περίπτωση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κατά την οποία,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η ψηλότερη εκτίμηση με βάση τις εκθέσεις εκτίμησης που αναφέρονται στο εδάφιο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είναι ίση ή μεγαλύτερη από τη χαμηλότερη εκτίμηση συν το είκοσι πέντε τοις εκατόν (25%) αυτής, ο ενυπόθηκος δανειστής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εντός πέντε (5) ημερών από την ημέρα παραλαβής των εκθέσεων εκτίμησης,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ζητεί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από το Επιστημονικό και Τεχνικό Επιμελητήριο Κύπρου, το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διορισμό τρίτου ανεξάρτητου εκτιμητή εντός δέκα (10) ημερών, ο οποίος, εντός προθεσμίας τριάντα (30) ημερών από το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διορισμό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του</w:t>
            </w:r>
            <w:r w:rsidR="00435B5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ετοιμάζει ανεξάρτητη εκτίμηση του ακινήτου και παραδίδει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ταυτόχρονα</w:t>
            </w:r>
            <w:r w:rsidR="00F06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πιστό αντίγραφο της έκθεσης εκτίμησής του στον ενυπόθηκο δανειστή, στον ενυπόθηκο οφειλέτη και σε οποιοδήποτε άλλο ενδιαφερόμενο πρόσωπο.</w:t>
            </w:r>
          </w:p>
        </w:tc>
      </w:tr>
      <w:tr w:rsidR="00E6036A" w:rsidRPr="00DC250B" w14:paraId="3F927111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54E51662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73988EB5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3EA79F2E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75F4F664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0BC036AC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67FE102A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18BF177E" w14:textId="6801F845" w:rsidR="00E6036A" w:rsidRPr="00DC250B" w:rsidRDefault="00682C13" w:rsidP="00682C13">
            <w:pPr>
              <w:tabs>
                <w:tab w:val="left" w:pos="742"/>
                <w:tab w:val="left" w:pos="1309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(7) Σε περίπτωση διορισμού τρίτου ανεξάρτητου εκτιμητή δυνάμει των διατάξεων του εδαφίου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), ως αγοραία αξία του ακινήτου θεωρείται,  λαμβανομένων υπόψη και των εκτιμήσεων που έχουν ληφθεί δυνάμει των διατάξεων του εδαφίου (3), ο μέσος όρος των δύο πλησιέστερων εκτιμήσεων:</w:t>
            </w:r>
          </w:p>
        </w:tc>
      </w:tr>
      <w:tr w:rsidR="00E6036A" w:rsidRPr="00DC250B" w14:paraId="6A806B36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62D5B548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3B986598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607E5B46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6036A" w:rsidRPr="00DC250B" w14:paraId="203A575A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2D6B65B1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0C29029B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1C55BCD7" w14:textId="5465B985" w:rsidR="00E6036A" w:rsidRPr="00DC250B" w:rsidRDefault="00682C13" w:rsidP="00BA0DEB">
            <w:pPr>
              <w:tabs>
                <w:tab w:val="left" w:pos="1309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="00E6036A" w:rsidRPr="00DC25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Νοείται ότι, σε περίπτωση που οι τρεις (3) εκτιμήσεις διαφέρουν μεταξύ τους ισομερώς, ως αγοραία αξία θεωρείται ο μέσος όρος των τριών εκτιμήσεων.</w:t>
            </w:r>
          </w:p>
        </w:tc>
      </w:tr>
      <w:tr w:rsidR="00E6036A" w:rsidRPr="00DC250B" w14:paraId="00880165" w14:textId="77777777" w:rsidTr="00E6036A">
        <w:trPr>
          <w:trHeight w:val="405"/>
        </w:trPr>
        <w:tc>
          <w:tcPr>
            <w:tcW w:w="1035" w:type="pct"/>
            <w:shd w:val="clear" w:color="auto" w:fill="auto"/>
          </w:tcPr>
          <w:p w14:paraId="241225C2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673F59F1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046A63EC" w14:textId="77777777" w:rsidR="00E6036A" w:rsidRPr="00DC250B" w:rsidRDefault="00E6036A" w:rsidP="00E6036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E6036A" w:rsidRPr="00DC250B" w14:paraId="54E3A931" w14:textId="77777777" w:rsidTr="00E6036A">
        <w:trPr>
          <w:trHeight w:val="1836"/>
        </w:trPr>
        <w:tc>
          <w:tcPr>
            <w:tcW w:w="1035" w:type="pct"/>
            <w:shd w:val="clear" w:color="auto" w:fill="auto"/>
          </w:tcPr>
          <w:p w14:paraId="75684D4A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98" w:type="pct"/>
            <w:shd w:val="clear" w:color="auto" w:fill="auto"/>
          </w:tcPr>
          <w:p w14:paraId="7388B0DC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14:paraId="3C69D5B9" w14:textId="77777777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14:paraId="64F74EF2" w14:textId="77777777" w:rsidR="00E6036A" w:rsidRPr="00DC250B" w:rsidRDefault="00E6036A" w:rsidP="00E6036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  <w:p w14:paraId="3D69F69C" w14:textId="3C933AD1" w:rsidR="00E6036A" w:rsidRPr="00DC250B" w:rsidRDefault="00E6036A" w:rsidP="00E6036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867" w:type="pct"/>
            <w:shd w:val="clear" w:color="auto" w:fill="auto"/>
          </w:tcPr>
          <w:p w14:paraId="252699B6" w14:textId="4A0F861A" w:rsidR="00E6036A" w:rsidRPr="00DC250B" w:rsidRDefault="00682C13" w:rsidP="00E603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6036A" w:rsidRPr="00DC250B">
              <w:rPr>
                <w:rFonts w:ascii="Arial" w:hAnsi="Arial" w:cs="Arial"/>
                <w:sz w:val="24"/>
                <w:szCs w:val="24"/>
              </w:rPr>
              <w:t>(8) Ως αξία ανταλλαγής του</w:t>
            </w:r>
            <w:r w:rsidR="00861438">
              <w:rPr>
                <w:rFonts w:ascii="Arial" w:hAnsi="Arial" w:cs="Arial"/>
                <w:sz w:val="24"/>
                <w:szCs w:val="24"/>
              </w:rPr>
              <w:t xml:space="preserve"> ενυπόθηκου</w:t>
            </w:r>
            <w:r w:rsidR="00E6036A" w:rsidRPr="00DC250B">
              <w:rPr>
                <w:rFonts w:ascii="Arial" w:hAnsi="Arial" w:cs="Arial"/>
                <w:sz w:val="24"/>
                <w:szCs w:val="24"/>
              </w:rPr>
              <w:t xml:space="preserve"> ακινήτου ορίζεται η αγοραία αξία </w:t>
            </w:r>
            <w:r w:rsidR="005A12A8">
              <w:rPr>
                <w:rFonts w:ascii="Arial" w:hAnsi="Arial" w:cs="Arial"/>
                <w:sz w:val="24"/>
                <w:szCs w:val="24"/>
              </w:rPr>
              <w:t xml:space="preserve">αυτού, όπως αυτή καθορίζεται σύμφωνα με τις διατάξεις των εδαφίων (3) </w:t>
            </w:r>
            <w:r w:rsidR="00F062AC">
              <w:rPr>
                <w:rFonts w:ascii="Arial" w:hAnsi="Arial" w:cs="Arial"/>
                <w:sz w:val="24"/>
                <w:szCs w:val="24"/>
              </w:rPr>
              <w:t>έως</w:t>
            </w:r>
            <w:r w:rsidR="005A12A8">
              <w:rPr>
                <w:rFonts w:ascii="Arial" w:hAnsi="Arial" w:cs="Arial"/>
                <w:sz w:val="24"/>
                <w:szCs w:val="24"/>
              </w:rPr>
              <w:t xml:space="preserve"> (7), </w:t>
            </w:r>
            <w:r w:rsidR="00E6036A" w:rsidRPr="00DC250B">
              <w:rPr>
                <w:rFonts w:ascii="Arial" w:hAnsi="Arial" w:cs="Arial"/>
                <w:sz w:val="24"/>
                <w:szCs w:val="24"/>
              </w:rPr>
              <w:t>μείον έξοδα για φόρους, τέλη, χρεώσεις και δικαιώματα απαραίτητα για τη διεκπεραίωση της μεταβίβασης στα οποία υπόκειται ο ενυπόθηκος οφειλέτης και καταβάλλονται από τον ενυπόθηκο δανειστή.».</w:t>
            </w:r>
          </w:p>
        </w:tc>
      </w:tr>
    </w:tbl>
    <w:p w14:paraId="36405A00" w14:textId="4702FDCE" w:rsidR="00F20072" w:rsidRPr="00DC250B" w:rsidRDefault="00F20072" w:rsidP="00DC250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4046AF" w14:textId="4093D057" w:rsidR="008B5A5B" w:rsidRPr="00DC250B" w:rsidRDefault="008B5A5B" w:rsidP="00DC250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AC782B" w14:textId="508AC5F0" w:rsidR="00B97CBC" w:rsidRPr="00DC250B" w:rsidRDefault="00B97CBC" w:rsidP="00DC250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D86A7E" w14:textId="79442327" w:rsidR="00B97CBC" w:rsidRPr="00DC250B" w:rsidRDefault="00B97CBC" w:rsidP="00DC25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250B">
        <w:rPr>
          <w:rFonts w:ascii="Arial" w:hAnsi="Arial" w:cs="Arial"/>
          <w:sz w:val="24"/>
          <w:szCs w:val="24"/>
        </w:rPr>
        <w:t>Αρ. Φακ.: 23.02.063.212-2022</w:t>
      </w:r>
    </w:p>
    <w:p w14:paraId="2B9F5B36" w14:textId="39FB04D4" w:rsidR="008B5A5B" w:rsidRPr="00DC250B" w:rsidRDefault="005A12A8" w:rsidP="00DC250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ΣΧΚ/ΧΓ</w:t>
      </w:r>
    </w:p>
    <w:p w14:paraId="3EDBDBDF" w14:textId="138EBECD" w:rsidR="008B5A5B" w:rsidRPr="00DC250B" w:rsidRDefault="008B5A5B" w:rsidP="00DC250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3A6835" w14:textId="69BC99C2" w:rsidR="008B5A5B" w:rsidRPr="00DC250B" w:rsidRDefault="008B5A5B" w:rsidP="00DC250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AB939C" w14:textId="6BE4641E" w:rsidR="008B5A5B" w:rsidRPr="005A12A8" w:rsidRDefault="008B5A5B" w:rsidP="00DC250B">
      <w:pPr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</w:p>
    <w:sectPr w:rsidR="008B5A5B" w:rsidRPr="005A12A8" w:rsidSect="00DC250B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E706" w14:textId="77777777" w:rsidR="00092228" w:rsidRDefault="00092228" w:rsidP="004D6D19">
      <w:pPr>
        <w:spacing w:after="0" w:line="240" w:lineRule="auto"/>
      </w:pPr>
      <w:r>
        <w:separator/>
      </w:r>
    </w:p>
  </w:endnote>
  <w:endnote w:type="continuationSeparator" w:id="0">
    <w:p w14:paraId="6B6F26A8" w14:textId="77777777" w:rsidR="00092228" w:rsidRDefault="00092228" w:rsidP="004D6D19">
      <w:pPr>
        <w:spacing w:after="0" w:line="240" w:lineRule="auto"/>
      </w:pPr>
      <w:r>
        <w:continuationSeparator/>
      </w:r>
    </w:p>
  </w:endnote>
  <w:endnote w:type="continuationNotice" w:id="1">
    <w:p w14:paraId="64F255B8" w14:textId="77777777" w:rsidR="00092228" w:rsidRDefault="00092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59AE" w14:textId="29F0F5D2" w:rsidR="004D6D19" w:rsidRPr="004D6D19" w:rsidRDefault="004D6D19">
    <w:pPr>
      <w:pStyle w:val="Footer"/>
      <w:jc w:val="right"/>
      <w:rPr>
        <w:rFonts w:ascii="Arial" w:hAnsi="Arial" w:cs="Arial"/>
      </w:rPr>
    </w:pPr>
  </w:p>
  <w:p w14:paraId="5D8E61AB" w14:textId="77777777" w:rsidR="004D6D19" w:rsidRDefault="004D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5E75" w14:textId="77777777" w:rsidR="00092228" w:rsidRDefault="00092228" w:rsidP="004D6D19">
      <w:pPr>
        <w:spacing w:after="0" w:line="240" w:lineRule="auto"/>
      </w:pPr>
      <w:r>
        <w:separator/>
      </w:r>
    </w:p>
  </w:footnote>
  <w:footnote w:type="continuationSeparator" w:id="0">
    <w:p w14:paraId="5ADD0E50" w14:textId="77777777" w:rsidR="00092228" w:rsidRDefault="00092228" w:rsidP="004D6D19">
      <w:pPr>
        <w:spacing w:after="0" w:line="240" w:lineRule="auto"/>
      </w:pPr>
      <w:r>
        <w:continuationSeparator/>
      </w:r>
    </w:p>
  </w:footnote>
  <w:footnote w:type="continuationNotice" w:id="1">
    <w:p w14:paraId="200A49A7" w14:textId="77777777" w:rsidR="00092228" w:rsidRDefault="00092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56714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98312B9" w14:textId="206C35ED" w:rsidR="00F20072" w:rsidRPr="00F20072" w:rsidRDefault="00F2007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F20072">
          <w:rPr>
            <w:rFonts w:ascii="Arial" w:hAnsi="Arial" w:cs="Arial"/>
            <w:sz w:val="24"/>
            <w:szCs w:val="24"/>
          </w:rPr>
          <w:fldChar w:fldCharType="begin"/>
        </w:r>
        <w:r w:rsidRPr="00F2007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0072">
          <w:rPr>
            <w:rFonts w:ascii="Arial" w:hAnsi="Arial" w:cs="Arial"/>
            <w:sz w:val="24"/>
            <w:szCs w:val="24"/>
          </w:rPr>
          <w:fldChar w:fldCharType="separate"/>
        </w:r>
        <w:r w:rsidR="00E4466B">
          <w:rPr>
            <w:rFonts w:ascii="Arial" w:hAnsi="Arial" w:cs="Arial"/>
            <w:noProof/>
            <w:sz w:val="24"/>
            <w:szCs w:val="24"/>
          </w:rPr>
          <w:t>9</w:t>
        </w:r>
        <w:r w:rsidRPr="00F2007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108FF66" w14:textId="77777777" w:rsidR="00CC47A1" w:rsidRDefault="00CC4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843"/>
    <w:multiLevelType w:val="multilevel"/>
    <w:tmpl w:val="044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C6E2C"/>
    <w:multiLevelType w:val="hybridMultilevel"/>
    <w:tmpl w:val="BDB0A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298F"/>
    <w:multiLevelType w:val="hybridMultilevel"/>
    <w:tmpl w:val="86DE6D42"/>
    <w:lvl w:ilvl="0" w:tplc="8FFE6C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2CE3"/>
    <w:multiLevelType w:val="multilevel"/>
    <w:tmpl w:val="77A8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73AB6"/>
    <w:multiLevelType w:val="multilevel"/>
    <w:tmpl w:val="14EE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31608"/>
    <w:multiLevelType w:val="hybridMultilevel"/>
    <w:tmpl w:val="DB34E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53994">
    <w:abstractNumId w:val="0"/>
  </w:num>
  <w:num w:numId="2" w16cid:durableId="1279684294">
    <w:abstractNumId w:val="5"/>
  </w:num>
  <w:num w:numId="3" w16cid:durableId="1458837987">
    <w:abstractNumId w:val="4"/>
  </w:num>
  <w:num w:numId="4" w16cid:durableId="1640525362">
    <w:abstractNumId w:val="3"/>
  </w:num>
  <w:num w:numId="5" w16cid:durableId="1327782299">
    <w:abstractNumId w:val="1"/>
  </w:num>
  <w:num w:numId="6" w16cid:durableId="145289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52"/>
    <w:rsid w:val="000008A1"/>
    <w:rsid w:val="0001759F"/>
    <w:rsid w:val="000266CE"/>
    <w:rsid w:val="0003752A"/>
    <w:rsid w:val="00050E33"/>
    <w:rsid w:val="000749EA"/>
    <w:rsid w:val="00075F4A"/>
    <w:rsid w:val="0007781C"/>
    <w:rsid w:val="00082990"/>
    <w:rsid w:val="00085846"/>
    <w:rsid w:val="000873B6"/>
    <w:rsid w:val="00092228"/>
    <w:rsid w:val="000923D9"/>
    <w:rsid w:val="00093162"/>
    <w:rsid w:val="000A232C"/>
    <w:rsid w:val="000A302C"/>
    <w:rsid w:val="000A54ED"/>
    <w:rsid w:val="000B179B"/>
    <w:rsid w:val="000C6125"/>
    <w:rsid w:val="000D5AA1"/>
    <w:rsid w:val="000D7EDF"/>
    <w:rsid w:val="000E3117"/>
    <w:rsid w:val="000F544A"/>
    <w:rsid w:val="00117047"/>
    <w:rsid w:val="00124567"/>
    <w:rsid w:val="0014179D"/>
    <w:rsid w:val="00143C02"/>
    <w:rsid w:val="00163B48"/>
    <w:rsid w:val="00180E2C"/>
    <w:rsid w:val="00192FE9"/>
    <w:rsid w:val="001A3B82"/>
    <w:rsid w:val="001B3F94"/>
    <w:rsid w:val="001D0CC7"/>
    <w:rsid w:val="001D5446"/>
    <w:rsid w:val="001F4CA8"/>
    <w:rsid w:val="001F606C"/>
    <w:rsid w:val="00210708"/>
    <w:rsid w:val="002116A7"/>
    <w:rsid w:val="00213EDC"/>
    <w:rsid w:val="00216585"/>
    <w:rsid w:val="00216FD1"/>
    <w:rsid w:val="00217FD9"/>
    <w:rsid w:val="0022626F"/>
    <w:rsid w:val="0023697B"/>
    <w:rsid w:val="002469D2"/>
    <w:rsid w:val="0026105A"/>
    <w:rsid w:val="00264143"/>
    <w:rsid w:val="0026549E"/>
    <w:rsid w:val="002708FE"/>
    <w:rsid w:val="002846E7"/>
    <w:rsid w:val="00284A31"/>
    <w:rsid w:val="0029237F"/>
    <w:rsid w:val="00294569"/>
    <w:rsid w:val="002A0DAE"/>
    <w:rsid w:val="002B1B9C"/>
    <w:rsid w:val="002B3944"/>
    <w:rsid w:val="002D3DE1"/>
    <w:rsid w:val="002E1690"/>
    <w:rsid w:val="002E279D"/>
    <w:rsid w:val="002E3912"/>
    <w:rsid w:val="002E54BA"/>
    <w:rsid w:val="002E6297"/>
    <w:rsid w:val="002F30A3"/>
    <w:rsid w:val="002F4D04"/>
    <w:rsid w:val="00310283"/>
    <w:rsid w:val="003121D0"/>
    <w:rsid w:val="00345AA0"/>
    <w:rsid w:val="00346833"/>
    <w:rsid w:val="00350DD1"/>
    <w:rsid w:val="003561E8"/>
    <w:rsid w:val="003604B9"/>
    <w:rsid w:val="00366E2C"/>
    <w:rsid w:val="003724DC"/>
    <w:rsid w:val="00375A87"/>
    <w:rsid w:val="00377ADC"/>
    <w:rsid w:val="00386051"/>
    <w:rsid w:val="00386D16"/>
    <w:rsid w:val="003A0D42"/>
    <w:rsid w:val="003A105B"/>
    <w:rsid w:val="003A2C3E"/>
    <w:rsid w:val="003B19BA"/>
    <w:rsid w:val="003B1C5D"/>
    <w:rsid w:val="003C1472"/>
    <w:rsid w:val="003C1CB8"/>
    <w:rsid w:val="003C4D76"/>
    <w:rsid w:val="003D4409"/>
    <w:rsid w:val="003D666B"/>
    <w:rsid w:val="003D7313"/>
    <w:rsid w:val="003E70A6"/>
    <w:rsid w:val="003F01DE"/>
    <w:rsid w:val="003F7464"/>
    <w:rsid w:val="00400C36"/>
    <w:rsid w:val="004126A0"/>
    <w:rsid w:val="00423983"/>
    <w:rsid w:val="00427A80"/>
    <w:rsid w:val="0043240A"/>
    <w:rsid w:val="00435B51"/>
    <w:rsid w:val="00440AE5"/>
    <w:rsid w:val="0044441B"/>
    <w:rsid w:val="00444B83"/>
    <w:rsid w:val="00450179"/>
    <w:rsid w:val="004579B3"/>
    <w:rsid w:val="004634BE"/>
    <w:rsid w:val="00466B1F"/>
    <w:rsid w:val="00467EC8"/>
    <w:rsid w:val="00471892"/>
    <w:rsid w:val="0048078A"/>
    <w:rsid w:val="00491722"/>
    <w:rsid w:val="00494A2F"/>
    <w:rsid w:val="00496150"/>
    <w:rsid w:val="00496BBF"/>
    <w:rsid w:val="0049701C"/>
    <w:rsid w:val="004D5457"/>
    <w:rsid w:val="004D6D19"/>
    <w:rsid w:val="004E0BB4"/>
    <w:rsid w:val="004E16A3"/>
    <w:rsid w:val="004E744F"/>
    <w:rsid w:val="004F67AC"/>
    <w:rsid w:val="00507126"/>
    <w:rsid w:val="00523F7F"/>
    <w:rsid w:val="00524CA4"/>
    <w:rsid w:val="005413B8"/>
    <w:rsid w:val="005526F0"/>
    <w:rsid w:val="00555007"/>
    <w:rsid w:val="00556C7F"/>
    <w:rsid w:val="0055723D"/>
    <w:rsid w:val="00573CB2"/>
    <w:rsid w:val="00580916"/>
    <w:rsid w:val="0059612D"/>
    <w:rsid w:val="005A12A8"/>
    <w:rsid w:val="005A2FAC"/>
    <w:rsid w:val="0063085C"/>
    <w:rsid w:val="0063517C"/>
    <w:rsid w:val="0065633C"/>
    <w:rsid w:val="00663769"/>
    <w:rsid w:val="00677D35"/>
    <w:rsid w:val="00682C13"/>
    <w:rsid w:val="006940C6"/>
    <w:rsid w:val="006A0711"/>
    <w:rsid w:val="006A1F08"/>
    <w:rsid w:val="006A4BBE"/>
    <w:rsid w:val="006A6EC0"/>
    <w:rsid w:val="006C4A25"/>
    <w:rsid w:val="006D04BE"/>
    <w:rsid w:val="006D4EC4"/>
    <w:rsid w:val="006E4A33"/>
    <w:rsid w:val="006F6370"/>
    <w:rsid w:val="006F6482"/>
    <w:rsid w:val="006F6E9B"/>
    <w:rsid w:val="006F7B4E"/>
    <w:rsid w:val="0070536F"/>
    <w:rsid w:val="00710726"/>
    <w:rsid w:val="00713EB4"/>
    <w:rsid w:val="007216B8"/>
    <w:rsid w:val="00744FA6"/>
    <w:rsid w:val="0076213A"/>
    <w:rsid w:val="00764B75"/>
    <w:rsid w:val="00767C71"/>
    <w:rsid w:val="00781ED9"/>
    <w:rsid w:val="00782F69"/>
    <w:rsid w:val="00783F17"/>
    <w:rsid w:val="00784445"/>
    <w:rsid w:val="0078523A"/>
    <w:rsid w:val="00793D68"/>
    <w:rsid w:val="007A18BD"/>
    <w:rsid w:val="007A6FB5"/>
    <w:rsid w:val="007B68EA"/>
    <w:rsid w:val="007D1380"/>
    <w:rsid w:val="007E40F0"/>
    <w:rsid w:val="007E788F"/>
    <w:rsid w:val="007E7A2B"/>
    <w:rsid w:val="007F0AD5"/>
    <w:rsid w:val="0080581A"/>
    <w:rsid w:val="00820CED"/>
    <w:rsid w:val="00824F47"/>
    <w:rsid w:val="008329D6"/>
    <w:rsid w:val="0083707D"/>
    <w:rsid w:val="00840D1C"/>
    <w:rsid w:val="00851313"/>
    <w:rsid w:val="00856C4E"/>
    <w:rsid w:val="00861438"/>
    <w:rsid w:val="008622A5"/>
    <w:rsid w:val="008906D8"/>
    <w:rsid w:val="00890952"/>
    <w:rsid w:val="00894123"/>
    <w:rsid w:val="008941BD"/>
    <w:rsid w:val="008A30D8"/>
    <w:rsid w:val="008A540F"/>
    <w:rsid w:val="008A6090"/>
    <w:rsid w:val="008B5A5B"/>
    <w:rsid w:val="008E0BC4"/>
    <w:rsid w:val="008F2FE5"/>
    <w:rsid w:val="008F6D2B"/>
    <w:rsid w:val="009060F2"/>
    <w:rsid w:val="00911239"/>
    <w:rsid w:val="009175E9"/>
    <w:rsid w:val="0093231A"/>
    <w:rsid w:val="00934A75"/>
    <w:rsid w:val="009401CF"/>
    <w:rsid w:val="00945C29"/>
    <w:rsid w:val="00947C51"/>
    <w:rsid w:val="0095138B"/>
    <w:rsid w:val="00954040"/>
    <w:rsid w:val="00957CA2"/>
    <w:rsid w:val="0096451F"/>
    <w:rsid w:val="00977875"/>
    <w:rsid w:val="00982DD4"/>
    <w:rsid w:val="009953E7"/>
    <w:rsid w:val="009A1DD1"/>
    <w:rsid w:val="009C0DD9"/>
    <w:rsid w:val="009C6277"/>
    <w:rsid w:val="009D50F8"/>
    <w:rsid w:val="009E74AC"/>
    <w:rsid w:val="009F0945"/>
    <w:rsid w:val="009F1FAF"/>
    <w:rsid w:val="00A00A6E"/>
    <w:rsid w:val="00A03369"/>
    <w:rsid w:val="00A04D0E"/>
    <w:rsid w:val="00A04F4F"/>
    <w:rsid w:val="00A120F2"/>
    <w:rsid w:val="00A336C6"/>
    <w:rsid w:val="00A379F2"/>
    <w:rsid w:val="00A43E5C"/>
    <w:rsid w:val="00A44500"/>
    <w:rsid w:val="00A55F9A"/>
    <w:rsid w:val="00A56E21"/>
    <w:rsid w:val="00A776E9"/>
    <w:rsid w:val="00A776EE"/>
    <w:rsid w:val="00A80798"/>
    <w:rsid w:val="00A82C35"/>
    <w:rsid w:val="00A906BD"/>
    <w:rsid w:val="00AA7727"/>
    <w:rsid w:val="00AC1A16"/>
    <w:rsid w:val="00AD7393"/>
    <w:rsid w:val="00AE7C2E"/>
    <w:rsid w:val="00AF317B"/>
    <w:rsid w:val="00B06C49"/>
    <w:rsid w:val="00B1060F"/>
    <w:rsid w:val="00B1387C"/>
    <w:rsid w:val="00B3141B"/>
    <w:rsid w:val="00B3751A"/>
    <w:rsid w:val="00B412C9"/>
    <w:rsid w:val="00B50AFA"/>
    <w:rsid w:val="00B53C83"/>
    <w:rsid w:val="00B7044E"/>
    <w:rsid w:val="00B70FDD"/>
    <w:rsid w:val="00B77076"/>
    <w:rsid w:val="00B81325"/>
    <w:rsid w:val="00B833C6"/>
    <w:rsid w:val="00B97CBC"/>
    <w:rsid w:val="00BA0694"/>
    <w:rsid w:val="00BA0DEB"/>
    <w:rsid w:val="00BC3FBA"/>
    <w:rsid w:val="00BD03D3"/>
    <w:rsid w:val="00BD1A8F"/>
    <w:rsid w:val="00C0175A"/>
    <w:rsid w:val="00C14D5D"/>
    <w:rsid w:val="00C22165"/>
    <w:rsid w:val="00C241B8"/>
    <w:rsid w:val="00C30CE4"/>
    <w:rsid w:val="00C31CAA"/>
    <w:rsid w:val="00C36552"/>
    <w:rsid w:val="00C44055"/>
    <w:rsid w:val="00C44CF0"/>
    <w:rsid w:val="00C5059A"/>
    <w:rsid w:val="00C66A4D"/>
    <w:rsid w:val="00C76D38"/>
    <w:rsid w:val="00C82D23"/>
    <w:rsid w:val="00C831EC"/>
    <w:rsid w:val="00C9587A"/>
    <w:rsid w:val="00CA1348"/>
    <w:rsid w:val="00CA68B4"/>
    <w:rsid w:val="00CC47A1"/>
    <w:rsid w:val="00CF38B1"/>
    <w:rsid w:val="00CF54E7"/>
    <w:rsid w:val="00D00C46"/>
    <w:rsid w:val="00D02954"/>
    <w:rsid w:val="00D15131"/>
    <w:rsid w:val="00D62A31"/>
    <w:rsid w:val="00D70B50"/>
    <w:rsid w:val="00D71611"/>
    <w:rsid w:val="00D83652"/>
    <w:rsid w:val="00D90A90"/>
    <w:rsid w:val="00DB1BAA"/>
    <w:rsid w:val="00DC250B"/>
    <w:rsid w:val="00DC5FBF"/>
    <w:rsid w:val="00DC7F54"/>
    <w:rsid w:val="00DD08E2"/>
    <w:rsid w:val="00DE3AEF"/>
    <w:rsid w:val="00DF2F34"/>
    <w:rsid w:val="00E221B8"/>
    <w:rsid w:val="00E32ADF"/>
    <w:rsid w:val="00E339E4"/>
    <w:rsid w:val="00E4466B"/>
    <w:rsid w:val="00E50773"/>
    <w:rsid w:val="00E55F91"/>
    <w:rsid w:val="00E6036A"/>
    <w:rsid w:val="00E758F2"/>
    <w:rsid w:val="00E96E92"/>
    <w:rsid w:val="00EB6AC4"/>
    <w:rsid w:val="00EB6B09"/>
    <w:rsid w:val="00EC25B5"/>
    <w:rsid w:val="00EC6879"/>
    <w:rsid w:val="00EC6E4E"/>
    <w:rsid w:val="00ED1876"/>
    <w:rsid w:val="00EE7CC1"/>
    <w:rsid w:val="00EE7EA9"/>
    <w:rsid w:val="00EF7F59"/>
    <w:rsid w:val="00F062AC"/>
    <w:rsid w:val="00F20072"/>
    <w:rsid w:val="00F30F20"/>
    <w:rsid w:val="00F336DE"/>
    <w:rsid w:val="00F35948"/>
    <w:rsid w:val="00F35FB1"/>
    <w:rsid w:val="00F37CB0"/>
    <w:rsid w:val="00F45C84"/>
    <w:rsid w:val="00F474D5"/>
    <w:rsid w:val="00F52507"/>
    <w:rsid w:val="00F5608B"/>
    <w:rsid w:val="00F71D63"/>
    <w:rsid w:val="00F72039"/>
    <w:rsid w:val="00F721F1"/>
    <w:rsid w:val="00F74C28"/>
    <w:rsid w:val="00F851EE"/>
    <w:rsid w:val="00F86AC2"/>
    <w:rsid w:val="00FA51A1"/>
    <w:rsid w:val="00FB7F8B"/>
    <w:rsid w:val="00FC669D"/>
    <w:rsid w:val="00FD7BA3"/>
    <w:rsid w:val="00FE1416"/>
    <w:rsid w:val="00FE54A2"/>
    <w:rsid w:val="00FF031F"/>
    <w:rsid w:val="00FF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CC3B"/>
  <w15:docId w15:val="{993ABA3B-5C46-4A1B-89D7-8349F628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52"/>
    <w:pPr>
      <w:spacing w:after="200" w:line="276" w:lineRule="auto"/>
    </w:pPr>
    <w:rPr>
      <w:rFonts w:ascii="Tahoma" w:eastAsia="Calibri" w:hAnsi="Tahoma"/>
      <w:sz w:val="18"/>
      <w:szCs w:val="22"/>
      <w:lang w:val="el-GR"/>
    </w:rPr>
  </w:style>
  <w:style w:type="paragraph" w:styleId="Heading1">
    <w:name w:val="heading 1"/>
    <w:basedOn w:val="Normal"/>
    <w:link w:val="Heading1Char"/>
    <w:uiPriority w:val="9"/>
    <w:qFormat/>
    <w:rsid w:val="00EB6AC4"/>
    <w:pPr>
      <w:spacing w:before="100" w:after="100" w:line="240" w:lineRule="auto"/>
      <w:ind w:left="300" w:right="300"/>
      <w:outlineLvl w:val="0"/>
    </w:pPr>
    <w:rPr>
      <w:rFonts w:ascii="Times New Roman" w:hAnsi="Times New Roman"/>
      <w:b/>
      <w:bCs/>
      <w:color w:val="757D8D"/>
      <w:kern w:val="36"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B6AC4"/>
    <w:pPr>
      <w:spacing w:before="350" w:after="50" w:line="240" w:lineRule="auto"/>
      <w:ind w:left="350" w:right="350"/>
      <w:outlineLvl w:val="1"/>
    </w:pPr>
    <w:rPr>
      <w:rFonts w:ascii="Times New Roman" w:hAnsi="Times New Roman"/>
      <w:b/>
      <w:bCs/>
      <w:color w:val="3B4662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B6AC4"/>
    <w:pPr>
      <w:spacing w:after="0" w:line="240" w:lineRule="auto"/>
      <w:outlineLvl w:val="2"/>
    </w:pPr>
    <w:rPr>
      <w:rFonts w:ascii="Times New Roman" w:hAnsi="Times New Roman"/>
      <w:b/>
      <w:bCs/>
      <w:sz w:val="19"/>
      <w:szCs w:val="19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AC4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6AC4"/>
    <w:rPr>
      <w:rFonts w:ascii="Times New Roman" w:hAnsi="Times New Roman"/>
      <w:b/>
      <w:bCs/>
      <w:color w:val="757D8D"/>
      <w:kern w:val="36"/>
      <w:sz w:val="26"/>
      <w:szCs w:val="26"/>
      <w:lang w:eastAsia="el-GR"/>
    </w:rPr>
  </w:style>
  <w:style w:type="character" w:customStyle="1" w:styleId="Heading2Char">
    <w:name w:val="Heading 2 Char"/>
    <w:link w:val="Heading2"/>
    <w:uiPriority w:val="9"/>
    <w:rsid w:val="00EB6AC4"/>
    <w:rPr>
      <w:rFonts w:ascii="Times New Roman" w:hAnsi="Times New Roman"/>
      <w:b/>
      <w:bCs/>
      <w:color w:val="3B4662"/>
      <w:lang w:eastAsia="el-GR"/>
    </w:rPr>
  </w:style>
  <w:style w:type="character" w:customStyle="1" w:styleId="Heading3Char">
    <w:name w:val="Heading 3 Char"/>
    <w:link w:val="Heading3"/>
    <w:uiPriority w:val="9"/>
    <w:rsid w:val="00EB6AC4"/>
    <w:rPr>
      <w:rFonts w:ascii="Times New Roman" w:hAnsi="Times New Roman"/>
      <w:b/>
      <w:bCs/>
      <w:sz w:val="19"/>
      <w:szCs w:val="19"/>
      <w:lang w:eastAsia="el-GR"/>
    </w:rPr>
  </w:style>
  <w:style w:type="character" w:customStyle="1" w:styleId="Heading4Char">
    <w:name w:val="Heading 4 Char"/>
    <w:link w:val="Heading4"/>
    <w:uiPriority w:val="9"/>
    <w:rsid w:val="00EB6AC4"/>
    <w:rPr>
      <w:rFonts w:ascii="Cambria" w:hAnsi="Cambria"/>
      <w:i/>
      <w:iCs/>
      <w:color w:val="365F9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AC4"/>
    <w:pPr>
      <w:numPr>
        <w:ilvl w:val="1"/>
      </w:numPr>
      <w:spacing w:after="160"/>
    </w:pPr>
    <w:rPr>
      <w:color w:val="5A5A5A"/>
      <w:spacing w:val="15"/>
      <w:sz w:val="20"/>
      <w:szCs w:val="20"/>
      <w:lang w:val="en-US"/>
    </w:rPr>
  </w:style>
  <w:style w:type="character" w:customStyle="1" w:styleId="SubtitleChar">
    <w:name w:val="Subtitle Char"/>
    <w:link w:val="Subtitle"/>
    <w:uiPriority w:val="11"/>
    <w:rsid w:val="00EB6AC4"/>
    <w:rPr>
      <w:color w:val="5A5A5A"/>
      <w:spacing w:val="15"/>
    </w:rPr>
  </w:style>
  <w:style w:type="character" w:styleId="Strong">
    <w:name w:val="Strong"/>
    <w:uiPriority w:val="22"/>
    <w:qFormat/>
    <w:rsid w:val="00EB6AC4"/>
    <w:rPr>
      <w:b/>
      <w:bCs/>
    </w:rPr>
  </w:style>
  <w:style w:type="character" w:styleId="Emphasis">
    <w:name w:val="Emphasis"/>
    <w:uiPriority w:val="20"/>
    <w:qFormat/>
    <w:rsid w:val="00EB6AC4"/>
    <w:rPr>
      <w:i/>
      <w:iCs/>
    </w:rPr>
  </w:style>
  <w:style w:type="paragraph" w:styleId="ListParagraph">
    <w:name w:val="List Paragraph"/>
    <w:basedOn w:val="Normal"/>
    <w:uiPriority w:val="34"/>
    <w:qFormat/>
    <w:rsid w:val="00EB6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D19"/>
    <w:rPr>
      <w:rFonts w:ascii="Tahoma" w:eastAsia="Calibri" w:hAnsi="Tahoma"/>
      <w:sz w:val="18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4D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D19"/>
    <w:rPr>
      <w:rFonts w:ascii="Tahoma" w:eastAsia="Calibri" w:hAnsi="Tahoma"/>
      <w:sz w:val="18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19"/>
    <w:rPr>
      <w:rFonts w:ascii="Segoe UI" w:eastAsia="Calibri" w:hAnsi="Segoe UI" w:cs="Segoe UI"/>
      <w:sz w:val="18"/>
      <w:szCs w:val="18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49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150"/>
    <w:rPr>
      <w:rFonts w:ascii="Tahoma" w:eastAsia="Calibri" w:hAnsi="Tahoma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50"/>
    <w:rPr>
      <w:rFonts w:ascii="Tahoma" w:eastAsia="Calibri" w:hAnsi="Tahoma"/>
      <w:b/>
      <w:bCs/>
      <w:lang w:val="el-GR"/>
    </w:rPr>
  </w:style>
  <w:style w:type="paragraph" w:styleId="NoSpacing">
    <w:name w:val="No Spacing"/>
    <w:uiPriority w:val="1"/>
    <w:qFormat/>
    <w:rsid w:val="008B5A5B"/>
    <w:pPr>
      <w:jc w:val="both"/>
    </w:pPr>
    <w:rPr>
      <w:rFonts w:ascii="Arial" w:eastAsiaTheme="minorHAnsi" w:hAnsi="Arial" w:cstheme="minorBidi"/>
      <w:sz w:val="24"/>
      <w:szCs w:val="22"/>
    </w:rPr>
  </w:style>
  <w:style w:type="paragraph" w:styleId="Revision">
    <w:name w:val="Revision"/>
    <w:hidden/>
    <w:uiPriority w:val="99"/>
    <w:semiHidden/>
    <w:rsid w:val="00210708"/>
    <w:rPr>
      <w:rFonts w:ascii="Tahoma" w:eastAsia="Calibri" w:hAnsi="Tahoma"/>
      <w:sz w:val="18"/>
      <w:szCs w:val="22"/>
      <w:lang w:val="el-GR"/>
    </w:rPr>
  </w:style>
  <w:style w:type="paragraph" w:customStyle="1" w:styleId="indent1">
    <w:name w:val="indent1"/>
    <w:basedOn w:val="Normal"/>
    <w:rsid w:val="0008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A68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4A7D-C193-4F99-81BF-1DD65343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PANTELIDOU DESPINA</dc:creator>
  <cp:lastModifiedBy>ASSIOTOU CHRYSTALLA</cp:lastModifiedBy>
  <cp:revision>13</cp:revision>
  <cp:lastPrinted>2023-07-05T09:29:00Z</cp:lastPrinted>
  <dcterms:created xsi:type="dcterms:W3CDTF">2023-07-03T11:31:00Z</dcterms:created>
  <dcterms:modified xsi:type="dcterms:W3CDTF">2023-07-05T11:00:00Z</dcterms:modified>
</cp:coreProperties>
</file>