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A9C9" w14:textId="1E72171B" w:rsidR="00E44B06" w:rsidRPr="007D4357" w:rsidRDefault="006D2352">
      <w:pPr>
        <w:tabs>
          <w:tab w:val="left" w:pos="-108"/>
        </w:tabs>
        <w:spacing w:line="360" w:lineRule="auto"/>
        <w:ind w:left="0" w:hanging="2"/>
        <w:jc w:val="center"/>
        <w:rPr>
          <w:lang w:val="el-GR"/>
        </w:rPr>
      </w:pPr>
      <w:bookmarkStart w:id="0" w:name="_Hlk119566810"/>
      <w:r w:rsidRPr="007D4357">
        <w:rPr>
          <w:lang w:val="el-GR"/>
        </w:rPr>
        <w:t>ΝΟΜΟ</w:t>
      </w:r>
      <w:r w:rsidR="007520BF" w:rsidRPr="007D4357">
        <w:rPr>
          <w:lang w:val="el-GR"/>
        </w:rPr>
        <w:t>Σ</w:t>
      </w:r>
      <w:r w:rsidRPr="007D4357">
        <w:rPr>
          <w:lang w:val="el-GR"/>
        </w:rPr>
        <w:t xml:space="preserve"> ΠΟΥ ΤΡΟΠΟΠΟΙΕΙ </w:t>
      </w:r>
      <w:r w:rsidR="00831D13" w:rsidRPr="007D4357">
        <w:rPr>
          <w:lang w:val="el-GR"/>
        </w:rPr>
        <w:t xml:space="preserve">ΤΟΥΣ </w:t>
      </w:r>
      <w:r w:rsidRPr="007D4357">
        <w:rPr>
          <w:lang w:val="el-GR"/>
        </w:rPr>
        <w:t xml:space="preserve">ΠΕΡΙ ΕΚΤΑΚΤΗΣ ΕΙΣΦΟΡΑΣ ΓΙΑ ΤΗΝ ΑΜΥΝΑ ΤΗΣ ΔΗΜΟΚΡΑΤΙΑΣ ΝΟΜΟΥΣ ΤΟΥ 2002 </w:t>
      </w:r>
      <w:r w:rsidR="00831D13" w:rsidRPr="007D4357">
        <w:rPr>
          <w:lang w:val="el-GR"/>
        </w:rPr>
        <w:t>ΕΩΣ</w:t>
      </w:r>
      <w:r w:rsidRPr="007D4357">
        <w:rPr>
          <w:lang w:val="el-GR"/>
        </w:rPr>
        <w:t xml:space="preserve"> </w:t>
      </w:r>
      <w:r w:rsidR="00132DCE" w:rsidRPr="007D4357">
        <w:rPr>
          <w:lang w:val="el-GR"/>
        </w:rPr>
        <w:t xml:space="preserve">(ΑΡ. 2) ΤΟΥ </w:t>
      </w:r>
      <w:r w:rsidRPr="007D4357">
        <w:rPr>
          <w:lang w:val="el-GR"/>
        </w:rPr>
        <w:t>202</w:t>
      </w:r>
      <w:r w:rsidR="00BD49E0" w:rsidRPr="007D4357">
        <w:rPr>
          <w:lang w:val="el-GR"/>
        </w:rPr>
        <w:t>2</w:t>
      </w:r>
    </w:p>
    <w:bookmarkEnd w:id="0"/>
    <w:p w14:paraId="429B346C" w14:textId="77777777" w:rsidR="00E44B06" w:rsidRPr="00831D13" w:rsidRDefault="00E44B06">
      <w:pPr>
        <w:spacing w:line="360" w:lineRule="auto"/>
        <w:ind w:left="0" w:hanging="2"/>
        <w:rPr>
          <w:lang w:val="el-GR"/>
        </w:rPr>
      </w:pPr>
    </w:p>
    <w:tbl>
      <w:tblPr>
        <w:tblStyle w:val="a"/>
        <w:tblW w:w="954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993"/>
        <w:gridCol w:w="6421"/>
      </w:tblGrid>
      <w:tr w:rsidR="007520BF" w:rsidRPr="007D4357" w14:paraId="49E4A190" w14:textId="77777777" w:rsidTr="007520BF">
        <w:trPr>
          <w:trHeight w:val="461"/>
        </w:trPr>
        <w:tc>
          <w:tcPr>
            <w:tcW w:w="2126" w:type="dxa"/>
            <w:gridSpan w:val="2"/>
          </w:tcPr>
          <w:p w14:paraId="7CEFC33B" w14:textId="77777777" w:rsidR="007520BF" w:rsidRPr="00831D13" w:rsidRDefault="007520BF" w:rsidP="008A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right="-13" w:hanging="2"/>
              <w:jc w:val="left"/>
              <w:rPr>
                <w:color w:val="000000"/>
                <w:lang w:val="el-GR"/>
              </w:rPr>
            </w:pPr>
          </w:p>
        </w:tc>
        <w:tc>
          <w:tcPr>
            <w:tcW w:w="7414" w:type="dxa"/>
            <w:gridSpan w:val="2"/>
          </w:tcPr>
          <w:p w14:paraId="1521B9E1" w14:textId="76B9B769" w:rsidR="007520BF" w:rsidRPr="005C0B68" w:rsidRDefault="007520BF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  <w:tab w:val="clear" w:pos="4961"/>
                <w:tab w:val="left" w:pos="510"/>
              </w:tabs>
              <w:spacing w:line="360" w:lineRule="auto"/>
              <w:ind w:left="0" w:hanging="2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ab/>
            </w:r>
            <w:r>
              <w:rPr>
                <w:color w:val="000000"/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7520BF" w:rsidRPr="007D4357" w14:paraId="66280FA5" w14:textId="77777777" w:rsidTr="007520BF">
        <w:trPr>
          <w:trHeight w:val="425"/>
        </w:trPr>
        <w:tc>
          <w:tcPr>
            <w:tcW w:w="2126" w:type="dxa"/>
            <w:gridSpan w:val="2"/>
          </w:tcPr>
          <w:p w14:paraId="3307C6E0" w14:textId="77777777" w:rsidR="007520BF" w:rsidRPr="00831D13" w:rsidRDefault="007520BF" w:rsidP="008A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right="-13" w:hanging="2"/>
              <w:jc w:val="left"/>
              <w:rPr>
                <w:color w:val="000000"/>
                <w:lang w:val="el-GR"/>
              </w:rPr>
            </w:pPr>
          </w:p>
        </w:tc>
        <w:tc>
          <w:tcPr>
            <w:tcW w:w="7414" w:type="dxa"/>
            <w:gridSpan w:val="2"/>
          </w:tcPr>
          <w:p w14:paraId="4C6552D8" w14:textId="77777777" w:rsidR="007520BF" w:rsidRPr="005C0B68" w:rsidRDefault="007520BF" w:rsidP="007520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el-GR"/>
              </w:rPr>
            </w:pPr>
          </w:p>
        </w:tc>
      </w:tr>
      <w:tr w:rsidR="00E44B06" w:rsidRPr="007D4357" w14:paraId="7A9EBE36" w14:textId="77777777" w:rsidTr="00BA4063">
        <w:trPr>
          <w:trHeight w:val="1330"/>
        </w:trPr>
        <w:tc>
          <w:tcPr>
            <w:tcW w:w="2126" w:type="dxa"/>
            <w:gridSpan w:val="2"/>
          </w:tcPr>
          <w:p w14:paraId="5736FA1C" w14:textId="77777777" w:rsidR="00E44B06" w:rsidRPr="00831D13" w:rsidRDefault="006D2352" w:rsidP="008A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right="-13" w:hanging="2"/>
              <w:jc w:val="lef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 xml:space="preserve">Συνοπτικός </w:t>
            </w:r>
          </w:p>
          <w:p w14:paraId="7325ED12" w14:textId="77777777" w:rsidR="00E44B06" w:rsidRPr="00831D13" w:rsidRDefault="006D2352" w:rsidP="008A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right="-13" w:hanging="2"/>
              <w:jc w:val="lef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τίτλος.</w:t>
            </w:r>
          </w:p>
          <w:p w14:paraId="1104B0C5" w14:textId="77777777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117(Ι) του 2002</w:t>
            </w:r>
          </w:p>
          <w:p w14:paraId="7BFE3853" w14:textId="77777777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223(Ι) του 2002</w:t>
            </w:r>
          </w:p>
          <w:p w14:paraId="62C3C249" w14:textId="77777777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188(Ι) του 2003</w:t>
            </w:r>
          </w:p>
          <w:p w14:paraId="0B01475C" w14:textId="77777777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178(Ι) του 2007</w:t>
            </w:r>
          </w:p>
          <w:p w14:paraId="4B1B49EC" w14:textId="46A44CD7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23(Ι) του 2009</w:t>
            </w:r>
          </w:p>
          <w:p w14:paraId="70EFB0BB" w14:textId="2824AF38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44(Ι) του 2009</w:t>
            </w:r>
          </w:p>
          <w:p w14:paraId="365BF982" w14:textId="2262CC64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75(Ι) του 2009</w:t>
            </w:r>
          </w:p>
          <w:p w14:paraId="017FC892" w14:textId="77777777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111(Ι) του 2009</w:t>
            </w:r>
          </w:p>
          <w:p w14:paraId="1E3E4270" w14:textId="4347D206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40(Ι) του 2010</w:t>
            </w:r>
          </w:p>
          <w:p w14:paraId="55877B69" w14:textId="77777777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132(Ι) του 2010</w:t>
            </w:r>
          </w:p>
          <w:p w14:paraId="49963D61" w14:textId="77777777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114(Ι) του 2011</w:t>
            </w:r>
          </w:p>
          <w:p w14:paraId="23BD864F" w14:textId="77777777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190(Ι) του 2011</w:t>
            </w:r>
          </w:p>
          <w:p w14:paraId="38D656E5" w14:textId="355104C6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72(Ι) του 2012</w:t>
            </w:r>
          </w:p>
          <w:p w14:paraId="11D07300" w14:textId="0030FC8C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29(Ι) του 2013</w:t>
            </w:r>
          </w:p>
          <w:p w14:paraId="04D87862" w14:textId="77777777" w:rsidR="00E44B06" w:rsidRPr="00831D13" w:rsidRDefault="006D2352" w:rsidP="00752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119(Ι) του 2015</w:t>
            </w:r>
          </w:p>
          <w:p w14:paraId="7F8EEF9C" w14:textId="77777777" w:rsidR="00E44B06" w:rsidRPr="00831D13" w:rsidRDefault="006D2352" w:rsidP="007520BF">
            <w:pP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208(Ι) του 2015</w:t>
            </w:r>
          </w:p>
          <w:p w14:paraId="298B33BA" w14:textId="77777777" w:rsidR="00E44B06" w:rsidRPr="00831D13" w:rsidRDefault="006D2352" w:rsidP="007520BF">
            <w:pP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209(Ι) του 2015</w:t>
            </w:r>
          </w:p>
          <w:p w14:paraId="5C4C2A61" w14:textId="77777777" w:rsidR="00E44B06" w:rsidRPr="00831D13" w:rsidRDefault="006D2352" w:rsidP="007520BF">
            <w:pP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68(Ι) του 2016</w:t>
            </w:r>
          </w:p>
          <w:p w14:paraId="7102B3D6" w14:textId="77777777" w:rsidR="00E44B06" w:rsidRPr="00831D13" w:rsidRDefault="006D2352" w:rsidP="007520BF">
            <w:pP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106(Ι) του 2017</w:t>
            </w:r>
          </w:p>
          <w:p w14:paraId="0FBA0877" w14:textId="77777777" w:rsidR="00E44B06" w:rsidRPr="00831D13" w:rsidRDefault="006D2352" w:rsidP="007520BF">
            <w:pP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131(Ι) του 2017</w:t>
            </w:r>
          </w:p>
          <w:p w14:paraId="6EE36A1C" w14:textId="47D76781" w:rsidR="00E44B06" w:rsidRPr="00831D13" w:rsidRDefault="006D2352" w:rsidP="007343E1">
            <w:pPr>
              <w:tabs>
                <w:tab w:val="right" w:pos="1560"/>
              </w:tabs>
              <w:spacing w:line="360" w:lineRule="auto"/>
              <w:ind w:leftChars="0" w:left="2" w:right="102" w:hanging="2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 xml:space="preserve">98(I) του 2018 </w:t>
            </w:r>
          </w:p>
          <w:p w14:paraId="256AACCF" w14:textId="77777777" w:rsidR="00E44B06" w:rsidRPr="00831D13" w:rsidRDefault="006D2352" w:rsidP="007343E1">
            <w:pPr>
              <w:tabs>
                <w:tab w:val="right" w:pos="1560"/>
              </w:tabs>
              <w:spacing w:line="360" w:lineRule="auto"/>
              <w:ind w:leftChars="0" w:left="2" w:right="102" w:hanging="2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 xml:space="preserve">118(I) του 2018 </w:t>
            </w:r>
          </w:p>
          <w:p w14:paraId="087445C3" w14:textId="2DAAAA56" w:rsidR="00E44B06" w:rsidRPr="00831D13" w:rsidRDefault="006D2352" w:rsidP="007343E1">
            <w:pPr>
              <w:tabs>
                <w:tab w:val="right" w:pos="1560"/>
              </w:tabs>
              <w:spacing w:line="360" w:lineRule="auto"/>
              <w:ind w:leftChars="0" w:left="2" w:right="102" w:hanging="2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 xml:space="preserve">25(I) του 2019 </w:t>
            </w:r>
          </w:p>
          <w:p w14:paraId="6FA50508" w14:textId="0755835B" w:rsidR="00E44B06" w:rsidRPr="00831D13" w:rsidRDefault="006D2352" w:rsidP="007343E1">
            <w:pPr>
              <w:spacing w:line="360" w:lineRule="auto"/>
              <w:ind w:leftChars="0" w:left="2" w:right="102" w:hanging="2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87(I) του 2019</w:t>
            </w:r>
          </w:p>
          <w:p w14:paraId="28BEF0C7" w14:textId="77777777" w:rsidR="00E44B06" w:rsidRPr="00831D13" w:rsidRDefault="006D2352" w:rsidP="007343E1">
            <w:pPr>
              <w:spacing w:line="360" w:lineRule="auto"/>
              <w:ind w:leftChars="0" w:left="2" w:right="102" w:hanging="2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155(Ι) του 2019</w:t>
            </w:r>
          </w:p>
          <w:p w14:paraId="4027D949" w14:textId="77777777" w:rsidR="00E44B06" w:rsidRPr="00831D13" w:rsidRDefault="006D2352" w:rsidP="007343E1">
            <w:pPr>
              <w:spacing w:line="360" w:lineRule="auto"/>
              <w:ind w:leftChars="0" w:left="2" w:right="102" w:hanging="2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172(Ι) του 2019</w:t>
            </w:r>
          </w:p>
          <w:p w14:paraId="53C79AF0" w14:textId="77777777" w:rsidR="00E44B06" w:rsidRPr="00831D13" w:rsidRDefault="006D2352" w:rsidP="007343E1">
            <w:pPr>
              <w:spacing w:line="360" w:lineRule="auto"/>
              <w:ind w:leftChars="0" w:left="2" w:right="102" w:hanging="2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184(Ι) του 2020</w:t>
            </w:r>
          </w:p>
          <w:p w14:paraId="2B8FC5BA" w14:textId="77777777" w:rsidR="00BD49E0" w:rsidRPr="00831D13" w:rsidRDefault="00BD49E0" w:rsidP="007343E1">
            <w:pPr>
              <w:spacing w:line="360" w:lineRule="auto"/>
              <w:ind w:leftChars="0" w:left="2" w:right="102" w:hanging="2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lastRenderedPageBreak/>
              <w:t>6(I) του 2021</w:t>
            </w:r>
          </w:p>
          <w:p w14:paraId="45A1308F" w14:textId="77777777" w:rsidR="00BD49E0" w:rsidRPr="00831D13" w:rsidRDefault="00BD49E0" w:rsidP="007343E1">
            <w:pPr>
              <w:spacing w:line="360" w:lineRule="auto"/>
              <w:ind w:leftChars="0" w:left="2" w:right="102" w:hanging="2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32(I) του 2021</w:t>
            </w:r>
          </w:p>
          <w:p w14:paraId="53D0BC6F" w14:textId="77777777" w:rsidR="00BD49E0" w:rsidRPr="00831D13" w:rsidRDefault="00BD49E0" w:rsidP="007343E1">
            <w:pPr>
              <w:spacing w:line="360" w:lineRule="auto"/>
              <w:ind w:leftChars="0" w:left="2" w:right="102" w:hanging="2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177(I) του 2021</w:t>
            </w:r>
          </w:p>
          <w:p w14:paraId="09D9CA0A" w14:textId="77777777" w:rsidR="00BD49E0" w:rsidRPr="00831D13" w:rsidRDefault="00BD49E0" w:rsidP="007343E1">
            <w:pPr>
              <w:spacing w:line="360" w:lineRule="auto"/>
              <w:ind w:leftChars="0" w:left="2" w:right="102" w:hanging="2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195(I) του 2021</w:t>
            </w:r>
          </w:p>
          <w:p w14:paraId="0328A1B3" w14:textId="77777777" w:rsidR="00132DCE" w:rsidRDefault="00BD49E0" w:rsidP="007343E1">
            <w:pPr>
              <w:spacing w:line="360" w:lineRule="auto"/>
              <w:ind w:leftChars="0" w:left="2" w:right="102" w:hanging="2"/>
              <w:jc w:val="right"/>
              <w:rPr>
                <w:color w:val="000000"/>
                <w:lang w:val="el-GR"/>
              </w:rPr>
            </w:pPr>
            <w:r w:rsidRPr="00831D13">
              <w:rPr>
                <w:color w:val="000000"/>
                <w:lang w:val="el-GR"/>
              </w:rPr>
              <w:t>78(I) του 2022</w:t>
            </w:r>
          </w:p>
          <w:p w14:paraId="48D00F1E" w14:textId="77777777" w:rsidR="00BD49E0" w:rsidRPr="00831D13" w:rsidRDefault="00132DCE" w:rsidP="007520BF">
            <w:pPr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198(Ι) του 2022</w:t>
            </w:r>
            <w:r w:rsidR="00BD49E0" w:rsidRPr="00831D13">
              <w:rPr>
                <w:color w:val="000000"/>
                <w:lang w:val="el-GR"/>
              </w:rPr>
              <w:t>.</w:t>
            </w:r>
          </w:p>
        </w:tc>
        <w:tc>
          <w:tcPr>
            <w:tcW w:w="7414" w:type="dxa"/>
            <w:gridSpan w:val="2"/>
          </w:tcPr>
          <w:p w14:paraId="70E0C97D" w14:textId="453A1CEE" w:rsidR="00E44B06" w:rsidRPr="005C0B68" w:rsidRDefault="006D2352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  <w:tab w:val="clear" w:pos="4961"/>
                <w:tab w:val="left" w:pos="510"/>
              </w:tabs>
              <w:spacing w:line="360" w:lineRule="auto"/>
              <w:ind w:left="0" w:hanging="2"/>
              <w:rPr>
                <w:color w:val="000000"/>
                <w:lang w:val="el-GR"/>
              </w:rPr>
            </w:pPr>
            <w:r w:rsidRPr="005C0B68">
              <w:rPr>
                <w:color w:val="000000"/>
                <w:lang w:val="el-GR"/>
              </w:rPr>
              <w:lastRenderedPageBreak/>
              <w:t>1.</w:t>
            </w:r>
            <w:r w:rsidR="007343E1">
              <w:rPr>
                <w:color w:val="000000"/>
                <w:lang w:val="el-GR"/>
              </w:rPr>
              <w:tab/>
              <w:t>Ο</w:t>
            </w:r>
            <w:r w:rsidRPr="005C0B68">
              <w:rPr>
                <w:color w:val="000000"/>
                <w:lang w:val="el-GR"/>
              </w:rPr>
              <w:t xml:space="preserve"> παρών Νόμος θα αναφέρεται ως ο περί Έκτακτης Εισφοράς για την Άμυνα της Δημοκρατίας (Τροποποιητικός)</w:t>
            </w:r>
            <w:r w:rsidR="00BD49E0">
              <w:rPr>
                <w:color w:val="000000"/>
                <w:lang w:val="el-GR"/>
              </w:rPr>
              <w:t xml:space="preserve"> </w:t>
            </w:r>
            <w:r w:rsidRPr="005C0B68">
              <w:rPr>
                <w:color w:val="000000"/>
                <w:lang w:val="el-GR"/>
              </w:rPr>
              <w:t>Νόμος του 202</w:t>
            </w:r>
            <w:r w:rsidR="007520BF">
              <w:rPr>
                <w:color w:val="000000"/>
                <w:lang w:val="el-GR"/>
              </w:rPr>
              <w:t>3</w:t>
            </w:r>
            <w:r w:rsidRPr="005C0B68">
              <w:rPr>
                <w:color w:val="000000"/>
                <w:lang w:val="el-GR"/>
              </w:rPr>
              <w:t xml:space="preserve"> και θα διαβάζεται μαζί με τους περί Έκτακτης Εισφοράς για την Άμυνα της Δημοκρατίας Νόμους του 2002 </w:t>
            </w:r>
            <w:r w:rsidR="00831D13">
              <w:rPr>
                <w:color w:val="000000"/>
                <w:lang w:val="el-GR"/>
              </w:rPr>
              <w:t>έως</w:t>
            </w:r>
            <w:r w:rsidRPr="005C0B68">
              <w:rPr>
                <w:color w:val="000000"/>
                <w:lang w:val="el-GR"/>
              </w:rPr>
              <w:t xml:space="preserve"> </w:t>
            </w:r>
            <w:r w:rsidR="00132DCE">
              <w:rPr>
                <w:color w:val="000000"/>
                <w:lang w:val="el-GR"/>
              </w:rPr>
              <w:t xml:space="preserve">(Αρ. 2) του </w:t>
            </w:r>
            <w:r w:rsidRPr="005C0B68">
              <w:rPr>
                <w:color w:val="000000"/>
                <w:lang w:val="el-GR"/>
              </w:rPr>
              <w:t>202</w:t>
            </w:r>
            <w:r w:rsidR="00BD49E0">
              <w:rPr>
                <w:color w:val="000000"/>
                <w:lang w:val="el-GR"/>
              </w:rPr>
              <w:t>2</w:t>
            </w:r>
            <w:r w:rsidRPr="005C0B68">
              <w:rPr>
                <w:color w:val="000000"/>
                <w:lang w:val="el-GR"/>
              </w:rPr>
              <w:t xml:space="preserve"> (που στο εξής θα αναφέρονται ως «ο βασικός νόμος») και ο βασικός νόμος και ο παρών Νόμος θα αναφέρονται μαζί ως οι περί Έκτακτης Εισφοράς για την Άμυνα της Δημοκρατίας Νόμοι του 2002 </w:t>
            </w:r>
            <w:r w:rsidR="00831D13">
              <w:rPr>
                <w:color w:val="000000"/>
                <w:lang w:val="el-GR"/>
              </w:rPr>
              <w:t>έως</w:t>
            </w:r>
            <w:r w:rsidRPr="005C0B68">
              <w:rPr>
                <w:color w:val="000000"/>
                <w:lang w:val="el-GR"/>
              </w:rPr>
              <w:t xml:space="preserve"> 202</w:t>
            </w:r>
            <w:r w:rsidR="007520BF">
              <w:rPr>
                <w:color w:val="000000"/>
                <w:lang w:val="el-GR"/>
              </w:rPr>
              <w:t>3</w:t>
            </w:r>
            <w:r w:rsidRPr="005C0B68">
              <w:rPr>
                <w:color w:val="000000"/>
                <w:lang w:val="el-GR"/>
              </w:rPr>
              <w:t>.</w:t>
            </w:r>
          </w:p>
        </w:tc>
      </w:tr>
      <w:tr w:rsidR="00E44B06" w:rsidRPr="007D4357" w14:paraId="63E7E9F0" w14:textId="77777777" w:rsidTr="00BA4063">
        <w:trPr>
          <w:trHeight w:val="80"/>
        </w:trPr>
        <w:tc>
          <w:tcPr>
            <w:tcW w:w="2126" w:type="dxa"/>
            <w:gridSpan w:val="2"/>
          </w:tcPr>
          <w:p w14:paraId="36F41CEC" w14:textId="77777777" w:rsidR="00E44B06" w:rsidRPr="00831D13" w:rsidRDefault="00E44B06" w:rsidP="008A7747">
            <w:pPr>
              <w:spacing w:line="360" w:lineRule="auto"/>
              <w:ind w:leftChars="0" w:left="2" w:right="72" w:hanging="2"/>
              <w:jc w:val="left"/>
              <w:rPr>
                <w:lang w:val="el-GR"/>
              </w:rPr>
            </w:pPr>
          </w:p>
        </w:tc>
        <w:tc>
          <w:tcPr>
            <w:tcW w:w="7414" w:type="dxa"/>
            <w:gridSpan w:val="2"/>
          </w:tcPr>
          <w:p w14:paraId="4E065496" w14:textId="77777777" w:rsidR="00E44B06" w:rsidRPr="005C0B68" w:rsidRDefault="00E44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el-GR"/>
              </w:rPr>
            </w:pPr>
          </w:p>
        </w:tc>
      </w:tr>
      <w:tr w:rsidR="00E44B06" w:rsidRPr="007D4357" w14:paraId="69719CD7" w14:textId="77777777" w:rsidTr="00BA4063">
        <w:trPr>
          <w:trHeight w:val="1192"/>
        </w:trPr>
        <w:tc>
          <w:tcPr>
            <w:tcW w:w="2126" w:type="dxa"/>
            <w:gridSpan w:val="2"/>
          </w:tcPr>
          <w:p w14:paraId="53068829" w14:textId="77777777" w:rsidR="00E44B06" w:rsidRPr="00831D13" w:rsidRDefault="006D2352" w:rsidP="008A7747">
            <w:pPr>
              <w:tabs>
                <w:tab w:val="left" w:pos="0"/>
              </w:tabs>
              <w:spacing w:line="360" w:lineRule="auto"/>
              <w:ind w:leftChars="0" w:left="2" w:right="72" w:hanging="2"/>
              <w:jc w:val="left"/>
              <w:rPr>
                <w:lang w:val="el-GR"/>
              </w:rPr>
            </w:pPr>
            <w:r w:rsidRPr="00831D13">
              <w:rPr>
                <w:lang w:val="el-GR"/>
              </w:rPr>
              <w:t xml:space="preserve">Τροποποίηση του άρθρου </w:t>
            </w:r>
            <w:r w:rsidR="00867734" w:rsidRPr="00831D13">
              <w:rPr>
                <w:lang w:val="el-GR"/>
              </w:rPr>
              <w:t>4</w:t>
            </w:r>
            <w:r w:rsidRPr="00831D13">
              <w:rPr>
                <w:lang w:val="el-GR"/>
              </w:rPr>
              <w:t xml:space="preserve"> του βασικού νόμου.</w:t>
            </w:r>
          </w:p>
        </w:tc>
        <w:tc>
          <w:tcPr>
            <w:tcW w:w="7414" w:type="dxa"/>
            <w:gridSpan w:val="2"/>
          </w:tcPr>
          <w:p w14:paraId="328312B6" w14:textId="545B2B79" w:rsidR="00E44B06" w:rsidRPr="005C0B68" w:rsidRDefault="006D2352" w:rsidP="00181E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  <w:tab w:val="clear" w:pos="4961"/>
                <w:tab w:val="left" w:pos="510"/>
              </w:tabs>
              <w:spacing w:line="360" w:lineRule="auto"/>
              <w:ind w:left="0" w:hanging="2"/>
              <w:rPr>
                <w:color w:val="000000"/>
                <w:lang w:val="el-GR"/>
              </w:rPr>
            </w:pPr>
            <w:r w:rsidRPr="005C0B68">
              <w:rPr>
                <w:color w:val="000000"/>
                <w:lang w:val="el-GR"/>
              </w:rPr>
              <w:t>2.</w:t>
            </w:r>
            <w:r w:rsidR="00206001">
              <w:rPr>
                <w:color w:val="000000"/>
                <w:lang w:val="el-GR"/>
              </w:rPr>
              <w:tab/>
            </w:r>
            <w:r w:rsidR="00BB0B24">
              <w:rPr>
                <w:color w:val="000000"/>
                <w:lang w:val="el-GR"/>
              </w:rPr>
              <w:t xml:space="preserve">Το άρθρο 4 </w:t>
            </w:r>
            <w:r w:rsidR="00BB0B24" w:rsidRPr="005C0B68">
              <w:rPr>
                <w:color w:val="000000"/>
                <w:lang w:val="el-GR"/>
              </w:rPr>
              <w:t>του βασικού νόμου</w:t>
            </w:r>
            <w:r w:rsidR="00BB0B24">
              <w:rPr>
                <w:color w:val="000000"/>
                <w:lang w:val="el-GR"/>
              </w:rPr>
              <w:t xml:space="preserve"> τροποποιείται ως </w:t>
            </w:r>
            <w:r w:rsidR="00831D13">
              <w:rPr>
                <w:color w:val="000000"/>
                <w:lang w:val="el-GR"/>
              </w:rPr>
              <w:t>ακολούθως</w:t>
            </w:r>
            <w:r w:rsidR="00BB0B24">
              <w:rPr>
                <w:color w:val="000000"/>
                <w:lang w:val="el-GR"/>
              </w:rPr>
              <w:t>:</w:t>
            </w:r>
          </w:p>
        </w:tc>
      </w:tr>
      <w:tr w:rsidR="00D30A77" w:rsidRPr="007D4357" w14:paraId="01F121E8" w14:textId="77777777" w:rsidTr="00BA4063">
        <w:trPr>
          <w:trHeight w:val="405"/>
        </w:trPr>
        <w:tc>
          <w:tcPr>
            <w:tcW w:w="2126" w:type="dxa"/>
            <w:gridSpan w:val="2"/>
          </w:tcPr>
          <w:p w14:paraId="469AE44F" w14:textId="77777777" w:rsidR="00D30A77" w:rsidRPr="00831D13" w:rsidRDefault="00D30A77" w:rsidP="008A7747">
            <w:pPr>
              <w:tabs>
                <w:tab w:val="left" w:pos="0"/>
              </w:tabs>
              <w:spacing w:line="360" w:lineRule="auto"/>
              <w:ind w:leftChars="0" w:left="2" w:right="72" w:hanging="2"/>
              <w:jc w:val="left"/>
              <w:rPr>
                <w:lang w:val="el-GR"/>
              </w:rPr>
            </w:pPr>
          </w:p>
        </w:tc>
        <w:tc>
          <w:tcPr>
            <w:tcW w:w="7414" w:type="dxa"/>
            <w:gridSpan w:val="2"/>
          </w:tcPr>
          <w:p w14:paraId="3F357C5F" w14:textId="77777777" w:rsidR="00D30A77" w:rsidRPr="005C0B68" w:rsidRDefault="00D30A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lang w:val="el-GR"/>
              </w:rPr>
            </w:pPr>
          </w:p>
        </w:tc>
      </w:tr>
      <w:tr w:rsidR="00214215" w:rsidRPr="007D4357" w14:paraId="4ABEE0C3" w14:textId="77777777" w:rsidTr="00214215">
        <w:trPr>
          <w:trHeight w:val="385"/>
        </w:trPr>
        <w:tc>
          <w:tcPr>
            <w:tcW w:w="2126" w:type="dxa"/>
            <w:gridSpan w:val="2"/>
          </w:tcPr>
          <w:p w14:paraId="7897119E" w14:textId="77777777" w:rsidR="00214215" w:rsidRPr="00831D13" w:rsidRDefault="00214215" w:rsidP="008A7747">
            <w:pPr>
              <w:tabs>
                <w:tab w:val="left" w:pos="0"/>
              </w:tabs>
              <w:spacing w:line="360" w:lineRule="auto"/>
              <w:ind w:leftChars="0" w:left="2" w:right="72" w:hanging="2"/>
              <w:jc w:val="left"/>
              <w:rPr>
                <w:lang w:val="el-GR"/>
              </w:rPr>
            </w:pPr>
          </w:p>
        </w:tc>
        <w:tc>
          <w:tcPr>
            <w:tcW w:w="993" w:type="dxa"/>
          </w:tcPr>
          <w:p w14:paraId="67928FAF" w14:textId="53AF62DB" w:rsidR="00214215" w:rsidRDefault="00214215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pacing w:line="360" w:lineRule="auto"/>
              <w:ind w:leftChars="0" w:left="0" w:firstLineChars="0" w:firstLine="0"/>
              <w:jc w:val="right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(α)</w:t>
            </w:r>
          </w:p>
        </w:tc>
        <w:tc>
          <w:tcPr>
            <w:tcW w:w="6421" w:type="dxa"/>
          </w:tcPr>
          <w:p w14:paraId="568BC2D9" w14:textId="7F008ADA" w:rsidR="00214215" w:rsidRDefault="00214215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pacing w:line="360" w:lineRule="auto"/>
              <w:ind w:leftChars="0" w:left="0" w:firstLineChars="0" w:firstLine="0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Με την αντικατάσταση στο τέλος της πρώτης επιφύλαξης του εδαφίου (1) του σημείου της τελείας με το σημείο της άνω και κάτω τελείας και την προσθήκη</w:t>
            </w:r>
            <w:r w:rsidR="007D4357">
              <w:rPr>
                <w:color w:val="000000"/>
                <w:lang w:val="el-GR"/>
              </w:rPr>
              <w:t>,</w:t>
            </w:r>
            <w:r>
              <w:rPr>
                <w:color w:val="000000"/>
                <w:lang w:val="el-GR"/>
              </w:rPr>
              <w:t xml:space="preserve"> αμέσως μετά</w:t>
            </w:r>
            <w:r w:rsidR="007D4357">
              <w:rPr>
                <w:color w:val="000000"/>
                <w:lang w:val="el-GR"/>
              </w:rPr>
              <w:t>,</w:t>
            </w:r>
            <w:r>
              <w:rPr>
                <w:color w:val="000000"/>
                <w:lang w:val="el-GR"/>
              </w:rPr>
              <w:t xml:space="preserve"> της ακόλουθης νέας επιφύλαξης</w:t>
            </w:r>
            <w:r w:rsidRPr="005C0B68">
              <w:rPr>
                <w:color w:val="000000"/>
                <w:lang w:val="el-GR"/>
              </w:rPr>
              <w:t>:</w:t>
            </w:r>
          </w:p>
        </w:tc>
      </w:tr>
      <w:tr w:rsidR="00214215" w:rsidRPr="007D4357" w14:paraId="45F3A42B" w14:textId="77777777" w:rsidTr="00214215">
        <w:trPr>
          <w:trHeight w:val="385"/>
        </w:trPr>
        <w:tc>
          <w:tcPr>
            <w:tcW w:w="2126" w:type="dxa"/>
            <w:gridSpan w:val="2"/>
          </w:tcPr>
          <w:p w14:paraId="1EF299BE" w14:textId="77777777" w:rsidR="00214215" w:rsidRPr="00831D13" w:rsidRDefault="00214215" w:rsidP="008A7747">
            <w:pPr>
              <w:tabs>
                <w:tab w:val="left" w:pos="0"/>
              </w:tabs>
              <w:spacing w:line="360" w:lineRule="auto"/>
              <w:ind w:leftChars="0" w:left="2" w:right="72" w:hanging="2"/>
              <w:jc w:val="left"/>
              <w:rPr>
                <w:lang w:val="el-GR"/>
              </w:rPr>
            </w:pPr>
          </w:p>
        </w:tc>
        <w:tc>
          <w:tcPr>
            <w:tcW w:w="993" w:type="dxa"/>
          </w:tcPr>
          <w:p w14:paraId="5C00DE6C" w14:textId="77777777" w:rsidR="00214215" w:rsidRDefault="00214215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pacing w:line="360" w:lineRule="auto"/>
              <w:ind w:leftChars="0" w:left="0" w:firstLineChars="0" w:firstLine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6421" w:type="dxa"/>
          </w:tcPr>
          <w:p w14:paraId="2861AB41" w14:textId="77777777" w:rsidR="00214215" w:rsidRDefault="00214215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pacing w:line="360" w:lineRule="auto"/>
              <w:ind w:leftChars="0" w:left="0" w:firstLineChars="0" w:firstLine="0"/>
              <w:rPr>
                <w:color w:val="000000"/>
                <w:lang w:val="el-GR"/>
              </w:rPr>
            </w:pPr>
          </w:p>
        </w:tc>
      </w:tr>
      <w:tr w:rsidR="00214215" w:rsidRPr="007520BF" w14:paraId="0F4B1FB0" w14:textId="77777777" w:rsidTr="00214215">
        <w:trPr>
          <w:trHeight w:val="385"/>
        </w:trPr>
        <w:tc>
          <w:tcPr>
            <w:tcW w:w="2126" w:type="dxa"/>
            <w:gridSpan w:val="2"/>
          </w:tcPr>
          <w:p w14:paraId="61E7A95D" w14:textId="77777777" w:rsidR="00214215" w:rsidRPr="00831D13" w:rsidRDefault="00214215" w:rsidP="008A7747">
            <w:pPr>
              <w:tabs>
                <w:tab w:val="left" w:pos="0"/>
              </w:tabs>
              <w:spacing w:line="360" w:lineRule="auto"/>
              <w:ind w:leftChars="0" w:left="2" w:right="72" w:hanging="2"/>
              <w:jc w:val="left"/>
              <w:rPr>
                <w:lang w:val="el-GR"/>
              </w:rPr>
            </w:pPr>
          </w:p>
        </w:tc>
        <w:tc>
          <w:tcPr>
            <w:tcW w:w="993" w:type="dxa"/>
          </w:tcPr>
          <w:p w14:paraId="0F59493A" w14:textId="77777777" w:rsidR="00214215" w:rsidRDefault="00214215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pacing w:line="360" w:lineRule="auto"/>
              <w:ind w:leftChars="0" w:left="0" w:firstLineChars="0" w:firstLine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6421" w:type="dxa"/>
          </w:tcPr>
          <w:p w14:paraId="6F5AF3E2" w14:textId="5BE828B4" w:rsidR="00214215" w:rsidRDefault="00214215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  <w:tab w:val="left" w:pos="597"/>
              </w:tabs>
              <w:spacing w:line="360" w:lineRule="auto"/>
              <w:ind w:leftChars="0" w:left="0" w:firstLineChars="0" w:firstLine="0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ab/>
              <w:t>«Νοείται περαιτέρω ότι, πρόσωπο το οποίο πληρώνει ενοίκια καταβάλλει μέχρι την 30</w:t>
            </w:r>
            <w:r w:rsidRPr="00D30A77">
              <w:rPr>
                <w:color w:val="000000"/>
                <w:vertAlign w:val="superscript"/>
                <w:lang w:val="el-GR"/>
              </w:rPr>
              <w:t>ή</w:t>
            </w:r>
            <w:r>
              <w:rPr>
                <w:color w:val="000000"/>
                <w:lang w:val="el-GR"/>
              </w:rPr>
              <w:t xml:space="preserve"> Ιουνίου και μέχρι την 31</w:t>
            </w:r>
            <w:r w:rsidRPr="00D30A77">
              <w:rPr>
                <w:color w:val="000000"/>
                <w:vertAlign w:val="superscript"/>
                <w:lang w:val="el-GR"/>
              </w:rPr>
              <w:t>η</w:t>
            </w:r>
            <w:r>
              <w:rPr>
                <w:color w:val="000000"/>
                <w:lang w:val="el-GR"/>
              </w:rPr>
              <w:t xml:space="preserve"> Δεκεμβρίου κάθε έτους την έκτακτη εισφορά που παρακρατεί κατά το πρώτο και δεύτερο εξάμηνο, αντίστοιχα, του έτους.»</w:t>
            </w:r>
            <w:r w:rsidRPr="00D30A77">
              <w:rPr>
                <w:color w:val="000000"/>
                <w:vertAlign w:val="superscript"/>
                <w:lang w:val="el-GR"/>
              </w:rPr>
              <w:t>.</w:t>
            </w:r>
            <w:r>
              <w:rPr>
                <w:color w:val="000000"/>
                <w:lang w:val="el-GR"/>
              </w:rPr>
              <w:t xml:space="preserve"> και    </w:t>
            </w:r>
          </w:p>
        </w:tc>
      </w:tr>
      <w:tr w:rsidR="00214215" w:rsidRPr="007520BF" w14:paraId="357BB82B" w14:textId="77777777" w:rsidTr="00214215">
        <w:trPr>
          <w:trHeight w:val="385"/>
        </w:trPr>
        <w:tc>
          <w:tcPr>
            <w:tcW w:w="2126" w:type="dxa"/>
            <w:gridSpan w:val="2"/>
          </w:tcPr>
          <w:p w14:paraId="1B5C5F5E" w14:textId="77777777" w:rsidR="00214215" w:rsidRPr="00831D13" w:rsidRDefault="00214215" w:rsidP="008A7747">
            <w:pPr>
              <w:tabs>
                <w:tab w:val="left" w:pos="0"/>
              </w:tabs>
              <w:spacing w:line="360" w:lineRule="auto"/>
              <w:ind w:leftChars="0" w:left="2" w:right="72" w:hanging="2"/>
              <w:jc w:val="left"/>
              <w:rPr>
                <w:lang w:val="el-GR"/>
              </w:rPr>
            </w:pPr>
          </w:p>
        </w:tc>
        <w:tc>
          <w:tcPr>
            <w:tcW w:w="993" w:type="dxa"/>
          </w:tcPr>
          <w:p w14:paraId="41C36427" w14:textId="77777777" w:rsidR="00214215" w:rsidRDefault="00214215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pacing w:line="360" w:lineRule="auto"/>
              <w:ind w:leftChars="0" w:left="0" w:firstLineChars="0" w:firstLine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6421" w:type="dxa"/>
          </w:tcPr>
          <w:p w14:paraId="7FE5FF2F" w14:textId="77777777" w:rsidR="00214215" w:rsidRDefault="00214215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  <w:tab w:val="left" w:pos="597"/>
              </w:tabs>
              <w:spacing w:line="360" w:lineRule="auto"/>
              <w:ind w:leftChars="0" w:left="0" w:firstLineChars="0" w:firstLine="0"/>
              <w:rPr>
                <w:color w:val="000000"/>
                <w:lang w:val="el-GR"/>
              </w:rPr>
            </w:pPr>
          </w:p>
        </w:tc>
      </w:tr>
      <w:tr w:rsidR="00214215" w:rsidRPr="007D4357" w14:paraId="19874C3D" w14:textId="77777777" w:rsidTr="00214215">
        <w:trPr>
          <w:trHeight w:val="385"/>
        </w:trPr>
        <w:tc>
          <w:tcPr>
            <w:tcW w:w="2126" w:type="dxa"/>
            <w:gridSpan w:val="2"/>
          </w:tcPr>
          <w:p w14:paraId="10078493" w14:textId="77777777" w:rsidR="00214215" w:rsidRPr="00831D13" w:rsidRDefault="00214215" w:rsidP="008A7747">
            <w:pPr>
              <w:tabs>
                <w:tab w:val="left" w:pos="0"/>
              </w:tabs>
              <w:spacing w:line="360" w:lineRule="auto"/>
              <w:ind w:leftChars="0" w:left="2" w:right="72" w:hanging="2"/>
              <w:jc w:val="left"/>
              <w:rPr>
                <w:lang w:val="el-GR"/>
              </w:rPr>
            </w:pPr>
          </w:p>
        </w:tc>
        <w:tc>
          <w:tcPr>
            <w:tcW w:w="993" w:type="dxa"/>
          </w:tcPr>
          <w:p w14:paraId="0B75C7C2" w14:textId="45420734" w:rsidR="00214215" w:rsidRPr="00214215" w:rsidRDefault="00214215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pacing w:line="360" w:lineRule="auto"/>
              <w:ind w:leftChars="0" w:left="0" w:firstLineChars="0" w:firstLine="0"/>
              <w:jc w:val="right"/>
              <w:rPr>
                <w:color w:val="000000"/>
              </w:rPr>
            </w:pPr>
            <w:r>
              <w:rPr>
                <w:color w:val="000000"/>
                <w:lang w:val="el-GR"/>
              </w:rPr>
              <w:t>(β)</w:t>
            </w:r>
          </w:p>
        </w:tc>
        <w:tc>
          <w:tcPr>
            <w:tcW w:w="6421" w:type="dxa"/>
          </w:tcPr>
          <w:p w14:paraId="407D1479" w14:textId="56F041F4" w:rsidR="00214215" w:rsidRDefault="00214215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  <w:tab w:val="left" w:pos="597"/>
              </w:tabs>
              <w:spacing w:line="360" w:lineRule="auto"/>
              <w:ind w:leftChars="0" w:left="0" w:firstLineChars="0" w:firstLine="0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με την αντικατάσταση στο τέλος του εδαφίου (3) του σημείου της τελείας με το σημείο της άνω και κάτω τελείας και την προσθήκη</w:t>
            </w:r>
            <w:r w:rsidR="007D4357">
              <w:rPr>
                <w:color w:val="000000"/>
                <w:lang w:val="el-GR"/>
              </w:rPr>
              <w:t>,</w:t>
            </w:r>
            <w:r>
              <w:rPr>
                <w:color w:val="000000"/>
                <w:lang w:val="el-GR"/>
              </w:rPr>
              <w:t xml:space="preserve"> αμέσως μετά</w:t>
            </w:r>
            <w:r w:rsidR="007D4357">
              <w:rPr>
                <w:color w:val="000000"/>
                <w:lang w:val="el-GR"/>
              </w:rPr>
              <w:t>,</w:t>
            </w:r>
            <w:r>
              <w:rPr>
                <w:color w:val="000000"/>
                <w:lang w:val="el-GR"/>
              </w:rPr>
              <w:t xml:space="preserve"> της ακόλουθης νέας επιφύλαξης</w:t>
            </w:r>
            <w:r w:rsidRPr="005C0B68">
              <w:rPr>
                <w:color w:val="000000"/>
                <w:lang w:val="el-GR"/>
              </w:rPr>
              <w:t>:</w:t>
            </w:r>
          </w:p>
        </w:tc>
      </w:tr>
      <w:tr w:rsidR="00214215" w:rsidRPr="007D4357" w14:paraId="738355BE" w14:textId="77777777" w:rsidTr="00214215">
        <w:trPr>
          <w:trHeight w:val="385"/>
        </w:trPr>
        <w:tc>
          <w:tcPr>
            <w:tcW w:w="2126" w:type="dxa"/>
            <w:gridSpan w:val="2"/>
          </w:tcPr>
          <w:p w14:paraId="2E38FF5F" w14:textId="77777777" w:rsidR="00214215" w:rsidRPr="00831D13" w:rsidRDefault="00214215" w:rsidP="008A7747">
            <w:pPr>
              <w:tabs>
                <w:tab w:val="left" w:pos="0"/>
              </w:tabs>
              <w:spacing w:line="360" w:lineRule="auto"/>
              <w:ind w:leftChars="0" w:left="2" w:right="72" w:hanging="2"/>
              <w:jc w:val="left"/>
              <w:rPr>
                <w:lang w:val="el-GR"/>
              </w:rPr>
            </w:pPr>
          </w:p>
        </w:tc>
        <w:tc>
          <w:tcPr>
            <w:tcW w:w="993" w:type="dxa"/>
          </w:tcPr>
          <w:p w14:paraId="5BA9A139" w14:textId="77777777" w:rsidR="00214215" w:rsidRDefault="00214215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pacing w:line="360" w:lineRule="auto"/>
              <w:ind w:leftChars="0" w:left="0" w:firstLineChars="0" w:firstLine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6421" w:type="dxa"/>
          </w:tcPr>
          <w:p w14:paraId="159AED03" w14:textId="77777777" w:rsidR="00214215" w:rsidRDefault="00214215" w:rsidP="002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  <w:tab w:val="left" w:pos="597"/>
              </w:tabs>
              <w:spacing w:line="360" w:lineRule="auto"/>
              <w:ind w:leftChars="0" w:left="0" w:firstLineChars="0" w:firstLine="0"/>
              <w:rPr>
                <w:color w:val="000000"/>
                <w:lang w:val="el-GR"/>
              </w:rPr>
            </w:pPr>
          </w:p>
        </w:tc>
      </w:tr>
      <w:tr w:rsidR="00214215" w:rsidRPr="007D4357" w14:paraId="7305A592" w14:textId="77777777" w:rsidTr="00C74728">
        <w:trPr>
          <w:trHeight w:val="385"/>
        </w:trPr>
        <w:tc>
          <w:tcPr>
            <w:tcW w:w="992" w:type="dxa"/>
          </w:tcPr>
          <w:p w14:paraId="08510CB5" w14:textId="77777777" w:rsidR="00214215" w:rsidRPr="00831D13" w:rsidRDefault="00214215" w:rsidP="008A7747">
            <w:pPr>
              <w:tabs>
                <w:tab w:val="left" w:pos="0"/>
              </w:tabs>
              <w:spacing w:line="360" w:lineRule="auto"/>
              <w:ind w:leftChars="0" w:left="2" w:right="72" w:hanging="2"/>
              <w:jc w:val="left"/>
              <w:rPr>
                <w:lang w:val="el-GR"/>
              </w:rPr>
            </w:pPr>
          </w:p>
        </w:tc>
        <w:tc>
          <w:tcPr>
            <w:tcW w:w="2127" w:type="dxa"/>
            <w:gridSpan w:val="2"/>
          </w:tcPr>
          <w:p w14:paraId="1B082049" w14:textId="77777777" w:rsidR="00C74728" w:rsidRDefault="00C74728" w:rsidP="00C74728">
            <w:pPr>
              <w:tabs>
                <w:tab w:val="left" w:pos="1174"/>
              </w:tabs>
              <w:spacing w:line="360" w:lineRule="auto"/>
              <w:ind w:leftChars="0" w:left="2" w:right="66" w:hanging="2"/>
              <w:jc w:val="right"/>
              <w:rPr>
                <w:lang w:val="el-GR"/>
              </w:rPr>
            </w:pPr>
          </w:p>
          <w:p w14:paraId="10AB6067" w14:textId="77777777" w:rsidR="00C74728" w:rsidRDefault="00C74728" w:rsidP="00C74728">
            <w:pPr>
              <w:tabs>
                <w:tab w:val="left" w:pos="1174"/>
              </w:tabs>
              <w:spacing w:line="360" w:lineRule="auto"/>
              <w:ind w:leftChars="0" w:left="2" w:right="66" w:hanging="2"/>
              <w:jc w:val="right"/>
              <w:rPr>
                <w:lang w:val="el-GR"/>
              </w:rPr>
            </w:pPr>
          </w:p>
          <w:p w14:paraId="5FB0A80A" w14:textId="77777777" w:rsidR="00C74728" w:rsidRDefault="00C74728" w:rsidP="00C74728">
            <w:pPr>
              <w:tabs>
                <w:tab w:val="left" w:pos="1174"/>
              </w:tabs>
              <w:spacing w:line="360" w:lineRule="auto"/>
              <w:ind w:leftChars="0" w:left="2" w:right="66" w:hanging="2"/>
              <w:jc w:val="right"/>
              <w:rPr>
                <w:lang w:val="el-GR"/>
              </w:rPr>
            </w:pPr>
          </w:p>
          <w:p w14:paraId="7A43A2B7" w14:textId="77777777" w:rsidR="00C74728" w:rsidRDefault="00C74728" w:rsidP="00C74728">
            <w:pPr>
              <w:tabs>
                <w:tab w:val="left" w:pos="1174"/>
              </w:tabs>
              <w:spacing w:line="360" w:lineRule="auto"/>
              <w:ind w:leftChars="0" w:left="2" w:right="66" w:hanging="2"/>
              <w:jc w:val="right"/>
              <w:rPr>
                <w:lang w:val="el-GR"/>
              </w:rPr>
            </w:pPr>
          </w:p>
          <w:p w14:paraId="43BAE2F2" w14:textId="77777777" w:rsidR="00C74728" w:rsidRDefault="00C74728" w:rsidP="00C74728">
            <w:pPr>
              <w:tabs>
                <w:tab w:val="left" w:pos="1174"/>
              </w:tabs>
              <w:spacing w:line="360" w:lineRule="auto"/>
              <w:ind w:leftChars="0" w:left="2" w:right="66" w:hanging="2"/>
              <w:jc w:val="right"/>
              <w:rPr>
                <w:lang w:val="el-GR"/>
              </w:rPr>
            </w:pPr>
          </w:p>
          <w:p w14:paraId="0B26D5D0" w14:textId="77777777" w:rsidR="00C74728" w:rsidRDefault="00C74728" w:rsidP="00C74728">
            <w:pPr>
              <w:tabs>
                <w:tab w:val="left" w:pos="1174"/>
              </w:tabs>
              <w:spacing w:line="360" w:lineRule="auto"/>
              <w:ind w:leftChars="0" w:left="2" w:right="66" w:hanging="2"/>
              <w:jc w:val="right"/>
              <w:rPr>
                <w:lang w:val="el-GR"/>
              </w:rPr>
            </w:pPr>
          </w:p>
          <w:p w14:paraId="3A11E646" w14:textId="73A13979" w:rsidR="00C74728" w:rsidRDefault="00C74728" w:rsidP="00C74728">
            <w:pPr>
              <w:tabs>
                <w:tab w:val="left" w:pos="1174"/>
              </w:tabs>
              <w:spacing w:line="360" w:lineRule="auto"/>
              <w:ind w:leftChars="0" w:left="0" w:right="113" w:firstLineChars="0" w:firstLine="0"/>
              <w:jc w:val="right"/>
              <w:rPr>
                <w:lang w:val="el-GR"/>
              </w:rPr>
            </w:pPr>
            <w:r>
              <w:rPr>
                <w:lang w:val="el-GR"/>
              </w:rPr>
              <w:lastRenderedPageBreak/>
              <w:t>167(I) του 2006</w:t>
            </w:r>
          </w:p>
          <w:p w14:paraId="28612C3C" w14:textId="4D7D856B" w:rsidR="00214215" w:rsidRDefault="00C74728" w:rsidP="00C74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4"/>
              </w:tabs>
              <w:spacing w:line="360" w:lineRule="auto"/>
              <w:ind w:leftChars="0" w:left="0" w:right="57" w:firstLineChars="0" w:firstLine="0"/>
              <w:jc w:val="right"/>
              <w:rPr>
                <w:color w:val="000000"/>
                <w:lang w:val="el-GR"/>
              </w:rPr>
            </w:pPr>
            <w:r>
              <w:rPr>
                <w:lang w:val="el-GR"/>
              </w:rPr>
              <w:t>118(I) του 2012.</w:t>
            </w:r>
          </w:p>
        </w:tc>
        <w:tc>
          <w:tcPr>
            <w:tcW w:w="6421" w:type="dxa"/>
          </w:tcPr>
          <w:p w14:paraId="32EAC148" w14:textId="66461FF0" w:rsidR="00214215" w:rsidRDefault="00C74728" w:rsidP="00C747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  <w:tab w:val="left" w:pos="597"/>
              </w:tabs>
              <w:spacing w:line="360" w:lineRule="auto"/>
              <w:ind w:leftChars="0" w:left="0" w:firstLineChars="0" w:firstLine="0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lastRenderedPageBreak/>
              <w:tab/>
              <w:t>«Νοείται ότι, σε περίπτωση που έκτακτη εισφορά επί ενοικίων δεν παρακρατηθεί ή παρακρατήθηκε και δεν καταβλήθηκε εντός του μήνα που έπεται της 30</w:t>
            </w:r>
            <w:r>
              <w:rPr>
                <w:color w:val="000000"/>
                <w:vertAlign w:val="superscript"/>
                <w:lang w:val="el-GR"/>
              </w:rPr>
              <w:t>ής</w:t>
            </w:r>
            <w:r>
              <w:rPr>
                <w:color w:val="000000"/>
                <w:lang w:val="el-GR"/>
              </w:rPr>
              <w:t xml:space="preserve"> Ιουνίου και της 31</w:t>
            </w:r>
            <w:r>
              <w:rPr>
                <w:color w:val="000000"/>
                <w:vertAlign w:val="superscript"/>
                <w:lang w:val="el-GR"/>
              </w:rPr>
              <w:t>ης</w:t>
            </w:r>
            <w:r>
              <w:rPr>
                <w:color w:val="000000"/>
                <w:lang w:val="el-GR"/>
              </w:rPr>
              <w:t xml:space="preserve"> Δεκεμβρίου κάθε έτους, αναφορικά με ενοίκια που πληρώνονται κατά το πρώτο και δεύτερο εξάμηνο του έτους, αντίστοιχα, προστίθεται σε αυτή τόκος, ο οποίος </w:t>
            </w:r>
            <w:r>
              <w:rPr>
                <w:color w:val="000000"/>
                <w:lang w:val="el-GR"/>
              </w:rPr>
              <w:lastRenderedPageBreak/>
              <w:t xml:space="preserve">καθορίζεται δυνάμει των διατάξεων του περί του Ενιαίου Δημοσίου Επιτοκίου Υπερημερίας Νόμου.».  </w:t>
            </w:r>
          </w:p>
        </w:tc>
      </w:tr>
      <w:tr w:rsidR="00214215" w:rsidRPr="007D4357" w14:paraId="009BFD56" w14:textId="77777777" w:rsidTr="00C74728">
        <w:trPr>
          <w:trHeight w:val="385"/>
        </w:trPr>
        <w:tc>
          <w:tcPr>
            <w:tcW w:w="992" w:type="dxa"/>
          </w:tcPr>
          <w:p w14:paraId="798BEB1A" w14:textId="77777777" w:rsidR="00214215" w:rsidRPr="00831D13" w:rsidRDefault="00214215" w:rsidP="008A7747">
            <w:pPr>
              <w:tabs>
                <w:tab w:val="left" w:pos="0"/>
              </w:tabs>
              <w:spacing w:line="360" w:lineRule="auto"/>
              <w:ind w:leftChars="0" w:left="2" w:right="72" w:hanging="2"/>
              <w:jc w:val="left"/>
              <w:rPr>
                <w:lang w:val="el-GR"/>
              </w:rPr>
            </w:pPr>
          </w:p>
        </w:tc>
        <w:tc>
          <w:tcPr>
            <w:tcW w:w="8548" w:type="dxa"/>
            <w:gridSpan w:val="3"/>
          </w:tcPr>
          <w:p w14:paraId="07C7372A" w14:textId="77777777" w:rsidR="00214215" w:rsidRDefault="00214215" w:rsidP="005848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pacing w:line="360" w:lineRule="auto"/>
              <w:ind w:leftChars="252" w:left="1198" w:hangingChars="247" w:hanging="593"/>
              <w:rPr>
                <w:color w:val="000000"/>
                <w:lang w:val="el-GR"/>
              </w:rPr>
            </w:pPr>
          </w:p>
        </w:tc>
      </w:tr>
    </w:tbl>
    <w:p w14:paraId="75AC541C" w14:textId="77777777" w:rsidR="00214215" w:rsidRDefault="00214215">
      <w:pPr>
        <w:ind w:left="0" w:hanging="2"/>
        <w:rPr>
          <w:lang w:val="el-GR"/>
        </w:rPr>
      </w:pPr>
    </w:p>
    <w:p w14:paraId="12BB9F42" w14:textId="77777777" w:rsidR="00F15D57" w:rsidRPr="00214215" w:rsidRDefault="00F15D57">
      <w:pPr>
        <w:ind w:left="0" w:hanging="2"/>
        <w:rPr>
          <w:lang w:val="el-GR"/>
        </w:rPr>
      </w:pPr>
    </w:p>
    <w:p w14:paraId="49427864" w14:textId="7FC5165A" w:rsidR="00CA1A9F" w:rsidRPr="00C74728" w:rsidRDefault="007924F3" w:rsidP="003511FB">
      <w:pPr>
        <w:tabs>
          <w:tab w:val="left" w:pos="851"/>
        </w:tabs>
        <w:spacing w:line="360" w:lineRule="auto"/>
        <w:ind w:leftChars="0" w:left="0" w:firstLineChars="0" w:firstLine="0"/>
        <w:rPr>
          <w:lang w:val="el-GR"/>
        </w:rPr>
      </w:pPr>
      <w:r w:rsidRPr="00C74728">
        <w:rPr>
          <w:lang w:val="el-GR"/>
        </w:rPr>
        <w:t xml:space="preserve">Αρ. Φακ.:  </w:t>
      </w:r>
      <w:r w:rsidR="0073767C" w:rsidRPr="00C74728">
        <w:rPr>
          <w:lang w:val="el-GR"/>
        </w:rPr>
        <w:t>23.02.063.201-2022</w:t>
      </w:r>
    </w:p>
    <w:p w14:paraId="16116AF3" w14:textId="35C72F14" w:rsidR="007924F3" w:rsidRPr="00C74728" w:rsidRDefault="007924F3" w:rsidP="003511FB">
      <w:pPr>
        <w:tabs>
          <w:tab w:val="left" w:pos="851"/>
        </w:tabs>
        <w:spacing w:line="360" w:lineRule="auto"/>
        <w:ind w:leftChars="0" w:left="0" w:firstLineChars="0" w:firstLine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ΣΧΚ</w:t>
      </w:r>
      <w:r w:rsidR="00C74728">
        <w:rPr>
          <w:sz w:val="22"/>
          <w:szCs w:val="22"/>
          <w:lang w:val="el-GR"/>
        </w:rPr>
        <w:t>/</w:t>
      </w:r>
      <w:r w:rsidR="00C74728">
        <w:rPr>
          <w:sz w:val="22"/>
          <w:szCs w:val="22"/>
        </w:rPr>
        <w:t>XX</w:t>
      </w:r>
    </w:p>
    <w:sectPr w:rsidR="007924F3" w:rsidRPr="00C74728" w:rsidSect="00752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310" w:right="1140" w:bottom="1310" w:left="11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5240" w14:textId="77777777" w:rsidR="000E2379" w:rsidRDefault="000E2379">
      <w:pPr>
        <w:spacing w:line="240" w:lineRule="auto"/>
        <w:ind w:left="0" w:hanging="2"/>
      </w:pPr>
      <w:r>
        <w:separator/>
      </w:r>
    </w:p>
  </w:endnote>
  <w:endnote w:type="continuationSeparator" w:id="0">
    <w:p w14:paraId="50181CCF" w14:textId="77777777" w:rsidR="000E2379" w:rsidRDefault="000E23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C9A2" w14:textId="77777777" w:rsidR="00E44B06" w:rsidRDefault="006D2352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B82769" w14:textId="77777777" w:rsidR="00E44B06" w:rsidRDefault="00E44B06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567" w14:textId="5799A7EE" w:rsidR="00B84B5C" w:rsidRDefault="00B84B5C" w:rsidP="00BA750C">
    <w:pPr>
      <w:pStyle w:val="Footer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A173" w14:textId="77777777" w:rsidR="00B84B5C" w:rsidRDefault="00B84B5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9363" w14:textId="77777777" w:rsidR="000E2379" w:rsidRDefault="000E2379">
      <w:pPr>
        <w:spacing w:line="240" w:lineRule="auto"/>
        <w:ind w:left="0" w:hanging="2"/>
      </w:pPr>
      <w:r>
        <w:separator/>
      </w:r>
    </w:p>
  </w:footnote>
  <w:footnote w:type="continuationSeparator" w:id="0">
    <w:p w14:paraId="56F49FF7" w14:textId="77777777" w:rsidR="000E2379" w:rsidRDefault="000E23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E8BD" w14:textId="77777777" w:rsidR="00B84B5C" w:rsidRDefault="00B84B5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FAF8" w14:textId="71EF007E" w:rsidR="00E44B06" w:rsidRDefault="006D2352" w:rsidP="00BA750C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48C3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0E95" w14:textId="77777777" w:rsidR="00B84B5C" w:rsidRDefault="00B84B5C" w:rsidP="00BA750C">
    <w:pPr>
      <w:pStyle w:val="Header"/>
      <w:ind w:leftChars="0" w:left="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06"/>
    <w:rsid w:val="00014AA1"/>
    <w:rsid w:val="00023FD9"/>
    <w:rsid w:val="000700D9"/>
    <w:rsid w:val="000871C1"/>
    <w:rsid w:val="00087E7B"/>
    <w:rsid w:val="000E2379"/>
    <w:rsid w:val="00100083"/>
    <w:rsid w:val="00132DCE"/>
    <w:rsid w:val="00144F12"/>
    <w:rsid w:val="00181EF5"/>
    <w:rsid w:val="001B08C2"/>
    <w:rsid w:val="001D7A61"/>
    <w:rsid w:val="001E0346"/>
    <w:rsid w:val="001F7E96"/>
    <w:rsid w:val="00206001"/>
    <w:rsid w:val="00214215"/>
    <w:rsid w:val="00284CE1"/>
    <w:rsid w:val="002B1000"/>
    <w:rsid w:val="002B34C8"/>
    <w:rsid w:val="002E366C"/>
    <w:rsid w:val="002E4F62"/>
    <w:rsid w:val="003148C3"/>
    <w:rsid w:val="003511FB"/>
    <w:rsid w:val="003645D0"/>
    <w:rsid w:val="00365AB5"/>
    <w:rsid w:val="003A5F01"/>
    <w:rsid w:val="003C03A6"/>
    <w:rsid w:val="00476D0B"/>
    <w:rsid w:val="0048478A"/>
    <w:rsid w:val="004D2382"/>
    <w:rsid w:val="004E48AF"/>
    <w:rsid w:val="00530D1F"/>
    <w:rsid w:val="00557106"/>
    <w:rsid w:val="00584847"/>
    <w:rsid w:val="005C0B68"/>
    <w:rsid w:val="00654309"/>
    <w:rsid w:val="006731C1"/>
    <w:rsid w:val="00693227"/>
    <w:rsid w:val="006B10B8"/>
    <w:rsid w:val="006C49F2"/>
    <w:rsid w:val="006D2352"/>
    <w:rsid w:val="006F51B9"/>
    <w:rsid w:val="006F55A9"/>
    <w:rsid w:val="007343E1"/>
    <w:rsid w:val="0073767C"/>
    <w:rsid w:val="00743F88"/>
    <w:rsid w:val="007520BF"/>
    <w:rsid w:val="00786E24"/>
    <w:rsid w:val="007924F3"/>
    <w:rsid w:val="007A1CEE"/>
    <w:rsid w:val="007C6562"/>
    <w:rsid w:val="007C73EE"/>
    <w:rsid w:val="007D4357"/>
    <w:rsid w:val="0081415B"/>
    <w:rsid w:val="00831D13"/>
    <w:rsid w:val="00855764"/>
    <w:rsid w:val="0086032D"/>
    <w:rsid w:val="00867734"/>
    <w:rsid w:val="008868D3"/>
    <w:rsid w:val="008A7747"/>
    <w:rsid w:val="008E4CCD"/>
    <w:rsid w:val="00917B0F"/>
    <w:rsid w:val="00934110"/>
    <w:rsid w:val="0098058F"/>
    <w:rsid w:val="009A58A9"/>
    <w:rsid w:val="009B5695"/>
    <w:rsid w:val="009E1518"/>
    <w:rsid w:val="00A60CA1"/>
    <w:rsid w:val="00A95599"/>
    <w:rsid w:val="00AC3C06"/>
    <w:rsid w:val="00AC6B4F"/>
    <w:rsid w:val="00AE2C1A"/>
    <w:rsid w:val="00AF7E4F"/>
    <w:rsid w:val="00B546A5"/>
    <w:rsid w:val="00B84B5C"/>
    <w:rsid w:val="00B86687"/>
    <w:rsid w:val="00BA4063"/>
    <w:rsid w:val="00BA750C"/>
    <w:rsid w:val="00BB0B24"/>
    <w:rsid w:val="00BD49E0"/>
    <w:rsid w:val="00BE40C8"/>
    <w:rsid w:val="00BF14FF"/>
    <w:rsid w:val="00C33229"/>
    <w:rsid w:val="00C60206"/>
    <w:rsid w:val="00C74728"/>
    <w:rsid w:val="00C92ECC"/>
    <w:rsid w:val="00CA1A9F"/>
    <w:rsid w:val="00CB7ECD"/>
    <w:rsid w:val="00D170EC"/>
    <w:rsid w:val="00D30A77"/>
    <w:rsid w:val="00D31BDB"/>
    <w:rsid w:val="00D66BF6"/>
    <w:rsid w:val="00D8180A"/>
    <w:rsid w:val="00DA48F8"/>
    <w:rsid w:val="00DE427C"/>
    <w:rsid w:val="00DE755C"/>
    <w:rsid w:val="00E05AEC"/>
    <w:rsid w:val="00E07638"/>
    <w:rsid w:val="00E10589"/>
    <w:rsid w:val="00E44B06"/>
    <w:rsid w:val="00E609B8"/>
    <w:rsid w:val="00E73A2C"/>
    <w:rsid w:val="00E9686D"/>
    <w:rsid w:val="00EC441C"/>
    <w:rsid w:val="00ED047C"/>
    <w:rsid w:val="00F03D43"/>
    <w:rsid w:val="00F15D57"/>
    <w:rsid w:val="00F17C24"/>
    <w:rsid w:val="00F24463"/>
    <w:rsid w:val="00F67655"/>
    <w:rsid w:val="00FB3FA7"/>
    <w:rsid w:val="00FD7FF3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3A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l-GR" w:eastAsia="en-GB" w:bidi="ar-SA"/>
      </w:rPr>
    </w:rPrDefault>
    <w:pPrDefault>
      <w:pPr>
        <w:widowControl w:val="0"/>
        <w:tabs>
          <w:tab w:val="left" w:pos="567"/>
          <w:tab w:val="left" w:pos="4961"/>
        </w:tabs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next w:val="Normal"/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zh-CN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zh-CN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BodyText3">
    <w:name w:val="Body Text 3"/>
    <w:basedOn w:val="Normal"/>
    <w:pPr>
      <w:widowControl/>
      <w:spacing w:after="240" w:line="360" w:lineRule="auto"/>
    </w:pPr>
    <w:rPr>
      <w:rFonts w:ascii="MgOptima" w:eastAsia="Times New Roman" w:hAnsi="MgOptima"/>
      <w:sz w:val="20"/>
      <w:lang w:val="el-GR"/>
    </w:rPr>
  </w:style>
  <w:style w:type="character" w:customStyle="1" w:styleId="BodyText3Char">
    <w:name w:val="Body Text 3 Char"/>
    <w:rPr>
      <w:rFonts w:ascii="MgOptima" w:eastAsia="Times New Roman" w:hAnsi="MgOptima"/>
      <w:w w:val="100"/>
      <w:position w:val="-1"/>
      <w:szCs w:val="24"/>
      <w:effect w:val="none"/>
      <w:vertAlign w:val="baseline"/>
      <w:cs w:val="0"/>
      <w:em w:val="none"/>
      <w:lang w:val="el-G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/>
      <w:spacing w:beforeLines="1" w:afterLines="1" w:line="240" w:lineRule="auto"/>
      <w:jc w:val="left"/>
    </w:pPr>
    <w:rPr>
      <w:rFonts w:ascii="Times" w:hAnsi="Times"/>
      <w:sz w:val="20"/>
      <w:szCs w:val="20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zh-CN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  <w:lang w:eastAsia="el-GR"/>
    </w:rPr>
  </w:style>
  <w:style w:type="character" w:customStyle="1" w:styleId="toc-instrument-enum">
    <w:name w:val="toc-instrument-enum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B68"/>
    <w:rPr>
      <w:b/>
      <w:bCs/>
      <w:position w:val="-1"/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A750C"/>
    <w:rPr>
      <w:position w:val="-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YjTHl106VNl7cBoIlEEf+53krg==">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714042-F41E-44B8-84AB-8AEF55F0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2023-05-30T07:38:00Z</dcterms:created>
  <dcterms:modified xsi:type="dcterms:W3CDTF">2023-05-31T05:24:00Z</dcterms:modified>
</cp:coreProperties>
</file>