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8F30" w14:textId="468F88A4" w:rsidR="00D978E6" w:rsidRPr="00C4423F" w:rsidRDefault="00D978E6" w:rsidP="00C275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4423F">
        <w:rPr>
          <w:rFonts w:ascii="Arial" w:hAnsi="Arial" w:cs="Arial"/>
          <w:sz w:val="24"/>
          <w:szCs w:val="24"/>
        </w:rPr>
        <w:t>ΝΟΜΟ</w:t>
      </w:r>
      <w:r w:rsidR="00BE3F04" w:rsidRPr="00C4423F">
        <w:rPr>
          <w:rFonts w:ascii="Arial" w:hAnsi="Arial" w:cs="Arial"/>
          <w:sz w:val="24"/>
          <w:szCs w:val="24"/>
        </w:rPr>
        <w:t>Σ</w:t>
      </w:r>
      <w:r w:rsidRPr="00C4423F">
        <w:rPr>
          <w:rFonts w:ascii="Arial" w:hAnsi="Arial" w:cs="Arial"/>
          <w:sz w:val="24"/>
          <w:szCs w:val="24"/>
        </w:rPr>
        <w:t xml:space="preserve"> ΠΟΥ ΤΡΟΠΟΠΟΙΕΙ ΤΟΝ ΠΕΡΙ ΦΑΡΜΑΚΕΥΤΙΚΗΣ ΚΑΙ ΔΗΛΗΤΗΡΙΩΝ ΝΟΜΟ</w:t>
      </w:r>
    </w:p>
    <w:p w14:paraId="24871641" w14:textId="0B79D75E" w:rsidR="00D978E6" w:rsidRDefault="00D978E6" w:rsidP="00C275D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47F82E" w14:textId="2D902078" w:rsidR="00BE3F04" w:rsidRPr="00BE3F04" w:rsidRDefault="00BE3F04" w:rsidP="00BD3753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E3F04">
        <w:rPr>
          <w:rFonts w:ascii="Arial" w:hAnsi="Arial" w:cs="Arial"/>
          <w:sz w:val="24"/>
          <w:szCs w:val="24"/>
        </w:rPr>
        <w:t>Η Βουλή των Αντιπροσώπων ψηφίζει ως ακολούθως:</w:t>
      </w:r>
    </w:p>
    <w:p w14:paraId="0D3A5C43" w14:textId="77777777" w:rsidR="00BE3F04" w:rsidRDefault="00BE3F04" w:rsidP="00BE3F04">
      <w:pPr>
        <w:tabs>
          <w:tab w:val="left" w:pos="3119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47"/>
      </w:tblGrid>
      <w:tr w:rsidR="00D978E6" w:rsidRPr="00CF0722" w14:paraId="71724D34" w14:textId="77777777" w:rsidTr="008632F4">
        <w:tc>
          <w:tcPr>
            <w:tcW w:w="1985" w:type="dxa"/>
          </w:tcPr>
          <w:p w14:paraId="59963F21" w14:textId="77777777" w:rsidR="00D978E6" w:rsidRDefault="00D978E6" w:rsidP="00C275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722">
              <w:rPr>
                <w:rFonts w:ascii="Arial" w:hAnsi="Arial" w:cs="Arial"/>
                <w:sz w:val="24"/>
                <w:szCs w:val="24"/>
              </w:rPr>
              <w:t xml:space="preserve">Συνοπτικός </w:t>
            </w:r>
          </w:p>
          <w:p w14:paraId="7386F1AB" w14:textId="77777777" w:rsidR="00D978E6" w:rsidRDefault="00D978E6" w:rsidP="00C275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722">
              <w:rPr>
                <w:rFonts w:ascii="Arial" w:hAnsi="Arial" w:cs="Arial"/>
                <w:sz w:val="24"/>
                <w:szCs w:val="24"/>
              </w:rPr>
              <w:t>τίτλος.</w:t>
            </w:r>
          </w:p>
          <w:p w14:paraId="5C79B56F" w14:textId="60D9FB5D" w:rsidR="00A513CD" w:rsidRDefault="00BE3F04" w:rsidP="00C275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513CD">
              <w:rPr>
                <w:rFonts w:ascii="Arial" w:hAnsi="Arial" w:cs="Arial"/>
                <w:sz w:val="24"/>
                <w:szCs w:val="24"/>
              </w:rPr>
              <w:t>Κεφ. 254.</w:t>
            </w:r>
          </w:p>
          <w:p w14:paraId="258D0B82" w14:textId="599CF4BB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 του 1962</w:t>
            </w:r>
          </w:p>
          <w:p w14:paraId="75658B56" w14:textId="1E807410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του 1967</w:t>
            </w:r>
          </w:p>
          <w:p w14:paraId="40F13A5E" w14:textId="2DF7996F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του 1979</w:t>
            </w:r>
          </w:p>
          <w:p w14:paraId="0EC5F119" w14:textId="26DB3B99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του 1989</w:t>
            </w:r>
          </w:p>
          <w:p w14:paraId="438A2796" w14:textId="5104EDCE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33(Ι) του 1993</w:t>
            </w:r>
          </w:p>
          <w:p w14:paraId="4523DC8A" w14:textId="63607DBF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61(Ι) του 1995</w:t>
            </w:r>
          </w:p>
          <w:p w14:paraId="07C4F9E8" w14:textId="37B97233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145(Ι) του 2000</w:t>
            </w:r>
          </w:p>
          <w:p w14:paraId="605ED615" w14:textId="49DB404C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178(Ι) του 2002</w:t>
            </w:r>
          </w:p>
          <w:p w14:paraId="7B3E91FA" w14:textId="020BFD18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89(Ι) του 2003</w:t>
            </w:r>
          </w:p>
          <w:p w14:paraId="20F923E3" w14:textId="2CDB14F5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184(Ι) του 2004</w:t>
            </w:r>
          </w:p>
          <w:p w14:paraId="6BBFC2C8" w14:textId="5888EC74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97(Ι) του 2008</w:t>
            </w:r>
          </w:p>
          <w:p w14:paraId="17E3F9C8" w14:textId="0CCF7B8D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147(Ι) του 2013</w:t>
            </w:r>
          </w:p>
          <w:p w14:paraId="0EC375C4" w14:textId="13163445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128(Ι) του 2014</w:t>
            </w:r>
          </w:p>
          <w:p w14:paraId="55DFF450" w14:textId="442F141F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83(Ι) του 2015</w:t>
            </w:r>
          </w:p>
          <w:p w14:paraId="5D23B8AF" w14:textId="5413E7B3" w:rsidR="00BE3F04" w:rsidRDefault="00BE3F0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179(Ι) του 2015</w:t>
            </w:r>
          </w:p>
          <w:p w14:paraId="1AAC9459" w14:textId="49342964" w:rsidR="00BE3F04" w:rsidRDefault="008632F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44(Ι) του 2017</w:t>
            </w:r>
          </w:p>
          <w:p w14:paraId="7124B2EC" w14:textId="4FCEE917" w:rsidR="008632F4" w:rsidRDefault="008632F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67(Ι) του 2019</w:t>
            </w:r>
          </w:p>
          <w:p w14:paraId="4FD0FD55" w14:textId="758615A9" w:rsidR="008632F4" w:rsidRDefault="008632F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111(Ι) του 2020</w:t>
            </w:r>
          </w:p>
          <w:p w14:paraId="33F9F7F8" w14:textId="07422824" w:rsidR="008632F4" w:rsidRDefault="008632F4" w:rsidP="00BE3F0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199(Ι) του 2021</w:t>
            </w:r>
          </w:p>
          <w:p w14:paraId="7400BE09" w14:textId="699411E9" w:rsidR="00A513CD" w:rsidRPr="00CF0722" w:rsidRDefault="008632F4" w:rsidP="008632F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126(Ι) του 2022.</w:t>
            </w:r>
          </w:p>
        </w:tc>
        <w:tc>
          <w:tcPr>
            <w:tcW w:w="7347" w:type="dxa"/>
          </w:tcPr>
          <w:p w14:paraId="5B87526F" w14:textId="57C6F704" w:rsidR="00D978E6" w:rsidRPr="00CF0722" w:rsidRDefault="00D978E6" w:rsidP="00C275D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Ο παρών Νόμος θα αναφέρεται ως ο περί Φαρμακευτικής και Δηλητηρίων (Τροποποιητικός) </w:t>
            </w:r>
            <w:r w:rsidR="00C275D8">
              <w:rPr>
                <w:rFonts w:ascii="Arial" w:hAnsi="Arial" w:cs="Arial"/>
                <w:sz w:val="24"/>
                <w:szCs w:val="24"/>
              </w:rPr>
              <w:t xml:space="preserve">(Αρ. 2) </w:t>
            </w:r>
            <w:r>
              <w:rPr>
                <w:rFonts w:ascii="Arial" w:hAnsi="Arial" w:cs="Arial"/>
                <w:sz w:val="24"/>
                <w:szCs w:val="24"/>
              </w:rPr>
              <w:t xml:space="preserve">Νόμος του 2022 και </w:t>
            </w:r>
            <w:r w:rsidR="00A513CD">
              <w:rPr>
                <w:rFonts w:ascii="Arial" w:hAnsi="Arial" w:cs="Arial"/>
                <w:sz w:val="24"/>
                <w:szCs w:val="24"/>
              </w:rPr>
              <w:t>θα διαβάζεται μαζί με τον περί Φαρμακευτικής και Δηλητηρίων Νόμο (που στο εξής θα αναφέρεται ως «ο βασικός νόμος»</w:t>
            </w:r>
            <w:r w:rsidR="00BE3F04">
              <w:rPr>
                <w:rFonts w:ascii="Arial" w:hAnsi="Arial" w:cs="Arial"/>
                <w:sz w:val="24"/>
                <w:szCs w:val="24"/>
              </w:rPr>
              <w:t>)</w:t>
            </w:r>
            <w:r w:rsidR="00C275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978E6" w:rsidRPr="00CF0722" w14:paraId="34923E90" w14:textId="77777777" w:rsidTr="008632F4">
        <w:tc>
          <w:tcPr>
            <w:tcW w:w="1985" w:type="dxa"/>
          </w:tcPr>
          <w:p w14:paraId="48484D92" w14:textId="77777777" w:rsidR="00D978E6" w:rsidRDefault="00D978E6" w:rsidP="00C275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</w:tcPr>
          <w:p w14:paraId="18D4BE39" w14:textId="77777777" w:rsidR="00D978E6" w:rsidRDefault="00D978E6" w:rsidP="00C275D8">
            <w:pPr>
              <w:pStyle w:val="ListParagraph"/>
              <w:tabs>
                <w:tab w:val="left" w:pos="279"/>
              </w:tabs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8E6" w:rsidRPr="00CF0722" w14:paraId="11AEC950" w14:textId="77777777" w:rsidTr="008632F4">
        <w:tc>
          <w:tcPr>
            <w:tcW w:w="1985" w:type="dxa"/>
          </w:tcPr>
          <w:p w14:paraId="6976FA71" w14:textId="4257A2B7" w:rsidR="00D978E6" w:rsidRDefault="00A513CD" w:rsidP="00C275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Τροποποίηση του άρθρου 9 του βασικού νόμου.</w:t>
            </w:r>
          </w:p>
        </w:tc>
        <w:tc>
          <w:tcPr>
            <w:tcW w:w="7347" w:type="dxa"/>
          </w:tcPr>
          <w:p w14:paraId="1472C2FB" w14:textId="0844D1A9" w:rsidR="00D978E6" w:rsidRDefault="00A513CD" w:rsidP="00C275D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άρθρο 9 του βασικού νόμου τροποποιείται με την αντικατάσταση </w:t>
            </w:r>
            <w:r w:rsidR="00C41D12">
              <w:rPr>
                <w:rFonts w:ascii="Arial" w:hAnsi="Arial" w:cs="Arial"/>
                <w:sz w:val="24"/>
                <w:szCs w:val="24"/>
              </w:rPr>
              <w:t>σ</w:t>
            </w:r>
            <w:r>
              <w:rPr>
                <w:rFonts w:ascii="Arial" w:hAnsi="Arial" w:cs="Arial"/>
                <w:sz w:val="24"/>
                <w:szCs w:val="24"/>
              </w:rPr>
              <w:t xml:space="preserve">το τέλος της παραγράφου (γ) του εδαφίου (1) </w:t>
            </w:r>
            <w:r w:rsidR="00AE7341">
              <w:rPr>
                <w:rFonts w:ascii="Arial" w:hAnsi="Arial" w:cs="Arial"/>
                <w:sz w:val="24"/>
                <w:szCs w:val="24"/>
              </w:rPr>
              <w:t xml:space="preserve">αυτού </w:t>
            </w:r>
            <w:r>
              <w:rPr>
                <w:rFonts w:ascii="Arial" w:hAnsi="Arial" w:cs="Arial"/>
                <w:sz w:val="24"/>
                <w:szCs w:val="24"/>
              </w:rPr>
              <w:t xml:space="preserve">του σημείου της </w:t>
            </w:r>
            <w:r w:rsidR="00C41D12">
              <w:rPr>
                <w:rFonts w:ascii="Arial" w:hAnsi="Arial" w:cs="Arial"/>
                <w:sz w:val="24"/>
                <w:szCs w:val="24"/>
              </w:rPr>
              <w:t xml:space="preserve">άνω </w:t>
            </w:r>
            <w:r>
              <w:rPr>
                <w:rFonts w:ascii="Arial" w:hAnsi="Arial" w:cs="Arial"/>
                <w:sz w:val="24"/>
                <w:szCs w:val="24"/>
              </w:rPr>
              <w:t>τελείας με το σημείο της διπλής τελείας και την προσθήκη</w:t>
            </w:r>
            <w:r w:rsidR="00C41D1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αμέσως μετά</w:t>
            </w:r>
            <w:r w:rsidR="00C41D1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της ακόλουθης επιφύλαξης:</w:t>
            </w:r>
          </w:p>
        </w:tc>
      </w:tr>
      <w:tr w:rsidR="00A513CD" w:rsidRPr="00CF0722" w14:paraId="19433868" w14:textId="77777777" w:rsidTr="008632F4">
        <w:tc>
          <w:tcPr>
            <w:tcW w:w="1985" w:type="dxa"/>
          </w:tcPr>
          <w:p w14:paraId="44F9CCB1" w14:textId="77777777" w:rsidR="00A513CD" w:rsidRDefault="00A513CD" w:rsidP="00C275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</w:tcPr>
          <w:p w14:paraId="3E2E8222" w14:textId="77777777" w:rsidR="00A513CD" w:rsidRDefault="00A513CD" w:rsidP="00C275D8">
            <w:pPr>
              <w:pStyle w:val="ListParagraph"/>
              <w:tabs>
                <w:tab w:val="left" w:pos="315"/>
              </w:tabs>
              <w:spacing w:line="360" w:lineRule="auto"/>
              <w:ind w:lef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12" w:rsidRPr="00CF0722" w14:paraId="76D89553" w14:textId="77777777" w:rsidTr="00D839F7">
        <w:tc>
          <w:tcPr>
            <w:tcW w:w="1985" w:type="dxa"/>
          </w:tcPr>
          <w:p w14:paraId="796DC964" w14:textId="77777777" w:rsidR="00C41D12" w:rsidRDefault="00C41D12" w:rsidP="00C275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</w:tcPr>
          <w:p w14:paraId="03D3FE8A" w14:textId="685598D7" w:rsidR="00C41D12" w:rsidRDefault="00C41D12" w:rsidP="00C275D8">
            <w:pPr>
              <w:pStyle w:val="ListParagraph"/>
              <w:tabs>
                <w:tab w:val="left" w:pos="279"/>
              </w:tabs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«Νοείται ότι, ανεξάρτητα από τις διατάξεις του παρόντος Νόμου ή οποιουδήποτε άλλου Νόμου ή Κανονισμών, διπλώματα,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πιστοποιητικά ή άλλοι πανεπιστημιακοί ή ισοδύναμοι τίτλοι που αποκτήθηκαν από πανεπιστήμια του Ηνωμένου Βασιλείου μετά την 1</w:t>
            </w:r>
            <w:r w:rsidRPr="00C41D12">
              <w:rPr>
                <w:rFonts w:ascii="Arial" w:hAnsi="Arial" w:cs="Arial"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hAnsi="Arial" w:cs="Arial"/>
                <w:sz w:val="24"/>
                <w:szCs w:val="24"/>
              </w:rPr>
              <w:t xml:space="preserve"> Ιανουαρίου 2021 εξαιρούνται της διαδικασίας αναγνώρισης από το ΚΥ.Σ.Α.Τ.Σ.</w:t>
            </w:r>
            <w:r w:rsidR="00E774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νοουμένου ότι η ημερομηνία έναρξης της φοίτησης για την απόκτηση αυτών ήταν προγενέστερη της εν λόγω ημερομηνίας</w:t>
            </w:r>
            <w:r w:rsidRPr="00C41D12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14:paraId="73AE0B79" w14:textId="77777777" w:rsidR="00C275D8" w:rsidRDefault="00C275D8" w:rsidP="00C275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39B363" w14:textId="77777777" w:rsidR="00C275D8" w:rsidRDefault="00C275D8" w:rsidP="00C275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A9D392" w14:textId="77777777" w:rsidR="00C275D8" w:rsidRDefault="00C275D8" w:rsidP="00C275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CB7158" w14:textId="77777777" w:rsidR="00C275D8" w:rsidRDefault="00C275D8" w:rsidP="00C275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DFE9C1" w14:textId="77777777" w:rsidR="00C275D8" w:rsidRDefault="00C275D8" w:rsidP="00C275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5B7EC2" w14:textId="08856EFD" w:rsidR="00C275D8" w:rsidRPr="00B80795" w:rsidRDefault="00C275D8" w:rsidP="00C275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Φακ.: 23.02.063.148-2022</w:t>
      </w:r>
    </w:p>
    <w:p w14:paraId="4735F36E" w14:textId="77777777" w:rsidR="00C41D12" w:rsidRDefault="00A513CD" w:rsidP="00C275D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ΘΒΚ/</w:t>
      </w:r>
      <w:r w:rsidR="00C275D8">
        <w:rPr>
          <w:rFonts w:ascii="Arial" w:hAnsi="Arial" w:cs="Arial"/>
          <w:sz w:val="16"/>
          <w:szCs w:val="16"/>
        </w:rPr>
        <w:t>ΓΧ</w:t>
      </w:r>
    </w:p>
    <w:p w14:paraId="4DC6F02F" w14:textId="77777777" w:rsidR="00D978E6" w:rsidRDefault="00D978E6" w:rsidP="00C275D8">
      <w:pPr>
        <w:spacing w:line="360" w:lineRule="auto"/>
      </w:pPr>
    </w:p>
    <w:sectPr w:rsidR="00D978E6" w:rsidSect="00DB301D">
      <w:headerReference w:type="default" r:id="rId7"/>
      <w:pgSz w:w="11906" w:h="16838"/>
      <w:pgMar w:top="993" w:right="1134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9DE0" w14:textId="77777777" w:rsidR="00A12D3E" w:rsidRDefault="00A12D3E">
      <w:pPr>
        <w:spacing w:after="0" w:line="240" w:lineRule="auto"/>
      </w:pPr>
      <w:r>
        <w:separator/>
      </w:r>
    </w:p>
  </w:endnote>
  <w:endnote w:type="continuationSeparator" w:id="0">
    <w:p w14:paraId="73CBBF9B" w14:textId="77777777" w:rsidR="00A12D3E" w:rsidRDefault="00A1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56C2" w14:textId="77777777" w:rsidR="00A12D3E" w:rsidRDefault="00A12D3E">
      <w:pPr>
        <w:spacing w:after="0" w:line="240" w:lineRule="auto"/>
      </w:pPr>
      <w:r>
        <w:separator/>
      </w:r>
    </w:p>
  </w:footnote>
  <w:footnote w:type="continuationSeparator" w:id="0">
    <w:p w14:paraId="74AF744E" w14:textId="77777777" w:rsidR="00A12D3E" w:rsidRDefault="00A1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45554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1E3222E" w14:textId="77777777" w:rsidR="00BC724D" w:rsidRPr="00BC724D" w:rsidRDefault="00C275D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BC724D">
          <w:rPr>
            <w:rFonts w:ascii="Arial" w:hAnsi="Arial" w:cs="Arial"/>
            <w:sz w:val="24"/>
            <w:szCs w:val="24"/>
          </w:rPr>
          <w:fldChar w:fldCharType="begin"/>
        </w:r>
        <w:r w:rsidRPr="00BC724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C724D">
          <w:rPr>
            <w:rFonts w:ascii="Arial" w:hAnsi="Arial" w:cs="Arial"/>
            <w:sz w:val="24"/>
            <w:szCs w:val="24"/>
          </w:rPr>
          <w:fldChar w:fldCharType="separate"/>
        </w:r>
        <w:r w:rsidRPr="00BC724D">
          <w:rPr>
            <w:rFonts w:ascii="Arial" w:hAnsi="Arial" w:cs="Arial"/>
            <w:noProof/>
            <w:sz w:val="24"/>
            <w:szCs w:val="24"/>
          </w:rPr>
          <w:t>2</w:t>
        </w:r>
        <w:r w:rsidRPr="00BC724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1A2FDDF" w14:textId="77777777" w:rsidR="00BC724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2A2"/>
    <w:multiLevelType w:val="multilevel"/>
    <w:tmpl w:val="237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07CE9"/>
    <w:multiLevelType w:val="hybridMultilevel"/>
    <w:tmpl w:val="89727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5C2F"/>
    <w:multiLevelType w:val="hybridMultilevel"/>
    <w:tmpl w:val="F502CD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A0930"/>
    <w:multiLevelType w:val="multilevel"/>
    <w:tmpl w:val="2EDE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4424636">
    <w:abstractNumId w:val="2"/>
  </w:num>
  <w:num w:numId="2" w16cid:durableId="660423434">
    <w:abstractNumId w:val="0"/>
  </w:num>
  <w:num w:numId="3" w16cid:durableId="155847802">
    <w:abstractNumId w:val="3"/>
  </w:num>
  <w:num w:numId="4" w16cid:durableId="135523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E6"/>
    <w:rsid w:val="000F04E1"/>
    <w:rsid w:val="0035255A"/>
    <w:rsid w:val="00523803"/>
    <w:rsid w:val="00532432"/>
    <w:rsid w:val="005724AF"/>
    <w:rsid w:val="00606A70"/>
    <w:rsid w:val="007667DB"/>
    <w:rsid w:val="008632F4"/>
    <w:rsid w:val="00867B6A"/>
    <w:rsid w:val="008A0CCF"/>
    <w:rsid w:val="00920E18"/>
    <w:rsid w:val="00942422"/>
    <w:rsid w:val="00980C31"/>
    <w:rsid w:val="009857EC"/>
    <w:rsid w:val="00A12D3E"/>
    <w:rsid w:val="00A513CD"/>
    <w:rsid w:val="00AE7341"/>
    <w:rsid w:val="00BD3753"/>
    <w:rsid w:val="00BE3F04"/>
    <w:rsid w:val="00C275D8"/>
    <w:rsid w:val="00C41D12"/>
    <w:rsid w:val="00C4423F"/>
    <w:rsid w:val="00C614FA"/>
    <w:rsid w:val="00CA0D86"/>
    <w:rsid w:val="00CF7D32"/>
    <w:rsid w:val="00D978E6"/>
    <w:rsid w:val="00DB301D"/>
    <w:rsid w:val="00E215F9"/>
    <w:rsid w:val="00E219EF"/>
    <w:rsid w:val="00E44FFD"/>
    <w:rsid w:val="00E7747C"/>
    <w:rsid w:val="00F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693B"/>
  <w15:chartTrackingRefBased/>
  <w15:docId w15:val="{2274F5A3-F75D-4CC0-BF56-3C9C2246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E6"/>
  </w:style>
  <w:style w:type="paragraph" w:styleId="Footer">
    <w:name w:val="footer"/>
    <w:basedOn w:val="Normal"/>
    <w:link w:val="FooterChar"/>
    <w:uiPriority w:val="99"/>
    <w:unhideWhenUsed/>
    <w:rsid w:val="00D97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Gianna Christoforou</cp:lastModifiedBy>
  <cp:revision>9</cp:revision>
  <cp:lastPrinted>2022-11-04T08:36:00Z</cp:lastPrinted>
  <dcterms:created xsi:type="dcterms:W3CDTF">2022-11-04T08:22:00Z</dcterms:created>
  <dcterms:modified xsi:type="dcterms:W3CDTF">2022-11-04T08:52:00Z</dcterms:modified>
</cp:coreProperties>
</file>