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7E34" w14:textId="1D27FD8B" w:rsidR="006E3664" w:rsidRPr="00AA0B6B" w:rsidRDefault="00E12727" w:rsidP="006D2471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46C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63746C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Ενέργειας, Εμπορίου, Βιομηχανίας και Τουρισμού </w:t>
      </w:r>
      <w:bookmarkEnd w:id="0"/>
      <w:r w:rsidRPr="0063746C">
        <w:rPr>
          <w:rFonts w:ascii="Arial" w:hAnsi="Arial" w:cs="Arial"/>
          <w:b/>
          <w:bCs/>
          <w:sz w:val="24"/>
          <w:szCs w:val="24"/>
        </w:rPr>
        <w:t>για τ</w:t>
      </w:r>
      <w:r w:rsidRPr="0063746C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63746C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D54042">
        <w:rPr>
          <w:rFonts w:ascii="Arial" w:hAnsi="Arial" w:cs="Arial"/>
          <w:b/>
          <w:bCs/>
          <w:sz w:val="24"/>
          <w:szCs w:val="24"/>
        </w:rPr>
        <w:t>ο</w:t>
      </w:r>
      <w:r w:rsidRPr="006374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0B6B">
        <w:rPr>
          <w:rFonts w:ascii="Arial" w:hAnsi="Arial" w:cs="Arial"/>
          <w:b/>
          <w:bCs/>
          <w:sz w:val="24"/>
          <w:szCs w:val="24"/>
        </w:rPr>
        <w:t>«</w:t>
      </w:r>
      <w:r w:rsidR="001C0286" w:rsidRPr="00AA0B6B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Ο περί Προϋπολογισμού του </w:t>
      </w:r>
      <w:r w:rsidR="00CA4638" w:rsidRPr="00AA0B6B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Κυπριακού Οργανισμού Σήμανσης Αντικειμένων από Πολύτιμα Μέταλλα του 2023 </w:t>
      </w:r>
      <w:r w:rsidR="001C0286" w:rsidRPr="00AA0B6B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Νόμος του 2022</w:t>
      </w:r>
      <w:r w:rsidRPr="00AA0B6B">
        <w:rPr>
          <w:rFonts w:ascii="Arial" w:hAnsi="Arial" w:cs="Arial"/>
          <w:b/>
          <w:bCs/>
          <w:sz w:val="24"/>
          <w:szCs w:val="24"/>
        </w:rPr>
        <w:t>»</w:t>
      </w:r>
    </w:p>
    <w:p w14:paraId="136E104D" w14:textId="687D6A3C" w:rsidR="00E12727" w:rsidRPr="0063746C" w:rsidRDefault="00E12727" w:rsidP="006D2471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746C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2078CE6" w14:textId="7ECAD7FC" w:rsidR="00A17A3E" w:rsidRDefault="00E12727" w:rsidP="006D2471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63746C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Κυριάκος Χατζηγιάννης, πρόεδρος </w:t>
      </w:r>
      <w:r w:rsidR="004C5695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315D04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Γιαννάκης Γαβριήλ</w:t>
      </w:r>
    </w:p>
    <w:p w14:paraId="46CCD1B6" w14:textId="77777777" w:rsidR="00315D04" w:rsidRDefault="00A17A3E" w:rsidP="00315D04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>Ονούφριος Κουλλά</w:t>
      </w: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315D04">
        <w:rPr>
          <w:rFonts w:ascii="Arial" w:eastAsia="Simsun (Founder Extended)" w:hAnsi="Arial" w:cs="Arial"/>
          <w:bCs/>
          <w:sz w:val="24"/>
          <w:szCs w:val="24"/>
          <w:lang w:eastAsia="zh-CN"/>
        </w:rPr>
        <w:t>Ανδρέας Πασιουρτίδης</w:t>
      </w:r>
    </w:p>
    <w:p w14:paraId="1451BC65" w14:textId="587E786E" w:rsidR="00C77888" w:rsidRDefault="00E12727" w:rsidP="006D2471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77888">
        <w:rPr>
          <w:rFonts w:ascii="Arial" w:eastAsia="Simsun (Founder Extended)" w:hAnsi="Arial" w:cs="Arial"/>
          <w:bCs/>
          <w:sz w:val="24"/>
          <w:szCs w:val="24"/>
          <w:lang w:eastAsia="zh-CN"/>
        </w:rPr>
        <w:t>Νίκος Σύκας</w:t>
      </w:r>
      <w:r w:rsidR="00C77888" w:rsidRPr="00C77888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r w:rsidR="00C77888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4C5695"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>Πανίκος Λεωνίδου</w:t>
      </w:r>
    </w:p>
    <w:p w14:paraId="53CF30D4" w14:textId="06DEF692" w:rsidR="001C0286" w:rsidRDefault="00C77888" w:rsidP="006D2471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17A3E"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="001C028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4C5695"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</w:p>
    <w:p w14:paraId="4AC12664" w14:textId="77777777" w:rsidR="00900A29" w:rsidRDefault="001C0286" w:rsidP="00BB7ABD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12727" w:rsidRPr="00BB7ABD">
        <w:rPr>
          <w:rFonts w:ascii="Arial" w:hAnsi="Arial" w:cs="Arial"/>
          <w:sz w:val="24"/>
          <w:szCs w:val="24"/>
        </w:rPr>
        <w:t xml:space="preserve">Η Κοινοβουλευτική Επιτροπή Ενέργειας, Εμπορίου, Βιομηχανίας και Τουρισμού </w:t>
      </w:r>
      <w:bookmarkEnd w:id="1"/>
      <w:r w:rsidR="00E12727" w:rsidRPr="00BB7ABD">
        <w:rPr>
          <w:rFonts w:ascii="Arial" w:hAnsi="Arial" w:cs="Arial"/>
          <w:sz w:val="24"/>
          <w:szCs w:val="24"/>
        </w:rPr>
        <w:t xml:space="preserve">μελέτησε το πιο πάνω νομοσχέδιο σε </w:t>
      </w:r>
      <w:r w:rsidR="00837905" w:rsidRPr="00BB7ABD">
        <w:rPr>
          <w:rFonts w:ascii="Arial" w:hAnsi="Arial" w:cs="Arial"/>
          <w:sz w:val="24"/>
          <w:szCs w:val="24"/>
        </w:rPr>
        <w:t xml:space="preserve">δύο </w:t>
      </w:r>
      <w:r w:rsidR="00E12727" w:rsidRPr="00BB7ABD">
        <w:rPr>
          <w:rFonts w:ascii="Arial" w:hAnsi="Arial" w:cs="Arial"/>
          <w:sz w:val="24"/>
          <w:szCs w:val="24"/>
        </w:rPr>
        <w:t xml:space="preserve">συνεδρίες της, που πραγματοποιήθηκαν </w:t>
      </w:r>
      <w:r w:rsidR="007B15B3" w:rsidRPr="00BB7ABD">
        <w:rPr>
          <w:rFonts w:ascii="Arial" w:hAnsi="Arial" w:cs="Arial"/>
          <w:sz w:val="24"/>
          <w:szCs w:val="24"/>
        </w:rPr>
        <w:t xml:space="preserve">στις </w:t>
      </w:r>
      <w:r w:rsidR="00837905" w:rsidRPr="00BB7ABD">
        <w:rPr>
          <w:rFonts w:ascii="Arial" w:hAnsi="Arial" w:cs="Arial"/>
          <w:sz w:val="24"/>
          <w:szCs w:val="24"/>
        </w:rPr>
        <w:t xml:space="preserve">8 και 15 Νοεμβρίου </w:t>
      </w:r>
      <w:r w:rsidR="007B15B3" w:rsidRPr="00BB7ABD">
        <w:rPr>
          <w:rFonts w:ascii="Arial" w:hAnsi="Arial" w:cs="Arial"/>
          <w:sz w:val="24"/>
          <w:szCs w:val="24"/>
        </w:rPr>
        <w:t>2022</w:t>
      </w:r>
      <w:r w:rsidR="00E12727" w:rsidRPr="00BB7ABD">
        <w:rPr>
          <w:rFonts w:ascii="Arial" w:hAnsi="Arial" w:cs="Arial"/>
          <w:sz w:val="24"/>
          <w:szCs w:val="24"/>
        </w:rPr>
        <w:t xml:space="preserve">.  Στο πλαίσιο </w:t>
      </w:r>
      <w:r w:rsidR="00837905" w:rsidRPr="00BB7ABD">
        <w:rPr>
          <w:rFonts w:ascii="Arial" w:hAnsi="Arial" w:cs="Arial"/>
          <w:sz w:val="24"/>
          <w:szCs w:val="24"/>
        </w:rPr>
        <w:t xml:space="preserve">της πρώτης συνεδρίασης </w:t>
      </w:r>
      <w:r w:rsidR="00E12727" w:rsidRPr="00BB7ABD">
        <w:rPr>
          <w:rFonts w:ascii="Arial" w:hAnsi="Arial" w:cs="Arial"/>
          <w:sz w:val="24"/>
          <w:szCs w:val="24"/>
        </w:rPr>
        <w:t xml:space="preserve">της επιτροπής κλήθηκαν και παρευρέθηκαν ενώπιόν </w:t>
      </w:r>
      <w:r w:rsidR="00145CFC" w:rsidRPr="00BB7ABD">
        <w:rPr>
          <w:rFonts w:ascii="Arial" w:hAnsi="Arial" w:cs="Arial"/>
          <w:sz w:val="24"/>
          <w:szCs w:val="24"/>
        </w:rPr>
        <w:t>της</w:t>
      </w:r>
      <w:r w:rsidR="00516F92" w:rsidRPr="00BB7ABD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194173" w:rsidRPr="00BB7ABD">
        <w:rPr>
          <w:rFonts w:ascii="Arial" w:hAnsi="Arial" w:cs="Arial"/>
          <w:sz w:val="24"/>
          <w:szCs w:val="24"/>
        </w:rPr>
        <w:t>εκπρόσωποι του Υπουργείου Ενέργειας, Εμπορίου και Βιομηχανίας, του Υπουργείου Οικονομικών</w:t>
      </w:r>
      <w:r w:rsidR="00CA4638" w:rsidRPr="00BB7ABD">
        <w:rPr>
          <w:rFonts w:ascii="Arial" w:hAnsi="Arial" w:cs="Arial"/>
          <w:sz w:val="24"/>
          <w:szCs w:val="24"/>
        </w:rPr>
        <w:t xml:space="preserve">, o </w:t>
      </w:r>
      <w:r w:rsidR="00315D04">
        <w:rPr>
          <w:rFonts w:ascii="Arial" w:hAnsi="Arial" w:cs="Arial"/>
          <w:sz w:val="24"/>
          <w:szCs w:val="24"/>
        </w:rPr>
        <w:t>α</w:t>
      </w:r>
      <w:r w:rsidR="00AA0B6B" w:rsidRPr="00BB7ABD">
        <w:rPr>
          <w:rFonts w:ascii="Arial" w:hAnsi="Arial" w:cs="Arial"/>
          <w:sz w:val="24"/>
          <w:szCs w:val="24"/>
        </w:rPr>
        <w:t>ντιπ</w:t>
      </w:r>
      <w:r w:rsidR="00CA4638" w:rsidRPr="00BB7ABD">
        <w:rPr>
          <w:rFonts w:ascii="Arial" w:hAnsi="Arial" w:cs="Arial"/>
          <w:sz w:val="24"/>
          <w:szCs w:val="24"/>
        </w:rPr>
        <w:t xml:space="preserve">ρόεδρος του </w:t>
      </w:r>
      <w:r w:rsidR="00315D04">
        <w:rPr>
          <w:rFonts w:ascii="Arial" w:hAnsi="Arial" w:cs="Arial"/>
          <w:sz w:val="24"/>
          <w:szCs w:val="24"/>
        </w:rPr>
        <w:t>δ</w:t>
      </w:r>
      <w:r w:rsidR="00CA4638" w:rsidRPr="00BB7ABD">
        <w:rPr>
          <w:rFonts w:ascii="Arial" w:hAnsi="Arial" w:cs="Arial"/>
          <w:sz w:val="24"/>
          <w:szCs w:val="24"/>
        </w:rPr>
        <w:t xml:space="preserve">ιοικητικού </w:t>
      </w:r>
      <w:r w:rsidR="00315D04">
        <w:rPr>
          <w:rFonts w:ascii="Arial" w:hAnsi="Arial" w:cs="Arial"/>
          <w:sz w:val="24"/>
          <w:szCs w:val="24"/>
        </w:rPr>
        <w:t>σ</w:t>
      </w:r>
      <w:r w:rsidR="00CA4638" w:rsidRPr="00BB7ABD">
        <w:rPr>
          <w:rFonts w:ascii="Arial" w:hAnsi="Arial" w:cs="Arial"/>
          <w:sz w:val="24"/>
          <w:szCs w:val="24"/>
        </w:rPr>
        <w:t xml:space="preserve">υμβουλίου και ο </w:t>
      </w:r>
      <w:r w:rsidR="00315D04">
        <w:rPr>
          <w:rFonts w:ascii="Arial" w:hAnsi="Arial" w:cs="Arial"/>
          <w:sz w:val="24"/>
          <w:szCs w:val="24"/>
        </w:rPr>
        <w:t>α</w:t>
      </w:r>
      <w:r w:rsidR="00CA4638" w:rsidRPr="00BB7ABD">
        <w:rPr>
          <w:rFonts w:ascii="Arial" w:hAnsi="Arial" w:cs="Arial"/>
          <w:sz w:val="24"/>
          <w:szCs w:val="24"/>
        </w:rPr>
        <w:t>ναπλ</w:t>
      </w:r>
      <w:r w:rsidR="00AA0B6B" w:rsidRPr="00BB7ABD">
        <w:rPr>
          <w:rFonts w:ascii="Arial" w:hAnsi="Arial" w:cs="Arial"/>
          <w:sz w:val="24"/>
          <w:szCs w:val="24"/>
        </w:rPr>
        <w:t>ηρωτής</w:t>
      </w:r>
      <w:r w:rsidR="00CA4638" w:rsidRPr="00BB7ABD">
        <w:rPr>
          <w:rFonts w:ascii="Arial" w:hAnsi="Arial" w:cs="Arial"/>
          <w:sz w:val="24"/>
          <w:szCs w:val="24"/>
        </w:rPr>
        <w:t xml:space="preserve"> </w:t>
      </w:r>
      <w:r w:rsidR="00315D04">
        <w:rPr>
          <w:rFonts w:ascii="Arial" w:hAnsi="Arial" w:cs="Arial"/>
          <w:sz w:val="24"/>
          <w:szCs w:val="24"/>
        </w:rPr>
        <w:t>δ</w:t>
      </w:r>
      <w:r w:rsidR="00CA4638" w:rsidRPr="00BB7ABD">
        <w:rPr>
          <w:rFonts w:ascii="Arial" w:hAnsi="Arial" w:cs="Arial"/>
          <w:sz w:val="24"/>
          <w:szCs w:val="24"/>
        </w:rPr>
        <w:t>ιευθυντής του Κυπριακού Οργανισμού Σήμανσης Αντικειμένων από Πολύτιμα Μέταλλα</w:t>
      </w:r>
      <w:r w:rsidR="00315D04">
        <w:rPr>
          <w:rFonts w:ascii="Arial" w:hAnsi="Arial" w:cs="Arial"/>
          <w:sz w:val="24"/>
          <w:szCs w:val="24"/>
        </w:rPr>
        <w:t xml:space="preserve"> (ΚΟΣΑΠΜ)</w:t>
      </w:r>
      <w:r w:rsidR="00CA4638" w:rsidRPr="00BB7ABD">
        <w:rPr>
          <w:rFonts w:ascii="Arial" w:hAnsi="Arial" w:cs="Arial"/>
          <w:sz w:val="24"/>
          <w:szCs w:val="24"/>
        </w:rPr>
        <w:t>.</w:t>
      </w:r>
      <w:r w:rsidR="006D2471" w:rsidRPr="00BB7ABD">
        <w:rPr>
          <w:rFonts w:ascii="Arial" w:hAnsi="Arial" w:cs="Arial"/>
          <w:sz w:val="24"/>
          <w:szCs w:val="24"/>
        </w:rPr>
        <w:t xml:space="preserve"> </w:t>
      </w:r>
      <w:r w:rsidR="003B4088" w:rsidRPr="00BB7ABD">
        <w:rPr>
          <w:rFonts w:ascii="Arial" w:hAnsi="Arial" w:cs="Arial"/>
          <w:sz w:val="24"/>
          <w:szCs w:val="24"/>
        </w:rPr>
        <w:t xml:space="preserve"> </w:t>
      </w:r>
    </w:p>
    <w:p w14:paraId="2016CD01" w14:textId="6EEAB6E6" w:rsidR="00194173" w:rsidRPr="00BB7ABD" w:rsidRDefault="00900A29" w:rsidP="00BB7ABD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4088" w:rsidRPr="00BB7ABD">
        <w:rPr>
          <w:rFonts w:ascii="Arial" w:hAnsi="Arial" w:cs="Arial"/>
          <w:sz w:val="24"/>
          <w:szCs w:val="24"/>
        </w:rPr>
        <w:t>Το Τμήμα Δημόσιας Διοίκησης και Προσωπικού του Υπουργείου Οικονομικών και η Νομική Υπηρεσία της Δημοκρατίας, παρ’ όλο που κλήθηκαν, δεν εκπροσωπήθηκαν στη συνεδρία της επιτροπής.</w:t>
      </w:r>
    </w:p>
    <w:p w14:paraId="186D880E" w14:textId="569ACF50" w:rsidR="00E12727" w:rsidRPr="00BB7ABD" w:rsidRDefault="006D2471" w:rsidP="006D2471">
      <w:pPr>
        <w:pStyle w:val="BodyText2"/>
        <w:tabs>
          <w:tab w:val="left" w:pos="1134"/>
        </w:tabs>
        <w:rPr>
          <w:rFonts w:eastAsia="SimSun" w:cs="Arial"/>
          <w:szCs w:val="24"/>
        </w:rPr>
      </w:pPr>
      <w:r w:rsidRPr="00BB7ABD">
        <w:rPr>
          <w:rFonts w:cs="Arial"/>
          <w:szCs w:val="24"/>
        </w:rPr>
        <w:tab/>
      </w:r>
      <w:r w:rsidR="00F84CB2" w:rsidRPr="00BB7ABD">
        <w:rPr>
          <w:rFonts w:cs="Arial"/>
          <w:szCs w:val="24"/>
        </w:rPr>
        <w:t>Στο στάδιο της συζήτησης του νομοσχεδίου</w:t>
      </w:r>
      <w:r w:rsidR="00315D04">
        <w:rPr>
          <w:rFonts w:cs="Arial"/>
          <w:szCs w:val="24"/>
        </w:rPr>
        <w:t xml:space="preserve"> στη συνεδρία της επιτροπής παρέστη</w:t>
      </w:r>
      <w:r w:rsidR="00F84CB2" w:rsidRPr="00BB7ABD">
        <w:rPr>
          <w:rFonts w:cs="Arial"/>
          <w:szCs w:val="24"/>
        </w:rPr>
        <w:t xml:space="preserve"> επίσης </w:t>
      </w:r>
      <w:r w:rsidR="00C77888" w:rsidRPr="00BB7ABD">
        <w:rPr>
          <w:rFonts w:cs="Arial"/>
          <w:szCs w:val="24"/>
        </w:rPr>
        <w:t>τ</w:t>
      </w:r>
      <w:r w:rsidR="00BA015E">
        <w:rPr>
          <w:rFonts w:cs="Arial"/>
          <w:szCs w:val="24"/>
        </w:rPr>
        <w:t>ο</w:t>
      </w:r>
      <w:r w:rsidR="00C77888" w:rsidRPr="00BB7ABD">
        <w:rPr>
          <w:rFonts w:cs="Arial"/>
          <w:szCs w:val="24"/>
        </w:rPr>
        <w:t xml:space="preserve"> μέλ</w:t>
      </w:r>
      <w:r w:rsidR="00BA015E">
        <w:rPr>
          <w:rFonts w:cs="Arial"/>
          <w:szCs w:val="24"/>
        </w:rPr>
        <w:t>ος</w:t>
      </w:r>
      <w:r w:rsidR="00C77888" w:rsidRPr="00BB7ABD">
        <w:rPr>
          <w:rFonts w:cs="Arial"/>
          <w:szCs w:val="24"/>
        </w:rPr>
        <w:t xml:space="preserve"> της </w:t>
      </w:r>
      <w:r w:rsidR="004A130F">
        <w:rPr>
          <w:rFonts w:cs="Arial"/>
          <w:szCs w:val="24"/>
        </w:rPr>
        <w:t>κ. Χρύσης Παντελίδης.</w:t>
      </w:r>
    </w:p>
    <w:p w14:paraId="3DA9C4A3" w14:textId="45C8554A" w:rsidR="00C1668A" w:rsidRDefault="00C1668A" w:rsidP="00014121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14121">
        <w:rPr>
          <w:rFonts w:ascii="Arial" w:hAnsi="Arial" w:cs="Arial"/>
          <w:sz w:val="24"/>
          <w:szCs w:val="24"/>
        </w:rPr>
        <w:t>Σημειώνεται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ότι η επιτροπή, για λόγους που προκύπτουν από τη σημασία και τους σκοπούς των προτεινόμενων νομοθετικών ρυθμίσεων, έκρινε σκόπιμη την κατά προτεραιότητα συζήτηση του νομοσχεδίου</w:t>
      </w:r>
      <w:r w:rsidR="00900A29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σύμφωνα με τις πρόνοιες του Κανονισμού 40Α του Κανονισμού της Βουλής</w:t>
      </w:r>
      <w:r w:rsidR="00315D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των Αντιπροσώπων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900A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Ειδικότερα, για τη συζήτηση του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νομοσχεδίου ακολουθήθηκε η προβλεπόμενη διαδικασία συζήτησης όσον αφορά τα προνοούμενα στον Κανονισμό της Βουλής στάδια συζήτησης, αλλά</w:t>
      </w:r>
      <w:r w:rsidR="00315D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για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επίσπευση της διαδικασίας</w:t>
      </w:r>
      <w:r w:rsidR="00315D04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τα εν λόγω στάδια έχουν συμπτυχθεί.</w:t>
      </w:r>
    </w:p>
    <w:p w14:paraId="21851C14" w14:textId="2466959F" w:rsidR="00194173" w:rsidRDefault="006D2471" w:rsidP="006D2471">
      <w:pPr>
        <w:pStyle w:val="BodyText2"/>
        <w:tabs>
          <w:tab w:val="left" w:pos="1134"/>
        </w:tabs>
        <w:rPr>
          <w:rFonts w:cs="Arial"/>
          <w:szCs w:val="24"/>
        </w:rPr>
      </w:pPr>
      <w:r>
        <w:rPr>
          <w:rFonts w:eastAsia="Calibri" w:cs="Arial"/>
          <w:bCs/>
          <w:szCs w:val="24"/>
        </w:rPr>
        <w:tab/>
      </w:r>
      <w:r w:rsidR="00E12727" w:rsidRPr="0063746C">
        <w:rPr>
          <w:rFonts w:eastAsia="Calibri" w:cs="Arial"/>
          <w:bCs/>
          <w:szCs w:val="24"/>
        </w:rPr>
        <w:t xml:space="preserve">Σκοπός του προτεινόμενου νόμου </w:t>
      </w:r>
      <w:r w:rsidR="00E12727" w:rsidRPr="0063746C">
        <w:rPr>
          <w:rFonts w:cs="Arial"/>
          <w:szCs w:val="24"/>
        </w:rPr>
        <w:t xml:space="preserve">είναι η </w:t>
      </w:r>
      <w:r w:rsidR="00194173">
        <w:rPr>
          <w:rFonts w:cs="Arial"/>
          <w:szCs w:val="24"/>
        </w:rPr>
        <w:t xml:space="preserve">έγκριση του </w:t>
      </w:r>
      <w:r w:rsidR="00315D04">
        <w:rPr>
          <w:rFonts w:cs="Arial"/>
          <w:szCs w:val="24"/>
        </w:rPr>
        <w:t>π</w:t>
      </w:r>
      <w:r w:rsidR="00194173">
        <w:rPr>
          <w:rFonts w:cs="Arial"/>
          <w:szCs w:val="24"/>
        </w:rPr>
        <w:t xml:space="preserve">ροϋπολογισμού του </w:t>
      </w:r>
      <w:r w:rsidR="00314E54">
        <w:rPr>
          <w:rFonts w:cs="Arial"/>
          <w:szCs w:val="24"/>
        </w:rPr>
        <w:t>ΚΟΣΑΠΜ</w:t>
      </w:r>
      <w:r w:rsidR="00194173">
        <w:rPr>
          <w:rFonts w:cs="Arial"/>
          <w:szCs w:val="24"/>
        </w:rPr>
        <w:t xml:space="preserve"> για το έτος 2023, ο οποίος προβλέπει συνολικές δαπάνες ύψους €</w:t>
      </w:r>
      <w:r w:rsidR="00314E54">
        <w:rPr>
          <w:rFonts w:cs="Arial"/>
          <w:szCs w:val="24"/>
        </w:rPr>
        <w:t>620</w:t>
      </w:r>
      <w:r w:rsidR="00194173">
        <w:rPr>
          <w:rFonts w:cs="Arial"/>
          <w:szCs w:val="24"/>
        </w:rPr>
        <w:t>.</w:t>
      </w:r>
      <w:r w:rsidR="00314E54">
        <w:rPr>
          <w:rFonts w:cs="Arial"/>
          <w:szCs w:val="24"/>
        </w:rPr>
        <w:t>894</w:t>
      </w:r>
      <w:r w:rsidR="00194173">
        <w:rPr>
          <w:rFonts w:cs="Arial"/>
          <w:szCs w:val="24"/>
        </w:rPr>
        <w:t xml:space="preserve"> και συνολικά έσοδα ύψους €</w:t>
      </w:r>
      <w:r w:rsidR="00314E54">
        <w:rPr>
          <w:rFonts w:cs="Arial"/>
          <w:szCs w:val="24"/>
        </w:rPr>
        <w:t>558</w:t>
      </w:r>
      <w:r w:rsidR="00194173">
        <w:rPr>
          <w:rFonts w:cs="Arial"/>
          <w:szCs w:val="24"/>
        </w:rPr>
        <w:t>.</w:t>
      </w:r>
      <w:r w:rsidR="00314E54">
        <w:rPr>
          <w:rFonts w:cs="Arial"/>
          <w:szCs w:val="24"/>
        </w:rPr>
        <w:t>951</w:t>
      </w:r>
      <w:r w:rsidR="00194173">
        <w:rPr>
          <w:rFonts w:cs="Arial"/>
          <w:szCs w:val="24"/>
        </w:rPr>
        <w:t>.</w:t>
      </w:r>
    </w:p>
    <w:p w14:paraId="14A5A9E8" w14:textId="607A508D" w:rsidR="00194173" w:rsidRDefault="006D2471" w:rsidP="006D2471">
      <w:pPr>
        <w:pStyle w:val="BodyText2"/>
        <w:tabs>
          <w:tab w:val="left" w:pos="1134"/>
        </w:tabs>
        <w:rPr>
          <w:rFonts w:eastAsia="Calibri" w:cs="Arial"/>
          <w:bCs/>
          <w:szCs w:val="24"/>
        </w:rPr>
      </w:pPr>
      <w:bookmarkStart w:id="2" w:name="_Hlk77666777"/>
      <w:r>
        <w:rPr>
          <w:rFonts w:eastAsia="Calibri" w:cs="Arial"/>
          <w:bCs/>
          <w:szCs w:val="24"/>
        </w:rPr>
        <w:tab/>
      </w:r>
      <w:r w:rsidR="00E12727" w:rsidRPr="00913167">
        <w:rPr>
          <w:rFonts w:eastAsia="Calibri" w:cs="Arial"/>
          <w:bCs/>
          <w:szCs w:val="24"/>
        </w:rPr>
        <w:t xml:space="preserve">Ειδικότερα, </w:t>
      </w:r>
      <w:bookmarkEnd w:id="2"/>
      <w:r w:rsidR="00194173">
        <w:rPr>
          <w:rFonts w:eastAsia="Calibri" w:cs="Arial"/>
          <w:bCs/>
          <w:szCs w:val="24"/>
        </w:rPr>
        <w:t>σύμφωνα με τα στοιχεία</w:t>
      </w:r>
      <w:r w:rsidR="00EC18AB">
        <w:rPr>
          <w:rFonts w:eastAsia="Calibri" w:cs="Arial"/>
          <w:bCs/>
          <w:szCs w:val="24"/>
        </w:rPr>
        <w:t xml:space="preserve"> που κατατέθηκαν ενώπιον της επιτροπής,</w:t>
      </w:r>
      <w:r w:rsidR="00194173">
        <w:rPr>
          <w:rFonts w:eastAsia="Calibri" w:cs="Arial"/>
          <w:bCs/>
          <w:szCs w:val="24"/>
        </w:rPr>
        <w:t xml:space="preserve"> οι </w:t>
      </w:r>
      <w:r w:rsidR="00C67447">
        <w:rPr>
          <w:rFonts w:eastAsia="Calibri" w:cs="Arial"/>
          <w:bCs/>
          <w:szCs w:val="24"/>
        </w:rPr>
        <w:t>κ</w:t>
      </w:r>
      <w:r w:rsidR="00194173">
        <w:rPr>
          <w:rFonts w:eastAsia="Calibri" w:cs="Arial"/>
          <w:bCs/>
          <w:szCs w:val="24"/>
        </w:rPr>
        <w:t xml:space="preserve">υριότερες δαπάνες του </w:t>
      </w:r>
      <w:r w:rsidR="008D6034">
        <w:rPr>
          <w:rFonts w:eastAsia="Calibri" w:cs="Arial"/>
          <w:bCs/>
          <w:szCs w:val="24"/>
        </w:rPr>
        <w:t>ΚΟΣΑΠΜ</w:t>
      </w:r>
      <w:r w:rsidR="00194173">
        <w:rPr>
          <w:rFonts w:eastAsia="Calibri" w:cs="Arial"/>
          <w:bCs/>
          <w:szCs w:val="24"/>
        </w:rPr>
        <w:t xml:space="preserve"> κατανέμονται ως ακολούθως: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6D2471" w14:paraId="4BE24F86" w14:textId="77777777" w:rsidTr="006D2471">
        <w:tc>
          <w:tcPr>
            <w:tcW w:w="7797" w:type="dxa"/>
          </w:tcPr>
          <w:p w14:paraId="56EA81D7" w14:textId="525B741B" w:rsidR="006D2471" w:rsidRDefault="006D2471" w:rsidP="00315D04">
            <w:pPr>
              <w:pStyle w:val="BodyText2"/>
              <w:numPr>
                <w:ilvl w:val="0"/>
                <w:numId w:val="13"/>
              </w:numPr>
              <w:tabs>
                <w:tab w:val="left" w:pos="1134"/>
              </w:tabs>
              <w:ind w:left="567" w:hanging="567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Δαπάνες προσωπικού</w:t>
            </w:r>
          </w:p>
        </w:tc>
        <w:tc>
          <w:tcPr>
            <w:tcW w:w="1559" w:type="dxa"/>
          </w:tcPr>
          <w:p w14:paraId="7D83FF33" w14:textId="2D8BE2E1" w:rsidR="006D2471" w:rsidRDefault="006D2471" w:rsidP="006D2471">
            <w:pPr>
              <w:pStyle w:val="BodyText2"/>
              <w:tabs>
                <w:tab w:val="left" w:pos="1134"/>
              </w:tabs>
              <w:jc w:val="right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€528.244</w:t>
            </w:r>
          </w:p>
        </w:tc>
      </w:tr>
      <w:tr w:rsidR="006D2471" w14:paraId="7790EDDE" w14:textId="77777777" w:rsidTr="006D2471">
        <w:tc>
          <w:tcPr>
            <w:tcW w:w="7797" w:type="dxa"/>
          </w:tcPr>
          <w:p w14:paraId="2976EABB" w14:textId="36B4C16E" w:rsidR="006D2471" w:rsidRDefault="006D2471" w:rsidP="006D2471">
            <w:pPr>
              <w:pStyle w:val="BodyText2"/>
              <w:numPr>
                <w:ilvl w:val="0"/>
                <w:numId w:val="13"/>
              </w:numPr>
              <w:tabs>
                <w:tab w:val="left" w:pos="1134"/>
              </w:tabs>
              <w:ind w:left="567" w:hanging="567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Λειτουργικές και άλλες δαπάνες</w:t>
            </w:r>
          </w:p>
        </w:tc>
        <w:tc>
          <w:tcPr>
            <w:tcW w:w="1559" w:type="dxa"/>
          </w:tcPr>
          <w:p w14:paraId="5217D69C" w14:textId="5BEDD431" w:rsidR="006D2471" w:rsidRDefault="006D2471" w:rsidP="006D2471">
            <w:pPr>
              <w:pStyle w:val="BodyText2"/>
              <w:tabs>
                <w:tab w:val="left" w:pos="1134"/>
              </w:tabs>
              <w:jc w:val="right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€91.750</w:t>
            </w:r>
          </w:p>
        </w:tc>
      </w:tr>
      <w:tr w:rsidR="006D2471" w14:paraId="08631D92" w14:textId="77777777" w:rsidTr="006D2471">
        <w:tc>
          <w:tcPr>
            <w:tcW w:w="7797" w:type="dxa"/>
          </w:tcPr>
          <w:p w14:paraId="11CCF15E" w14:textId="77E247DB" w:rsidR="006D2471" w:rsidRDefault="006D2471" w:rsidP="006D2471">
            <w:pPr>
              <w:pStyle w:val="BodyText2"/>
              <w:numPr>
                <w:ilvl w:val="0"/>
                <w:numId w:val="13"/>
              </w:numPr>
              <w:tabs>
                <w:tab w:val="left" w:pos="1134"/>
              </w:tabs>
              <w:ind w:left="567" w:hanging="567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Δαπάνες για μεταβιβάσεις εσωτερικού και εξωτερικού</w:t>
            </w:r>
          </w:p>
        </w:tc>
        <w:tc>
          <w:tcPr>
            <w:tcW w:w="1559" w:type="dxa"/>
          </w:tcPr>
          <w:p w14:paraId="7E54703F" w14:textId="5728BD9E" w:rsidR="006D2471" w:rsidRDefault="006D2471" w:rsidP="006D2471">
            <w:pPr>
              <w:pStyle w:val="BodyText2"/>
              <w:tabs>
                <w:tab w:val="left" w:pos="1134"/>
              </w:tabs>
              <w:jc w:val="right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€900</w:t>
            </w:r>
          </w:p>
        </w:tc>
      </w:tr>
      <w:tr w:rsidR="006D2471" w14:paraId="774D1290" w14:textId="77777777" w:rsidTr="006D2471">
        <w:tc>
          <w:tcPr>
            <w:tcW w:w="7797" w:type="dxa"/>
          </w:tcPr>
          <w:p w14:paraId="30E91F85" w14:textId="1FEC4423" w:rsidR="006D2471" w:rsidRDefault="006D2471" w:rsidP="003C717D">
            <w:pPr>
              <w:pStyle w:val="BodyText2"/>
              <w:tabs>
                <w:tab w:val="left" w:pos="1134"/>
              </w:tabs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Σύνολο δαπανών</w:t>
            </w:r>
          </w:p>
        </w:tc>
        <w:tc>
          <w:tcPr>
            <w:tcW w:w="1559" w:type="dxa"/>
          </w:tcPr>
          <w:p w14:paraId="7A6B0934" w14:textId="771AB899" w:rsidR="006D2471" w:rsidRDefault="006D2471" w:rsidP="006D2471">
            <w:pPr>
              <w:pStyle w:val="BodyText2"/>
              <w:tabs>
                <w:tab w:val="left" w:pos="1134"/>
              </w:tabs>
              <w:jc w:val="right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€620.894</w:t>
            </w:r>
          </w:p>
        </w:tc>
      </w:tr>
    </w:tbl>
    <w:p w14:paraId="067D9EA8" w14:textId="728535C0" w:rsidR="003E41E7" w:rsidRDefault="006D2471" w:rsidP="006D2471">
      <w:pPr>
        <w:pStyle w:val="BodyText2"/>
        <w:tabs>
          <w:tab w:val="left" w:pos="1134"/>
        </w:tabs>
        <w:ind w:right="-2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ab/>
      </w:r>
      <w:r w:rsidR="003E41E7">
        <w:rPr>
          <w:rFonts w:eastAsia="Calibri" w:cs="Arial"/>
          <w:bCs/>
          <w:szCs w:val="24"/>
        </w:rPr>
        <w:t xml:space="preserve">Τα έσοδα του </w:t>
      </w:r>
      <w:r w:rsidR="008D6034">
        <w:rPr>
          <w:rFonts w:eastAsia="Calibri" w:cs="Arial"/>
          <w:bCs/>
          <w:szCs w:val="24"/>
        </w:rPr>
        <w:t>ΚΟΣΑΠΜ</w:t>
      </w:r>
      <w:r w:rsidR="003E41E7">
        <w:rPr>
          <w:rFonts w:eastAsia="Calibri" w:cs="Arial"/>
          <w:bCs/>
          <w:szCs w:val="24"/>
        </w:rPr>
        <w:t xml:space="preserve"> συνοψίζονται στα ακόλουθα</w:t>
      </w:r>
      <w:r>
        <w:rPr>
          <w:rFonts w:eastAsia="Calibri" w:cs="Arial"/>
          <w:bCs/>
          <w:szCs w:val="24"/>
        </w:rPr>
        <w:t>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6D2471" w14:paraId="6380B2C6" w14:textId="77777777" w:rsidTr="006900F4">
        <w:tc>
          <w:tcPr>
            <w:tcW w:w="7797" w:type="dxa"/>
          </w:tcPr>
          <w:p w14:paraId="12EFD8B1" w14:textId="2E41897C" w:rsidR="006D2471" w:rsidRDefault="006D2471" w:rsidP="006D2471">
            <w:pPr>
              <w:pStyle w:val="BodyText2"/>
              <w:numPr>
                <w:ilvl w:val="0"/>
                <w:numId w:val="14"/>
              </w:numPr>
              <w:tabs>
                <w:tab w:val="left" w:pos="1134"/>
              </w:tabs>
              <w:ind w:left="567" w:hanging="567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Προσφορά υπηρεσιών και αγαθών</w:t>
            </w:r>
          </w:p>
        </w:tc>
        <w:tc>
          <w:tcPr>
            <w:tcW w:w="1559" w:type="dxa"/>
          </w:tcPr>
          <w:p w14:paraId="1658B0BB" w14:textId="67DB3FBA" w:rsidR="006D2471" w:rsidRDefault="006D2471" w:rsidP="006900F4">
            <w:pPr>
              <w:pStyle w:val="BodyText2"/>
              <w:tabs>
                <w:tab w:val="left" w:pos="1134"/>
              </w:tabs>
              <w:jc w:val="right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€401.951</w:t>
            </w:r>
          </w:p>
        </w:tc>
      </w:tr>
      <w:tr w:rsidR="006D2471" w14:paraId="75D8BBFE" w14:textId="77777777" w:rsidTr="006900F4">
        <w:tc>
          <w:tcPr>
            <w:tcW w:w="7797" w:type="dxa"/>
          </w:tcPr>
          <w:p w14:paraId="5B5742A6" w14:textId="49C548D5" w:rsidR="006D2471" w:rsidRDefault="006D2471" w:rsidP="00014121">
            <w:pPr>
              <w:pStyle w:val="BodyText2"/>
              <w:numPr>
                <w:ilvl w:val="0"/>
                <w:numId w:val="14"/>
              </w:numPr>
              <w:tabs>
                <w:tab w:val="left" w:pos="1134"/>
              </w:tabs>
              <w:ind w:left="567" w:hanging="567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Ε</w:t>
            </w:r>
            <w:r w:rsidR="00014121">
              <w:rPr>
                <w:rFonts w:eastAsia="Calibri" w:cs="Arial"/>
                <w:bCs/>
                <w:szCs w:val="24"/>
              </w:rPr>
              <w:t>νοίκια, δικαιώματα και άλλοι πρόσο</w:t>
            </w:r>
            <w:r>
              <w:rPr>
                <w:rFonts w:eastAsia="Calibri" w:cs="Arial"/>
                <w:bCs/>
                <w:szCs w:val="24"/>
              </w:rPr>
              <w:t>δοι</w:t>
            </w:r>
          </w:p>
        </w:tc>
        <w:tc>
          <w:tcPr>
            <w:tcW w:w="1559" w:type="dxa"/>
          </w:tcPr>
          <w:p w14:paraId="3DA4C9A6" w14:textId="7514B62F" w:rsidR="006D2471" w:rsidRDefault="006D2471" w:rsidP="006900F4">
            <w:pPr>
              <w:pStyle w:val="BodyText2"/>
              <w:tabs>
                <w:tab w:val="left" w:pos="1134"/>
              </w:tabs>
              <w:jc w:val="right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€8.000</w:t>
            </w:r>
          </w:p>
        </w:tc>
      </w:tr>
      <w:tr w:rsidR="006D2471" w14:paraId="35B7B6CF" w14:textId="77777777" w:rsidTr="006900F4">
        <w:tc>
          <w:tcPr>
            <w:tcW w:w="7797" w:type="dxa"/>
          </w:tcPr>
          <w:p w14:paraId="16B1058C" w14:textId="41C1E0B0" w:rsidR="006D2471" w:rsidRDefault="006D2471" w:rsidP="006D2471">
            <w:pPr>
              <w:pStyle w:val="BodyText2"/>
              <w:numPr>
                <w:ilvl w:val="0"/>
                <w:numId w:val="14"/>
              </w:numPr>
              <w:tabs>
                <w:tab w:val="left" w:pos="1134"/>
              </w:tabs>
              <w:ind w:left="567" w:hanging="567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Πρόστιμα και χρηματικές ποινές</w:t>
            </w:r>
          </w:p>
        </w:tc>
        <w:tc>
          <w:tcPr>
            <w:tcW w:w="1559" w:type="dxa"/>
          </w:tcPr>
          <w:p w14:paraId="202E9285" w14:textId="34DDA312" w:rsidR="006D2471" w:rsidRDefault="006D2471" w:rsidP="006900F4">
            <w:pPr>
              <w:pStyle w:val="BodyText2"/>
              <w:tabs>
                <w:tab w:val="left" w:pos="1134"/>
              </w:tabs>
              <w:jc w:val="right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€74.000</w:t>
            </w:r>
          </w:p>
        </w:tc>
      </w:tr>
      <w:tr w:rsidR="006D2471" w14:paraId="621D3C5F" w14:textId="77777777" w:rsidTr="006900F4">
        <w:tc>
          <w:tcPr>
            <w:tcW w:w="7797" w:type="dxa"/>
          </w:tcPr>
          <w:p w14:paraId="63ECE968" w14:textId="6F14848A" w:rsidR="006D2471" w:rsidRDefault="006D2471" w:rsidP="006D2471">
            <w:pPr>
              <w:pStyle w:val="BodyText2"/>
              <w:numPr>
                <w:ilvl w:val="0"/>
                <w:numId w:val="14"/>
              </w:numPr>
              <w:tabs>
                <w:tab w:val="left" w:pos="1134"/>
              </w:tabs>
              <w:ind w:left="567" w:hanging="567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Άλλα έσοδα</w:t>
            </w:r>
          </w:p>
        </w:tc>
        <w:tc>
          <w:tcPr>
            <w:tcW w:w="1559" w:type="dxa"/>
          </w:tcPr>
          <w:p w14:paraId="12C31C31" w14:textId="0145E97F" w:rsidR="006D2471" w:rsidRDefault="006D2471" w:rsidP="006900F4">
            <w:pPr>
              <w:pStyle w:val="BodyText2"/>
              <w:tabs>
                <w:tab w:val="left" w:pos="1134"/>
              </w:tabs>
              <w:jc w:val="right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€75.000</w:t>
            </w:r>
          </w:p>
        </w:tc>
      </w:tr>
      <w:tr w:rsidR="006D2471" w14:paraId="57B915C6" w14:textId="77777777" w:rsidTr="006900F4">
        <w:tc>
          <w:tcPr>
            <w:tcW w:w="7797" w:type="dxa"/>
          </w:tcPr>
          <w:p w14:paraId="16A1E7AC" w14:textId="7BE08934" w:rsidR="006D2471" w:rsidRDefault="006D2471" w:rsidP="006900F4">
            <w:pPr>
              <w:pStyle w:val="BodyText2"/>
              <w:tabs>
                <w:tab w:val="left" w:pos="1134"/>
              </w:tabs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Σύνολο εσόδων</w:t>
            </w:r>
          </w:p>
        </w:tc>
        <w:tc>
          <w:tcPr>
            <w:tcW w:w="1559" w:type="dxa"/>
          </w:tcPr>
          <w:p w14:paraId="5C417F2F" w14:textId="44412075" w:rsidR="006D2471" w:rsidRDefault="006D2471" w:rsidP="006D2471">
            <w:pPr>
              <w:pStyle w:val="BodyText2"/>
              <w:tabs>
                <w:tab w:val="left" w:pos="1134"/>
              </w:tabs>
              <w:jc w:val="right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€558.951</w:t>
            </w:r>
          </w:p>
        </w:tc>
      </w:tr>
    </w:tbl>
    <w:p w14:paraId="63AC520B" w14:textId="4E623996" w:rsidR="008C027B" w:rsidRDefault="00AA0B6B" w:rsidP="006D2471">
      <w:pPr>
        <w:pStyle w:val="BodyText2"/>
        <w:tabs>
          <w:tab w:val="left" w:pos="1134"/>
        </w:tabs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 xml:space="preserve">Στο πλαίσιο της εξέτασης του νομοσχεδίου </w:t>
      </w:r>
      <w:r w:rsidR="008C027B">
        <w:rPr>
          <w:rFonts w:eastAsia="Calibri" w:cs="Arial"/>
          <w:szCs w:val="24"/>
        </w:rPr>
        <w:t xml:space="preserve">ο εκπρόσωπος του Υπουργείου Ενέργειας, Εμπορίου και Βιομηχανίας </w:t>
      </w:r>
      <w:r w:rsidR="00701F82">
        <w:rPr>
          <w:rFonts w:eastAsia="Calibri" w:cs="Arial"/>
          <w:szCs w:val="24"/>
        </w:rPr>
        <w:t>σημείωσε ότι ο υπό συζήτηση προϋπολογισμός καταρτίστηκε στη βάση της τρέχουσας κατάστασης στην αγορά, η οποία</w:t>
      </w:r>
      <w:r w:rsidR="00315D04">
        <w:rPr>
          <w:rFonts w:eastAsia="Calibri" w:cs="Arial"/>
          <w:szCs w:val="24"/>
        </w:rPr>
        <w:t xml:space="preserve"> επηρεάζεται από τις </w:t>
      </w:r>
      <w:r w:rsidR="00701F82">
        <w:rPr>
          <w:rFonts w:eastAsia="Calibri" w:cs="Arial"/>
          <w:szCs w:val="24"/>
        </w:rPr>
        <w:t>συνέπειες της πανδημίας και του πολέμου στην Ουκρανία</w:t>
      </w:r>
      <w:r w:rsidR="002746B9">
        <w:rPr>
          <w:rFonts w:eastAsia="Calibri" w:cs="Arial"/>
          <w:szCs w:val="24"/>
        </w:rPr>
        <w:t xml:space="preserve">. </w:t>
      </w:r>
      <w:r w:rsidR="00315D04">
        <w:rPr>
          <w:rFonts w:eastAsia="Calibri" w:cs="Arial"/>
          <w:szCs w:val="24"/>
        </w:rPr>
        <w:t xml:space="preserve"> </w:t>
      </w:r>
      <w:r w:rsidR="002746B9">
        <w:rPr>
          <w:rFonts w:eastAsia="Calibri" w:cs="Arial"/>
          <w:szCs w:val="24"/>
        </w:rPr>
        <w:t xml:space="preserve">Ως αποτέλεσμα των γεγονότων αυτών, </w:t>
      </w:r>
      <w:r w:rsidR="005D5BF2">
        <w:rPr>
          <w:rFonts w:eastAsia="Calibri" w:cs="Arial"/>
          <w:szCs w:val="24"/>
        </w:rPr>
        <w:t>όπως επ</w:t>
      </w:r>
      <w:r w:rsidR="00315D04">
        <w:rPr>
          <w:rFonts w:eastAsia="Calibri" w:cs="Arial"/>
          <w:szCs w:val="24"/>
        </w:rPr>
        <w:t>ε</w:t>
      </w:r>
      <w:r w:rsidR="005D5BF2">
        <w:rPr>
          <w:rFonts w:eastAsia="Calibri" w:cs="Arial"/>
          <w:szCs w:val="24"/>
        </w:rPr>
        <w:t>σήμανε</w:t>
      </w:r>
      <w:r w:rsidR="002746B9">
        <w:rPr>
          <w:rFonts w:eastAsia="Calibri" w:cs="Arial"/>
          <w:szCs w:val="24"/>
        </w:rPr>
        <w:t xml:space="preserve">, δεν κατέστη δυνατό να καταρτισθεί ισορροπημένος προϋπολογισμός για το έτος 2023, </w:t>
      </w:r>
      <w:r w:rsidR="005D5BF2">
        <w:rPr>
          <w:rFonts w:eastAsia="Calibri" w:cs="Arial"/>
          <w:szCs w:val="24"/>
        </w:rPr>
        <w:t>αφού</w:t>
      </w:r>
      <w:r w:rsidR="002746B9">
        <w:rPr>
          <w:rFonts w:eastAsia="Calibri" w:cs="Arial"/>
          <w:szCs w:val="24"/>
        </w:rPr>
        <w:t xml:space="preserve"> από τις προβλέψεις διαφαίνεται ότι θα υπάρξει χρηματικό έλλειμα ύψους €61.943.</w:t>
      </w:r>
      <w:r w:rsidR="00315D04">
        <w:rPr>
          <w:rFonts w:eastAsia="Calibri" w:cs="Arial"/>
          <w:szCs w:val="24"/>
        </w:rPr>
        <w:t xml:space="preserve"> </w:t>
      </w:r>
      <w:r w:rsidR="002746B9">
        <w:rPr>
          <w:rFonts w:eastAsia="Calibri" w:cs="Arial"/>
          <w:szCs w:val="24"/>
        </w:rPr>
        <w:t xml:space="preserve"> </w:t>
      </w:r>
      <w:r w:rsidR="005D5BF2">
        <w:rPr>
          <w:rFonts w:eastAsia="Calibri" w:cs="Arial"/>
          <w:szCs w:val="24"/>
        </w:rPr>
        <w:t xml:space="preserve">Όπως </w:t>
      </w:r>
      <w:r w:rsidR="002746B9">
        <w:rPr>
          <w:rFonts w:eastAsia="Calibri" w:cs="Arial"/>
          <w:szCs w:val="24"/>
        </w:rPr>
        <w:t>ενημέρωσε περαιτέρω την επιτροπή</w:t>
      </w:r>
      <w:r w:rsidR="00315D04">
        <w:rPr>
          <w:rFonts w:eastAsia="Calibri" w:cs="Arial"/>
          <w:szCs w:val="24"/>
        </w:rPr>
        <w:t>,</w:t>
      </w:r>
      <w:r w:rsidR="002746B9">
        <w:rPr>
          <w:rFonts w:eastAsia="Calibri" w:cs="Arial"/>
          <w:szCs w:val="24"/>
        </w:rPr>
        <w:t xml:space="preserve"> </w:t>
      </w:r>
      <w:r w:rsidR="005D5BF2">
        <w:rPr>
          <w:rFonts w:eastAsia="Calibri" w:cs="Arial"/>
          <w:szCs w:val="24"/>
        </w:rPr>
        <w:lastRenderedPageBreak/>
        <w:t xml:space="preserve">σύμφωνα με </w:t>
      </w:r>
      <w:r w:rsidR="002746B9">
        <w:rPr>
          <w:rFonts w:eastAsia="Calibri" w:cs="Arial"/>
          <w:szCs w:val="24"/>
        </w:rPr>
        <w:t xml:space="preserve">εισήγηση του Υπουργείου Οικονομικών, στην περίπτωση </w:t>
      </w:r>
      <w:r w:rsidR="007F5F94">
        <w:rPr>
          <w:rFonts w:eastAsia="Calibri" w:cs="Arial"/>
          <w:szCs w:val="24"/>
        </w:rPr>
        <w:t xml:space="preserve">ύπαρξης </w:t>
      </w:r>
      <w:r w:rsidR="002746B9">
        <w:rPr>
          <w:rFonts w:eastAsia="Calibri" w:cs="Arial"/>
          <w:szCs w:val="24"/>
        </w:rPr>
        <w:t xml:space="preserve">ελλείματος για το έτος 2023 και το Μεσοπρόθεσμο Δημοσιονομικό Πλαίσιο 2023-2025, το Υπουργείο Ενέργειας, Εμπορίου και Βιομηχανίας θα </w:t>
      </w:r>
      <w:r w:rsidR="007F5F94">
        <w:rPr>
          <w:rFonts w:eastAsia="Calibri" w:cs="Arial"/>
          <w:szCs w:val="24"/>
        </w:rPr>
        <w:t>μεριμνήσει</w:t>
      </w:r>
      <w:r w:rsidR="00315D04">
        <w:rPr>
          <w:rFonts w:eastAsia="Calibri" w:cs="Arial"/>
          <w:szCs w:val="24"/>
        </w:rPr>
        <w:t>,</w:t>
      </w:r>
      <w:r w:rsidR="007F5F94">
        <w:rPr>
          <w:rFonts w:eastAsia="Calibri" w:cs="Arial"/>
          <w:szCs w:val="24"/>
        </w:rPr>
        <w:t xml:space="preserve"> ώστε να παραχωρηθούν οι</w:t>
      </w:r>
      <w:r w:rsidR="002746B9">
        <w:rPr>
          <w:rFonts w:eastAsia="Calibri" w:cs="Arial"/>
          <w:szCs w:val="24"/>
        </w:rPr>
        <w:t xml:space="preserve"> αναγκαίες πιστώσεις από εξοικονομήσεις του προϋπολογισμού του υπουργείου.</w:t>
      </w:r>
    </w:p>
    <w:p w14:paraId="38A5D427" w14:textId="2716FED7" w:rsidR="00AA0B6B" w:rsidRDefault="008C027B" w:rsidP="006D2471">
      <w:pPr>
        <w:pStyle w:val="BodyText2"/>
        <w:tabs>
          <w:tab w:val="left" w:pos="1134"/>
        </w:tabs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Ο</w:t>
      </w:r>
      <w:r w:rsidR="00AA0B6B">
        <w:rPr>
          <w:rFonts w:eastAsia="Calibri" w:cs="Arial"/>
          <w:szCs w:val="24"/>
        </w:rPr>
        <w:t xml:space="preserve"> </w:t>
      </w:r>
      <w:r w:rsidR="00315D04">
        <w:rPr>
          <w:rFonts w:eastAsia="Calibri" w:cs="Arial"/>
          <w:szCs w:val="24"/>
        </w:rPr>
        <w:t>α</w:t>
      </w:r>
      <w:r w:rsidR="00AA0B6B">
        <w:rPr>
          <w:rFonts w:eastAsia="Calibri" w:cs="Arial"/>
          <w:szCs w:val="24"/>
        </w:rPr>
        <w:t xml:space="preserve">ντιπρόεδρος του </w:t>
      </w:r>
      <w:r w:rsidR="00315D04">
        <w:rPr>
          <w:rFonts w:eastAsia="Calibri" w:cs="Arial"/>
          <w:szCs w:val="24"/>
        </w:rPr>
        <w:t>δ</w:t>
      </w:r>
      <w:r w:rsidR="00AA0B6B">
        <w:rPr>
          <w:rFonts w:eastAsia="Calibri" w:cs="Arial"/>
          <w:szCs w:val="24"/>
        </w:rPr>
        <w:t xml:space="preserve">ιοικητικού </w:t>
      </w:r>
      <w:r w:rsidR="00315D04">
        <w:rPr>
          <w:rFonts w:eastAsia="Calibri" w:cs="Arial"/>
          <w:szCs w:val="24"/>
        </w:rPr>
        <w:t>σ</w:t>
      </w:r>
      <w:r w:rsidR="00AA0B6B">
        <w:rPr>
          <w:rFonts w:eastAsia="Calibri" w:cs="Arial"/>
          <w:szCs w:val="24"/>
        </w:rPr>
        <w:t xml:space="preserve">υμβουλίου του </w:t>
      </w:r>
      <w:r w:rsidR="007F5F94">
        <w:rPr>
          <w:rFonts w:eastAsia="SimSun" w:cs="Arial"/>
          <w:szCs w:val="24"/>
        </w:rPr>
        <w:t>ΚΟΣΑΠΜ ανέφερε μεταξύ άλλων ότι ο ΚΟΣΑΠΜ</w:t>
      </w:r>
      <w:r w:rsidR="00AA0B6B">
        <w:rPr>
          <w:rFonts w:eastAsia="SimSun" w:cs="Arial"/>
          <w:szCs w:val="24"/>
        </w:rPr>
        <w:t xml:space="preserve"> ιδρύθηκε το 1995 </w:t>
      </w:r>
      <w:r w:rsidR="00AA0B6B" w:rsidRPr="00AA0B6B">
        <w:rPr>
          <w:rFonts w:eastAsia="SimSun" w:cs="Arial"/>
          <w:szCs w:val="24"/>
        </w:rPr>
        <w:t>με σκοπό την προώθηση του θεσμού της σφράγισης των κοσμημάτων και την προστασία του καταναλωτή</w:t>
      </w:r>
      <w:r w:rsidR="00AA0B6B">
        <w:rPr>
          <w:rFonts w:eastAsia="SimSun" w:cs="Arial"/>
          <w:szCs w:val="24"/>
        </w:rPr>
        <w:t xml:space="preserve"> από δόλιες πρακτικές</w:t>
      </w:r>
      <w:r w:rsidR="00315D04">
        <w:rPr>
          <w:rFonts w:eastAsia="SimSun" w:cs="Arial"/>
          <w:szCs w:val="24"/>
        </w:rPr>
        <w:t>.  Π</w:t>
      </w:r>
      <w:r w:rsidR="001717EE">
        <w:rPr>
          <w:rFonts w:eastAsia="SimSun" w:cs="Arial"/>
          <w:szCs w:val="24"/>
        </w:rPr>
        <w:t>αράλληλα</w:t>
      </w:r>
      <w:r w:rsidR="00315D04">
        <w:rPr>
          <w:rFonts w:eastAsia="SimSun" w:cs="Arial"/>
          <w:szCs w:val="24"/>
        </w:rPr>
        <w:t>,</w:t>
      </w:r>
      <w:r w:rsidR="001717EE">
        <w:rPr>
          <w:rFonts w:eastAsia="SimSun" w:cs="Arial"/>
          <w:szCs w:val="24"/>
        </w:rPr>
        <w:t xml:space="preserve"> </w:t>
      </w:r>
      <w:r w:rsidR="00AA0B6B">
        <w:rPr>
          <w:rFonts w:eastAsia="SimSun" w:cs="Arial"/>
          <w:szCs w:val="24"/>
        </w:rPr>
        <w:t xml:space="preserve">ενημέρωσε την επιτροπή ότι από την ίδρυση του </w:t>
      </w:r>
      <w:r w:rsidR="001717EE">
        <w:rPr>
          <w:rFonts w:eastAsia="SimSun" w:cs="Arial"/>
          <w:szCs w:val="24"/>
        </w:rPr>
        <w:t xml:space="preserve">ΚΟΣΑΠΜ </w:t>
      </w:r>
      <w:r w:rsidR="00AA0B6B">
        <w:rPr>
          <w:rFonts w:eastAsia="SimSun" w:cs="Arial"/>
          <w:szCs w:val="24"/>
        </w:rPr>
        <w:t xml:space="preserve">έχουν σφραγιστεί </w:t>
      </w:r>
      <w:r w:rsidR="00315D04">
        <w:rPr>
          <w:rFonts w:eastAsia="SimSun" w:cs="Arial"/>
          <w:szCs w:val="24"/>
        </w:rPr>
        <w:t>δεκαοκτώ</w:t>
      </w:r>
      <w:r w:rsidR="00AA0B6B">
        <w:rPr>
          <w:rFonts w:eastAsia="SimSun" w:cs="Arial"/>
          <w:szCs w:val="24"/>
        </w:rPr>
        <w:t xml:space="preserve"> </w:t>
      </w:r>
      <w:r w:rsidR="00AA0B6B" w:rsidRPr="00AA0B6B">
        <w:rPr>
          <w:rFonts w:eastAsia="SimSun" w:cs="Arial"/>
          <w:szCs w:val="24"/>
        </w:rPr>
        <w:t>εκ</w:t>
      </w:r>
      <w:r w:rsidR="00AA0B6B">
        <w:rPr>
          <w:rFonts w:eastAsia="SimSun" w:cs="Arial"/>
          <w:szCs w:val="24"/>
        </w:rPr>
        <w:t>ατομμύρια χρυσά και ασημένια</w:t>
      </w:r>
      <w:r w:rsidR="00AA0B6B" w:rsidRPr="00AA0B6B">
        <w:rPr>
          <w:rFonts w:eastAsia="SimSun" w:cs="Arial"/>
          <w:szCs w:val="24"/>
        </w:rPr>
        <w:t xml:space="preserve"> κοσμήματα.</w:t>
      </w:r>
    </w:p>
    <w:p w14:paraId="56B3C901" w14:textId="23CE3CE2" w:rsidR="00315D04" w:rsidRDefault="00AA0B6B" w:rsidP="006D2471">
      <w:pPr>
        <w:pStyle w:val="BodyText2"/>
        <w:tabs>
          <w:tab w:val="left" w:pos="1134"/>
        </w:tabs>
        <w:rPr>
          <w:rFonts w:eastAsia="SimSun" w:cs="Arial"/>
          <w:szCs w:val="24"/>
        </w:rPr>
      </w:pPr>
      <w:r>
        <w:rPr>
          <w:rFonts w:eastAsia="Calibri" w:cs="Arial"/>
          <w:szCs w:val="24"/>
        </w:rPr>
        <w:tab/>
        <w:t>Ο</w:t>
      </w:r>
      <w:r w:rsidRPr="00CA4638">
        <w:rPr>
          <w:rFonts w:eastAsia="SimSun" w:cs="Arial"/>
          <w:szCs w:val="24"/>
        </w:rPr>
        <w:t xml:space="preserve"> </w:t>
      </w:r>
      <w:r w:rsidR="00315D04">
        <w:rPr>
          <w:rFonts w:eastAsia="SimSun" w:cs="Arial"/>
          <w:szCs w:val="24"/>
        </w:rPr>
        <w:t>α</w:t>
      </w:r>
      <w:r w:rsidRPr="00CA4638">
        <w:rPr>
          <w:rFonts w:eastAsia="SimSun" w:cs="Arial"/>
          <w:szCs w:val="24"/>
        </w:rPr>
        <w:t>ναπλ</w:t>
      </w:r>
      <w:r>
        <w:rPr>
          <w:rFonts w:eastAsia="SimSun" w:cs="Arial"/>
          <w:szCs w:val="24"/>
        </w:rPr>
        <w:t>ηρωτής</w:t>
      </w:r>
      <w:r w:rsidRPr="00CA4638">
        <w:rPr>
          <w:rFonts w:eastAsia="SimSun" w:cs="Arial"/>
          <w:szCs w:val="24"/>
        </w:rPr>
        <w:t xml:space="preserve"> </w:t>
      </w:r>
      <w:r w:rsidR="00315D04">
        <w:rPr>
          <w:rFonts w:eastAsia="SimSun" w:cs="Arial"/>
          <w:szCs w:val="24"/>
        </w:rPr>
        <w:t>δ</w:t>
      </w:r>
      <w:r w:rsidRPr="00CA4638">
        <w:rPr>
          <w:rFonts w:eastAsia="SimSun" w:cs="Arial"/>
          <w:szCs w:val="24"/>
        </w:rPr>
        <w:t xml:space="preserve">ιευθυντής του </w:t>
      </w:r>
      <w:r w:rsidR="001717EE">
        <w:rPr>
          <w:rFonts w:eastAsia="SimSun" w:cs="Arial"/>
          <w:szCs w:val="24"/>
        </w:rPr>
        <w:t>ΚΟΣΑΠΜ</w:t>
      </w:r>
      <w:r>
        <w:rPr>
          <w:rFonts w:eastAsia="SimSun" w:cs="Arial"/>
          <w:szCs w:val="24"/>
        </w:rPr>
        <w:t xml:space="preserve"> ενημέρωσε την επιτροπή για </w:t>
      </w:r>
      <w:r w:rsidR="001717EE">
        <w:rPr>
          <w:rFonts w:eastAsia="SimSun" w:cs="Arial"/>
          <w:szCs w:val="24"/>
        </w:rPr>
        <w:t>τις πρόνοιες του εν λόγω προϋπολογισμού</w:t>
      </w:r>
      <w:r w:rsidR="00315D04">
        <w:rPr>
          <w:rFonts w:eastAsia="SimSun" w:cs="Arial"/>
          <w:szCs w:val="24"/>
        </w:rPr>
        <w:t>,</w:t>
      </w:r>
      <w:r w:rsidR="001717EE">
        <w:rPr>
          <w:rFonts w:eastAsia="SimSun" w:cs="Arial"/>
          <w:szCs w:val="24"/>
        </w:rPr>
        <w:t xml:space="preserve"> επισημαίνοντας μεταξύ άλλων και </w:t>
      </w:r>
      <w:r>
        <w:rPr>
          <w:rFonts w:eastAsia="SimSun" w:cs="Arial"/>
          <w:szCs w:val="24"/>
        </w:rPr>
        <w:t xml:space="preserve">τη μείωση του προσωπικού του </w:t>
      </w:r>
      <w:r w:rsidR="001717EE">
        <w:rPr>
          <w:rFonts w:eastAsia="SimSun" w:cs="Arial"/>
          <w:szCs w:val="24"/>
        </w:rPr>
        <w:t>ΚΟΣΑΠΜ</w:t>
      </w:r>
      <w:r>
        <w:rPr>
          <w:rFonts w:eastAsia="SimSun" w:cs="Arial"/>
          <w:szCs w:val="24"/>
        </w:rPr>
        <w:t xml:space="preserve"> κατά την τελευταία πενταετία από</w:t>
      </w:r>
      <w:r w:rsidR="00315D04">
        <w:rPr>
          <w:rFonts w:eastAsia="SimSun" w:cs="Arial"/>
          <w:szCs w:val="24"/>
        </w:rPr>
        <w:t xml:space="preserve"> είκοσι σε δώδεκα </w:t>
      </w:r>
      <w:r>
        <w:rPr>
          <w:rFonts w:eastAsia="SimSun" w:cs="Arial"/>
          <w:szCs w:val="24"/>
        </w:rPr>
        <w:t>υπαλλήλους</w:t>
      </w:r>
      <w:r w:rsidR="00601B6A">
        <w:rPr>
          <w:rFonts w:eastAsia="SimSun" w:cs="Arial"/>
          <w:szCs w:val="24"/>
        </w:rPr>
        <w:t xml:space="preserve">, </w:t>
      </w:r>
      <w:r w:rsidR="001717EE">
        <w:rPr>
          <w:rFonts w:eastAsia="SimSun" w:cs="Arial"/>
          <w:szCs w:val="24"/>
        </w:rPr>
        <w:t xml:space="preserve">γεγονός </w:t>
      </w:r>
      <w:r w:rsidR="00601B6A">
        <w:rPr>
          <w:rFonts w:eastAsia="SimSun" w:cs="Arial"/>
          <w:szCs w:val="24"/>
        </w:rPr>
        <w:t>το οποίο εμφαίνεται και στη μείωση των δαπανών που αφορούν στο προσωπικό</w:t>
      </w:r>
      <w:r>
        <w:rPr>
          <w:rFonts w:eastAsia="SimSun" w:cs="Arial"/>
          <w:szCs w:val="24"/>
        </w:rPr>
        <w:t xml:space="preserve">. </w:t>
      </w:r>
    </w:p>
    <w:p w14:paraId="4B8C8959" w14:textId="3A026299" w:rsidR="00AA0B6B" w:rsidRPr="00C1668A" w:rsidRDefault="00315D04" w:rsidP="006D2471">
      <w:pPr>
        <w:pStyle w:val="BodyText2"/>
        <w:tabs>
          <w:tab w:val="left" w:pos="1134"/>
        </w:tabs>
        <w:rPr>
          <w:rFonts w:eastAsia="Calibri" w:cs="Arial"/>
          <w:szCs w:val="24"/>
        </w:rPr>
      </w:pPr>
      <w:r>
        <w:rPr>
          <w:rFonts w:eastAsia="SimSun" w:cs="Arial"/>
          <w:szCs w:val="24"/>
        </w:rPr>
        <w:tab/>
      </w:r>
      <w:r w:rsidR="00AA0B6B">
        <w:rPr>
          <w:rFonts w:eastAsia="Calibri" w:cs="Arial"/>
          <w:szCs w:val="24"/>
        </w:rPr>
        <w:t>Όλοι όσοι κλήθηκαν και παρευρέθηκαν στην πρώτη συνεδρία της επιτροπής συμφώνησαν με τους σκοπούς και τις επιδιώξεις του νομοσχεδίου.</w:t>
      </w:r>
      <w:bookmarkStart w:id="3" w:name="_GoBack"/>
      <w:bookmarkEnd w:id="3"/>
    </w:p>
    <w:p w14:paraId="725D03D7" w14:textId="7BE9E9F2" w:rsidR="00002E3C" w:rsidRDefault="00E12727" w:rsidP="006D2471">
      <w:pPr>
        <w:pStyle w:val="BodyText2"/>
        <w:tabs>
          <w:tab w:val="left" w:pos="1134"/>
        </w:tabs>
        <w:rPr>
          <w:rFonts w:cs="Arial"/>
          <w:szCs w:val="24"/>
        </w:rPr>
      </w:pPr>
      <w:r w:rsidRPr="00A17A3E">
        <w:rPr>
          <w:rFonts w:eastAsia="Calibri" w:cs="Arial"/>
          <w:szCs w:val="24"/>
        </w:rPr>
        <w:tab/>
      </w:r>
      <w:r w:rsidR="00002E3C" w:rsidRPr="00A17A3E">
        <w:rPr>
          <w:rFonts w:cs="Arial"/>
          <w:szCs w:val="24"/>
        </w:rPr>
        <w:t>Η Κοινοβουλευτική Επιτροπή Ενέργειας, Εμπορίου, Βιομηχανίας και Τουρισμού, αφού έλαβε υπόψη όλα όσα τέθηκαν ενώπιόν της,</w:t>
      </w:r>
      <w:r w:rsidR="00BA015E">
        <w:rPr>
          <w:rFonts w:cs="Arial"/>
          <w:szCs w:val="24"/>
        </w:rPr>
        <w:t xml:space="preserve"> ομόφωνα εισηγείται </w:t>
      </w:r>
      <w:r w:rsidR="00315D04">
        <w:rPr>
          <w:rFonts w:cs="Arial"/>
          <w:szCs w:val="24"/>
        </w:rPr>
        <w:t>στη Βουλή τ</w:t>
      </w:r>
      <w:r w:rsidR="00BA015E">
        <w:rPr>
          <w:rFonts w:cs="Arial"/>
          <w:szCs w:val="24"/>
        </w:rPr>
        <w:t>ην ψήφιση τ</w:t>
      </w:r>
      <w:r w:rsidR="004A130F">
        <w:rPr>
          <w:rFonts w:cs="Arial"/>
          <w:szCs w:val="24"/>
        </w:rPr>
        <w:t>ο</w:t>
      </w:r>
      <w:r w:rsidR="00BA015E">
        <w:rPr>
          <w:rFonts w:cs="Arial"/>
          <w:szCs w:val="24"/>
        </w:rPr>
        <w:t>υ νομοσχεδίου σε νόμο</w:t>
      </w:r>
      <w:r w:rsidR="000C3618">
        <w:rPr>
          <w:rFonts w:cs="Arial"/>
          <w:szCs w:val="24"/>
        </w:rPr>
        <w:t>.</w:t>
      </w:r>
    </w:p>
    <w:p w14:paraId="4B851689" w14:textId="26897B68" w:rsidR="00974848" w:rsidRPr="000C3618" w:rsidRDefault="00974848" w:rsidP="006D2471">
      <w:pPr>
        <w:tabs>
          <w:tab w:val="left" w:pos="567"/>
          <w:tab w:val="left" w:pos="1134"/>
          <w:tab w:val="left" w:pos="4961"/>
        </w:tabs>
        <w:spacing w:after="0"/>
        <w:rPr>
          <w:rFonts w:ascii="Arial" w:hAnsi="Arial" w:cs="Arial"/>
          <w:sz w:val="24"/>
          <w:szCs w:val="24"/>
        </w:rPr>
      </w:pPr>
    </w:p>
    <w:p w14:paraId="4434782E" w14:textId="00F26E36" w:rsidR="00E12727" w:rsidRPr="0063746C" w:rsidRDefault="003256E8" w:rsidP="006D2471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D2471">
        <w:rPr>
          <w:rFonts w:ascii="Arial" w:hAnsi="Arial" w:cs="Arial"/>
          <w:sz w:val="24"/>
          <w:szCs w:val="24"/>
        </w:rPr>
        <w:t>5</w:t>
      </w:r>
      <w:r w:rsidR="00955498">
        <w:rPr>
          <w:rFonts w:ascii="Arial" w:hAnsi="Arial" w:cs="Arial"/>
          <w:sz w:val="24"/>
          <w:szCs w:val="24"/>
        </w:rPr>
        <w:t xml:space="preserve"> Νοεμβρίου </w:t>
      </w:r>
      <w:r w:rsidR="00D21BAB">
        <w:rPr>
          <w:rFonts w:ascii="Arial" w:hAnsi="Arial" w:cs="Arial"/>
          <w:sz w:val="24"/>
          <w:szCs w:val="24"/>
        </w:rPr>
        <w:t>2022</w:t>
      </w:r>
    </w:p>
    <w:p w14:paraId="2BF3598C" w14:textId="6414A7D6" w:rsidR="00E12727" w:rsidRPr="0063746C" w:rsidRDefault="00E12727" w:rsidP="006D2471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3746C">
        <w:rPr>
          <w:rFonts w:ascii="Arial" w:hAnsi="Arial" w:cs="Arial"/>
          <w:sz w:val="24"/>
          <w:szCs w:val="24"/>
        </w:rPr>
        <w:t>Αρ. Φακ.:  23.01.063.</w:t>
      </w:r>
      <w:r w:rsidR="00955498">
        <w:rPr>
          <w:rFonts w:ascii="Arial" w:hAnsi="Arial" w:cs="Arial"/>
          <w:sz w:val="24"/>
          <w:szCs w:val="24"/>
        </w:rPr>
        <w:t>2</w:t>
      </w:r>
      <w:r w:rsidR="00CA4638">
        <w:rPr>
          <w:rFonts w:ascii="Arial" w:hAnsi="Arial" w:cs="Arial"/>
          <w:sz w:val="24"/>
          <w:szCs w:val="24"/>
        </w:rPr>
        <w:t>23</w:t>
      </w:r>
      <w:r w:rsidRPr="0063746C">
        <w:rPr>
          <w:rFonts w:ascii="Arial" w:hAnsi="Arial" w:cs="Arial"/>
          <w:sz w:val="24"/>
          <w:szCs w:val="24"/>
        </w:rPr>
        <w:t>-2022</w:t>
      </w:r>
    </w:p>
    <w:p w14:paraId="43125992" w14:textId="0BD8C4C4" w:rsidR="008B0F58" w:rsidRPr="006D2471" w:rsidRDefault="00D21BAB" w:rsidP="006D2471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ΝΚ</w:t>
      </w:r>
      <w:r w:rsidR="00967864">
        <w:rPr>
          <w:rFonts w:ascii="Arial" w:hAnsi="Arial" w:cs="Arial"/>
          <w:sz w:val="20"/>
          <w:szCs w:val="20"/>
        </w:rPr>
        <w:t>/</w:t>
      </w:r>
      <w:r w:rsidR="00315D04">
        <w:rPr>
          <w:rFonts w:ascii="Arial" w:hAnsi="Arial" w:cs="Arial"/>
          <w:sz w:val="20"/>
          <w:szCs w:val="20"/>
        </w:rPr>
        <w:t>ΝΧ, ΣΘ/</w:t>
      </w:r>
      <w:r w:rsidR="006D2471">
        <w:rPr>
          <w:rFonts w:ascii="Arial" w:hAnsi="Arial" w:cs="Arial"/>
          <w:sz w:val="20"/>
          <w:szCs w:val="20"/>
        </w:rPr>
        <w:t>ΜΑΧ</w:t>
      </w:r>
    </w:p>
    <w:sectPr w:rsidR="008B0F58" w:rsidRPr="006D2471" w:rsidSect="006D2471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25859" w14:textId="77777777" w:rsidR="006340CF" w:rsidRDefault="006340CF">
      <w:pPr>
        <w:spacing w:after="0" w:line="240" w:lineRule="auto"/>
      </w:pPr>
      <w:r>
        <w:separator/>
      </w:r>
    </w:p>
  </w:endnote>
  <w:endnote w:type="continuationSeparator" w:id="0">
    <w:p w14:paraId="5D9DEF87" w14:textId="77777777" w:rsidR="006340CF" w:rsidRDefault="0063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4309C" w14:textId="77777777" w:rsidR="006340CF" w:rsidRDefault="006340CF">
      <w:pPr>
        <w:spacing w:after="0" w:line="240" w:lineRule="auto"/>
      </w:pPr>
      <w:r>
        <w:separator/>
      </w:r>
    </w:p>
  </w:footnote>
  <w:footnote w:type="continuationSeparator" w:id="0">
    <w:p w14:paraId="58A4B917" w14:textId="77777777" w:rsidR="006340CF" w:rsidRDefault="0063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453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86E3500" w14:textId="1CAACC69" w:rsidR="00FF6D87" w:rsidRPr="00D2734A" w:rsidRDefault="00EB25E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2734A">
          <w:rPr>
            <w:rFonts w:ascii="Arial" w:hAnsi="Arial" w:cs="Arial"/>
            <w:sz w:val="24"/>
            <w:szCs w:val="24"/>
          </w:rPr>
          <w:fldChar w:fldCharType="begin"/>
        </w:r>
        <w:r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2734A">
          <w:rPr>
            <w:rFonts w:ascii="Arial" w:hAnsi="Arial" w:cs="Arial"/>
            <w:sz w:val="24"/>
            <w:szCs w:val="24"/>
          </w:rPr>
          <w:fldChar w:fldCharType="separate"/>
        </w:r>
        <w:r w:rsidR="007C7075">
          <w:rPr>
            <w:rFonts w:ascii="Arial" w:hAnsi="Arial" w:cs="Arial"/>
            <w:noProof/>
            <w:sz w:val="24"/>
            <w:szCs w:val="24"/>
          </w:rPr>
          <w:t>3</w:t>
        </w:r>
        <w:r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6D31"/>
    <w:multiLevelType w:val="hybridMultilevel"/>
    <w:tmpl w:val="8AF8CAE2"/>
    <w:lvl w:ilvl="0" w:tplc="725E0F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0568"/>
    <w:multiLevelType w:val="hybridMultilevel"/>
    <w:tmpl w:val="48C28A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139AE"/>
    <w:multiLevelType w:val="hybridMultilevel"/>
    <w:tmpl w:val="815E84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82C0B"/>
    <w:multiLevelType w:val="hybridMultilevel"/>
    <w:tmpl w:val="F9527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C22C4"/>
    <w:multiLevelType w:val="hybridMultilevel"/>
    <w:tmpl w:val="9146A508"/>
    <w:lvl w:ilvl="0" w:tplc="725E0F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27"/>
    <w:rsid w:val="00002E3C"/>
    <w:rsid w:val="00012763"/>
    <w:rsid w:val="00013643"/>
    <w:rsid w:val="00014121"/>
    <w:rsid w:val="00035005"/>
    <w:rsid w:val="000436C7"/>
    <w:rsid w:val="00063621"/>
    <w:rsid w:val="00070CEA"/>
    <w:rsid w:val="000801EB"/>
    <w:rsid w:val="00080689"/>
    <w:rsid w:val="000C3618"/>
    <w:rsid w:val="000C73EE"/>
    <w:rsid w:val="000E10E7"/>
    <w:rsid w:val="000E506B"/>
    <w:rsid w:val="00132B2B"/>
    <w:rsid w:val="00145CFC"/>
    <w:rsid w:val="00146D6B"/>
    <w:rsid w:val="00152065"/>
    <w:rsid w:val="00156620"/>
    <w:rsid w:val="001717EE"/>
    <w:rsid w:val="00187F93"/>
    <w:rsid w:val="0019102F"/>
    <w:rsid w:val="00191722"/>
    <w:rsid w:val="00194173"/>
    <w:rsid w:val="001A1D0A"/>
    <w:rsid w:val="001B59C2"/>
    <w:rsid w:val="001C0286"/>
    <w:rsid w:val="001E0655"/>
    <w:rsid w:val="00201CAE"/>
    <w:rsid w:val="00211895"/>
    <w:rsid w:val="00226930"/>
    <w:rsid w:val="00234753"/>
    <w:rsid w:val="00243CD4"/>
    <w:rsid w:val="00244A0B"/>
    <w:rsid w:val="002746B9"/>
    <w:rsid w:val="0028010D"/>
    <w:rsid w:val="00284358"/>
    <w:rsid w:val="002B18F6"/>
    <w:rsid w:val="002B5B2F"/>
    <w:rsid w:val="002B7C51"/>
    <w:rsid w:val="002C6256"/>
    <w:rsid w:val="002E5A9B"/>
    <w:rsid w:val="002E6B0A"/>
    <w:rsid w:val="002F6D3B"/>
    <w:rsid w:val="00303B9B"/>
    <w:rsid w:val="00314E54"/>
    <w:rsid w:val="00315D04"/>
    <w:rsid w:val="00315E98"/>
    <w:rsid w:val="00316560"/>
    <w:rsid w:val="0032563B"/>
    <w:rsid w:val="003256E8"/>
    <w:rsid w:val="003308B8"/>
    <w:rsid w:val="00351FC7"/>
    <w:rsid w:val="003634EB"/>
    <w:rsid w:val="00366022"/>
    <w:rsid w:val="00382E4D"/>
    <w:rsid w:val="003B1A20"/>
    <w:rsid w:val="003B4088"/>
    <w:rsid w:val="003B695E"/>
    <w:rsid w:val="003C1E4A"/>
    <w:rsid w:val="003C6142"/>
    <w:rsid w:val="003C717D"/>
    <w:rsid w:val="003D1FCE"/>
    <w:rsid w:val="003E41E7"/>
    <w:rsid w:val="00407A73"/>
    <w:rsid w:val="00416BBF"/>
    <w:rsid w:val="004450C7"/>
    <w:rsid w:val="0045648A"/>
    <w:rsid w:val="004762F7"/>
    <w:rsid w:val="004A130F"/>
    <w:rsid w:val="004C5695"/>
    <w:rsid w:val="004E0287"/>
    <w:rsid w:val="005028EF"/>
    <w:rsid w:val="00503630"/>
    <w:rsid w:val="00506C2B"/>
    <w:rsid w:val="005166E0"/>
    <w:rsid w:val="00516F92"/>
    <w:rsid w:val="005216D9"/>
    <w:rsid w:val="00532094"/>
    <w:rsid w:val="00540A8A"/>
    <w:rsid w:val="00555201"/>
    <w:rsid w:val="005841A6"/>
    <w:rsid w:val="00590B6D"/>
    <w:rsid w:val="00596330"/>
    <w:rsid w:val="005B3820"/>
    <w:rsid w:val="005D5BF2"/>
    <w:rsid w:val="005E40BB"/>
    <w:rsid w:val="005E5E82"/>
    <w:rsid w:val="00601B6A"/>
    <w:rsid w:val="00607417"/>
    <w:rsid w:val="006162BB"/>
    <w:rsid w:val="00630620"/>
    <w:rsid w:val="00630F4E"/>
    <w:rsid w:val="006340CF"/>
    <w:rsid w:val="0063746C"/>
    <w:rsid w:val="00644B90"/>
    <w:rsid w:val="00673BFD"/>
    <w:rsid w:val="00696D5B"/>
    <w:rsid w:val="006B42E6"/>
    <w:rsid w:val="006B6EDD"/>
    <w:rsid w:val="006C27E3"/>
    <w:rsid w:val="006D2471"/>
    <w:rsid w:val="006D5F74"/>
    <w:rsid w:val="006D67CA"/>
    <w:rsid w:val="006E04ED"/>
    <w:rsid w:val="006E3664"/>
    <w:rsid w:val="006E7333"/>
    <w:rsid w:val="00701F82"/>
    <w:rsid w:val="0070292E"/>
    <w:rsid w:val="0070458F"/>
    <w:rsid w:val="00722598"/>
    <w:rsid w:val="007279C3"/>
    <w:rsid w:val="00742F08"/>
    <w:rsid w:val="00746632"/>
    <w:rsid w:val="00773589"/>
    <w:rsid w:val="0079300E"/>
    <w:rsid w:val="00794903"/>
    <w:rsid w:val="007A1770"/>
    <w:rsid w:val="007A1818"/>
    <w:rsid w:val="007A27E3"/>
    <w:rsid w:val="007B03DF"/>
    <w:rsid w:val="007B1148"/>
    <w:rsid w:val="007B142D"/>
    <w:rsid w:val="007B15B3"/>
    <w:rsid w:val="007C478B"/>
    <w:rsid w:val="007C7075"/>
    <w:rsid w:val="007E04EB"/>
    <w:rsid w:val="007F154F"/>
    <w:rsid w:val="007F5F94"/>
    <w:rsid w:val="00803D95"/>
    <w:rsid w:val="008042B2"/>
    <w:rsid w:val="0080770F"/>
    <w:rsid w:val="00816819"/>
    <w:rsid w:val="00821C21"/>
    <w:rsid w:val="008260A0"/>
    <w:rsid w:val="00834B79"/>
    <w:rsid w:val="00837905"/>
    <w:rsid w:val="00860BE2"/>
    <w:rsid w:val="0086449A"/>
    <w:rsid w:val="00872079"/>
    <w:rsid w:val="00883E21"/>
    <w:rsid w:val="00891ED3"/>
    <w:rsid w:val="00892466"/>
    <w:rsid w:val="008B0F58"/>
    <w:rsid w:val="008C027B"/>
    <w:rsid w:val="008C77A3"/>
    <w:rsid w:val="008D476C"/>
    <w:rsid w:val="008D6034"/>
    <w:rsid w:val="008E6C24"/>
    <w:rsid w:val="008E6DF8"/>
    <w:rsid w:val="008E7872"/>
    <w:rsid w:val="00900A29"/>
    <w:rsid w:val="00913167"/>
    <w:rsid w:val="009430AD"/>
    <w:rsid w:val="00955498"/>
    <w:rsid w:val="00963BEA"/>
    <w:rsid w:val="00967864"/>
    <w:rsid w:val="00970953"/>
    <w:rsid w:val="00974848"/>
    <w:rsid w:val="00975FB5"/>
    <w:rsid w:val="0097698B"/>
    <w:rsid w:val="00981ECD"/>
    <w:rsid w:val="0098340A"/>
    <w:rsid w:val="00992FD7"/>
    <w:rsid w:val="00994B65"/>
    <w:rsid w:val="009951D9"/>
    <w:rsid w:val="009B3367"/>
    <w:rsid w:val="009F6170"/>
    <w:rsid w:val="00A016F2"/>
    <w:rsid w:val="00A10529"/>
    <w:rsid w:val="00A12C9D"/>
    <w:rsid w:val="00A17A3E"/>
    <w:rsid w:val="00A26A2D"/>
    <w:rsid w:val="00A27E20"/>
    <w:rsid w:val="00A6000E"/>
    <w:rsid w:val="00A70872"/>
    <w:rsid w:val="00A743AD"/>
    <w:rsid w:val="00A83225"/>
    <w:rsid w:val="00AA0B6B"/>
    <w:rsid w:val="00AA5FAD"/>
    <w:rsid w:val="00AD3741"/>
    <w:rsid w:val="00AE191C"/>
    <w:rsid w:val="00AE54D8"/>
    <w:rsid w:val="00AF2368"/>
    <w:rsid w:val="00B015B5"/>
    <w:rsid w:val="00B13796"/>
    <w:rsid w:val="00B227DC"/>
    <w:rsid w:val="00B2478E"/>
    <w:rsid w:val="00B47C7F"/>
    <w:rsid w:val="00B51170"/>
    <w:rsid w:val="00B65806"/>
    <w:rsid w:val="00B84569"/>
    <w:rsid w:val="00B96129"/>
    <w:rsid w:val="00B973F2"/>
    <w:rsid w:val="00BA015E"/>
    <w:rsid w:val="00BB7ABD"/>
    <w:rsid w:val="00BC3A3E"/>
    <w:rsid w:val="00BD034D"/>
    <w:rsid w:val="00BE5018"/>
    <w:rsid w:val="00C1668A"/>
    <w:rsid w:val="00C226B2"/>
    <w:rsid w:val="00C53C45"/>
    <w:rsid w:val="00C67447"/>
    <w:rsid w:val="00C7678F"/>
    <w:rsid w:val="00C77888"/>
    <w:rsid w:val="00C946E2"/>
    <w:rsid w:val="00C972B2"/>
    <w:rsid w:val="00CA4638"/>
    <w:rsid w:val="00CB1BC7"/>
    <w:rsid w:val="00CD07DB"/>
    <w:rsid w:val="00CF015B"/>
    <w:rsid w:val="00CF16BE"/>
    <w:rsid w:val="00CF5D3E"/>
    <w:rsid w:val="00D04542"/>
    <w:rsid w:val="00D21BAB"/>
    <w:rsid w:val="00D2734A"/>
    <w:rsid w:val="00D32D85"/>
    <w:rsid w:val="00D3675B"/>
    <w:rsid w:val="00D42B53"/>
    <w:rsid w:val="00D43BCE"/>
    <w:rsid w:val="00D54042"/>
    <w:rsid w:val="00D54F96"/>
    <w:rsid w:val="00D61FBE"/>
    <w:rsid w:val="00D7510D"/>
    <w:rsid w:val="00D765D6"/>
    <w:rsid w:val="00D83173"/>
    <w:rsid w:val="00D9372F"/>
    <w:rsid w:val="00DD0A7E"/>
    <w:rsid w:val="00DD2F63"/>
    <w:rsid w:val="00DF5917"/>
    <w:rsid w:val="00E12727"/>
    <w:rsid w:val="00E1541F"/>
    <w:rsid w:val="00E33DD4"/>
    <w:rsid w:val="00E373F5"/>
    <w:rsid w:val="00E40875"/>
    <w:rsid w:val="00E50B3D"/>
    <w:rsid w:val="00E562EA"/>
    <w:rsid w:val="00E71251"/>
    <w:rsid w:val="00E82555"/>
    <w:rsid w:val="00E92EAE"/>
    <w:rsid w:val="00EB25E8"/>
    <w:rsid w:val="00EB5229"/>
    <w:rsid w:val="00EC18AB"/>
    <w:rsid w:val="00EC3A53"/>
    <w:rsid w:val="00EC3F00"/>
    <w:rsid w:val="00ED2CD0"/>
    <w:rsid w:val="00EE60EB"/>
    <w:rsid w:val="00F009DF"/>
    <w:rsid w:val="00F026F7"/>
    <w:rsid w:val="00F03567"/>
    <w:rsid w:val="00F13663"/>
    <w:rsid w:val="00F16844"/>
    <w:rsid w:val="00F253C2"/>
    <w:rsid w:val="00F40806"/>
    <w:rsid w:val="00F56141"/>
    <w:rsid w:val="00F64643"/>
    <w:rsid w:val="00F7611D"/>
    <w:rsid w:val="00F84CB2"/>
    <w:rsid w:val="00F91284"/>
    <w:rsid w:val="00FA522D"/>
    <w:rsid w:val="00FB0B4F"/>
    <w:rsid w:val="00FB31AD"/>
    <w:rsid w:val="00FC24EE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  <w:style w:type="table" w:styleId="TableGrid">
    <w:name w:val="Table Grid"/>
    <w:basedOn w:val="TableNormal"/>
    <w:uiPriority w:val="39"/>
    <w:rsid w:val="0019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96E9-AEBE-48F3-B318-A8E4172E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THEODOSIOU SOFIA</cp:lastModifiedBy>
  <cp:revision>34</cp:revision>
  <cp:lastPrinted>2022-11-15T07:47:00Z</cp:lastPrinted>
  <dcterms:created xsi:type="dcterms:W3CDTF">2022-11-04T07:51:00Z</dcterms:created>
  <dcterms:modified xsi:type="dcterms:W3CDTF">2022-11-15T11:03:00Z</dcterms:modified>
</cp:coreProperties>
</file>