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D94" w14:textId="04CB8D36" w:rsidR="00AB2F83" w:rsidRPr="0086544B" w:rsidRDefault="00AB2F83" w:rsidP="00435221">
      <w:pPr>
        <w:tabs>
          <w:tab w:val="left" w:pos="567"/>
          <w:tab w:val="left" w:pos="4961"/>
        </w:tabs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Οικονομικών και Προϋπολογισμού για το νομοσχέδιο «Ο περί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Προϋπολογισμού του </w:t>
      </w:r>
      <w:r w:rsidR="001E1DE4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Κυπριακού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Οργανισμού Αγροτικών Πληρωμών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6A4C97">
        <w:rPr>
          <w:rFonts w:ascii="Arial" w:eastAsia="Times New Roman" w:hAnsi="Arial" w:cs="Arial"/>
          <w:b/>
          <w:bCs/>
          <w:sz w:val="24"/>
          <w:szCs w:val="24"/>
          <w:lang w:val="el-GR"/>
        </w:rPr>
        <w:t>3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Νόμος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6A4C97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>»</w:t>
      </w:r>
    </w:p>
    <w:p w14:paraId="770BC3E7" w14:textId="77777777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C35056">
        <w:rPr>
          <w:rFonts w:ascii="Arial" w:eastAsia="Times New Roman" w:hAnsi="Arial" w:cs="Arial"/>
          <w:b/>
          <w:bCs/>
          <w:sz w:val="24"/>
          <w:szCs w:val="24"/>
          <w:lang w:val="el-GR"/>
        </w:rPr>
        <w:t>Παρόντες:</w:t>
      </w:r>
    </w:p>
    <w:p w14:paraId="206AA179" w14:textId="77777777" w:rsidR="005962A6" w:rsidRPr="005962A6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8811EF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5962A6">
        <w:rPr>
          <w:rFonts w:ascii="Arial" w:hAnsi="Arial" w:cs="Arial"/>
          <w:sz w:val="24"/>
          <w:szCs w:val="24"/>
          <w:lang w:val="el-GR"/>
        </w:rPr>
        <w:t>Χριστιάνα Ερωτοκρίτου, πρόεδρος</w:t>
      </w:r>
      <w:r w:rsidRPr="005962A6">
        <w:rPr>
          <w:rFonts w:ascii="Arial" w:hAnsi="Arial" w:cs="Arial"/>
          <w:sz w:val="24"/>
          <w:szCs w:val="24"/>
          <w:lang w:val="el-GR"/>
        </w:rPr>
        <w:tab/>
        <w:t>Αντρέας Καυκαλιάς</w:t>
      </w:r>
    </w:p>
    <w:p w14:paraId="35C15B80" w14:textId="4440E81B" w:rsidR="005962A6" w:rsidRPr="005962A6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5962A6">
        <w:rPr>
          <w:rFonts w:ascii="Arial" w:hAnsi="Arial" w:cs="Arial"/>
          <w:sz w:val="24"/>
          <w:szCs w:val="24"/>
          <w:lang w:val="el-GR"/>
        </w:rPr>
        <w:tab/>
        <w:t>Χρύσης Παντελίδης</w:t>
      </w:r>
      <w:r w:rsidRPr="005962A6">
        <w:rPr>
          <w:rFonts w:ascii="Arial" w:hAnsi="Arial" w:cs="Arial"/>
          <w:sz w:val="24"/>
          <w:szCs w:val="24"/>
          <w:lang w:val="el-GR"/>
        </w:rPr>
        <w:tab/>
        <w:t>Χρίστος Χριστοφίδης</w:t>
      </w:r>
    </w:p>
    <w:p w14:paraId="55E00E59" w14:textId="77777777" w:rsidR="005962A6" w:rsidRPr="005962A6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5962A6">
        <w:rPr>
          <w:rFonts w:ascii="Arial" w:hAnsi="Arial" w:cs="Arial"/>
          <w:sz w:val="24"/>
          <w:szCs w:val="24"/>
          <w:lang w:val="el-GR"/>
        </w:rPr>
        <w:tab/>
        <w:t xml:space="preserve">Χάρης Γεωργιάδης </w:t>
      </w:r>
      <w:r w:rsidRPr="005962A6">
        <w:rPr>
          <w:rFonts w:ascii="Arial" w:hAnsi="Arial" w:cs="Arial"/>
          <w:sz w:val="24"/>
          <w:szCs w:val="24"/>
          <w:lang w:val="el-GR"/>
        </w:rPr>
        <w:tab/>
        <w:t>Αλέκος Τρυφωνίδης</w:t>
      </w:r>
    </w:p>
    <w:p w14:paraId="0F9345CD" w14:textId="77777777" w:rsidR="005962A6" w:rsidRPr="005962A6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5962A6">
        <w:rPr>
          <w:rFonts w:ascii="Arial" w:hAnsi="Arial" w:cs="Arial"/>
          <w:sz w:val="24"/>
          <w:szCs w:val="24"/>
          <w:lang w:val="el-GR"/>
        </w:rPr>
        <w:tab/>
        <w:t>Ονούφριος Κουλλά</w:t>
      </w:r>
      <w:r w:rsidRPr="005962A6">
        <w:rPr>
          <w:rFonts w:ascii="Arial" w:hAnsi="Arial" w:cs="Arial"/>
          <w:sz w:val="24"/>
          <w:szCs w:val="24"/>
          <w:lang w:val="el-GR"/>
        </w:rPr>
        <w:tab/>
      </w:r>
      <w:r w:rsidRPr="005962A6">
        <w:rPr>
          <w:rFonts w:ascii="Arial" w:hAnsi="Arial" w:cs="Arial"/>
          <w:b/>
          <w:bCs/>
          <w:sz w:val="24"/>
          <w:szCs w:val="24"/>
          <w:lang w:val="el-GR"/>
        </w:rPr>
        <w:t>Μη μέλη της επιτροπής:</w:t>
      </w:r>
    </w:p>
    <w:p w14:paraId="1FE9784E" w14:textId="77777777" w:rsidR="005962A6" w:rsidRPr="008811EF" w:rsidRDefault="005962A6" w:rsidP="005962A6">
      <w:pPr>
        <w:tabs>
          <w:tab w:val="left" w:pos="567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5962A6">
        <w:rPr>
          <w:rFonts w:ascii="Arial" w:hAnsi="Arial" w:cs="Arial"/>
          <w:sz w:val="24"/>
          <w:szCs w:val="24"/>
          <w:lang w:val="el-GR"/>
        </w:rPr>
        <w:tab/>
      </w:r>
      <w:r w:rsidRPr="008811EF">
        <w:rPr>
          <w:rFonts w:ascii="Arial" w:hAnsi="Arial" w:cs="Arial"/>
          <w:sz w:val="24"/>
          <w:szCs w:val="24"/>
          <w:lang w:val="el-GR"/>
        </w:rPr>
        <w:t xml:space="preserve">Σάβια Ορφανίδου </w:t>
      </w:r>
      <w:r w:rsidRPr="008811EF">
        <w:rPr>
          <w:rFonts w:ascii="Arial" w:hAnsi="Arial" w:cs="Arial"/>
          <w:sz w:val="24"/>
          <w:szCs w:val="24"/>
          <w:lang w:val="el-GR"/>
        </w:rPr>
        <w:tab/>
        <w:t xml:space="preserve">Σταύρος Παπαδούρης </w:t>
      </w:r>
      <w:r w:rsidRPr="008811EF">
        <w:rPr>
          <w:rFonts w:ascii="Arial" w:hAnsi="Arial" w:cs="Arial"/>
          <w:sz w:val="24"/>
          <w:szCs w:val="24"/>
          <w:lang w:val="el-GR"/>
        </w:rPr>
        <w:tab/>
        <w:t xml:space="preserve"> </w:t>
      </w:r>
    </w:p>
    <w:p w14:paraId="3501D87C" w14:textId="442667C5" w:rsidR="00AB2F83" w:rsidRDefault="001E1DE4" w:rsidP="00AB2F8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Η Κοινοβουλευτική Επιτροπή </w:t>
      </w:r>
      <w:r w:rsidR="00AB2F83" w:rsidRPr="0086544B">
        <w:rPr>
          <w:rFonts w:ascii="Arial" w:eastAsia="Times New Roman" w:hAnsi="Arial" w:cs="Arial"/>
          <w:bCs/>
          <w:sz w:val="24"/>
          <w:szCs w:val="24"/>
          <w:lang w:val="el-GR"/>
        </w:rPr>
        <w:t>Οικονομικών και Προϋπολογισμού</w:t>
      </w:r>
      <w:r w:rsidR="00AB2F83"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μελέτησε </w:t>
      </w:r>
      <w:r w:rsidR="00F41706">
        <w:rPr>
          <w:rFonts w:ascii="Arial" w:eastAsia="Times New Roman" w:hAnsi="Arial" w:cs="Arial"/>
          <w:sz w:val="24"/>
          <w:szCs w:val="24"/>
          <w:lang w:val="el-GR"/>
        </w:rPr>
        <w:t>το</w:t>
      </w:r>
      <w:r w:rsidR="00F766BA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 xml:space="preserve">πιο 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πάνω </w:t>
      </w:r>
      <w:r w:rsidR="00F766BA">
        <w:rPr>
          <w:rFonts w:ascii="Arial" w:eastAsia="Times New Roman" w:hAnsi="Arial" w:cs="Arial"/>
          <w:sz w:val="24"/>
          <w:szCs w:val="24"/>
          <w:lang w:val="el-GR"/>
        </w:rPr>
        <w:t>προϋπολογισμό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σε δύο συνεδρίες 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της,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που πραγματοποιήθηκαν στις 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13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Μαρτ</w:t>
      </w:r>
      <w:r>
        <w:rPr>
          <w:rFonts w:ascii="Arial" w:eastAsia="Times New Roman" w:hAnsi="Arial" w:cs="Arial"/>
          <w:sz w:val="24"/>
          <w:szCs w:val="24"/>
          <w:lang w:val="el-GR"/>
        </w:rPr>
        <w:t>ίου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202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F63271" w:rsidRPr="00F63271">
        <w:rPr>
          <w:rFonts w:ascii="Arial" w:eastAsia="Times New Roman" w:hAnsi="Arial" w:cs="Arial"/>
          <w:sz w:val="24"/>
          <w:szCs w:val="24"/>
          <w:lang w:val="el-GR"/>
        </w:rPr>
        <w:t>Στην πρώτη συνεδρία της επιτροπής κλήθηκαν και παρευρέθηκαν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ο Επίτροπος Αγροτικών Πληρωμών</w:t>
      </w:r>
      <w:r w:rsidR="00C85D33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συνοδευόμενος από εκπρόσωπους του Κυπριακού Οργανισμού Αγροτικών Πληρωμών</w:t>
      </w:r>
      <w:r w:rsidR="00C85D3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85D3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(</w:t>
      </w:r>
      <w:r w:rsidR="00C85D33"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="00C85D3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ΟΑΠ)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, καθώς και εκπρόσωποι του Υπουργείου Οικονομικών και του Υπουργείου Γεωργίας, Αγροτικής Ανάπτυξης και Περιβάλλοντος. </w:t>
      </w:r>
    </w:p>
    <w:p w14:paraId="7B93B316" w14:textId="64EF655E" w:rsidR="007327B8" w:rsidRPr="005962A6" w:rsidRDefault="00433D00" w:rsidP="007327B8">
      <w:pPr>
        <w:tabs>
          <w:tab w:val="left" w:pos="567"/>
          <w:tab w:val="left" w:pos="538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5962A6" w:rsidRPr="005962A6">
        <w:rPr>
          <w:rFonts w:ascii="Arial" w:eastAsia="Times New Roman" w:hAnsi="Arial" w:cs="Arial"/>
          <w:sz w:val="24"/>
          <w:szCs w:val="24"/>
          <w:lang w:val="el-GR"/>
        </w:rPr>
        <w:t>Σημειώνεται ότι στο πλαίσιο της συζήτησης του νομοσχεδίου παρευρέθηκε επίσης το μέλος της επιτροπής βουλευτής κ. Άριστος Δαμιανού.</w:t>
      </w:r>
    </w:p>
    <w:p w14:paraId="22DAE77D" w14:textId="60E984F2" w:rsidR="00AB2F83" w:rsidRDefault="001E1DE4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 προϋπολογισμός του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ΟΑΠ για το έτος 20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προβλέπει συνολικές δαπάνες ύψους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€1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00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και συνολικά έσοδα ύψους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€1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1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7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00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τα οποία 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θα προέλθουν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κυρίως από </w:t>
      </w:r>
      <w:r w:rsidR="00192C1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κρατική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χορηγί</w:t>
      </w:r>
      <w:r w:rsidR="00192C1A">
        <w:rPr>
          <w:rFonts w:ascii="Arial" w:eastAsia="Times New Roman" w:hAnsi="Arial" w:cs="Arial"/>
          <w:bCs/>
          <w:sz w:val="24"/>
          <w:szCs w:val="24"/>
          <w:lang w:val="el-GR"/>
        </w:rPr>
        <w:t>α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ύψους €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1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9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0.000 και από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τόκους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ύψους €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205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00.</w:t>
      </w:r>
    </w:p>
    <w:p w14:paraId="42EF631A" w14:textId="08BFD0B1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 xml:space="preserve">Οι προϋπολογιζόμενες δαπάνες 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για το έτος 20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3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αφορούν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B260EB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μεταξύ άλλων </w:t>
      </w:r>
      <w:r w:rsidR="00AC4E98">
        <w:rPr>
          <w:rFonts w:ascii="Arial" w:eastAsia="Times New Roman" w:hAnsi="Arial" w:cs="Arial"/>
          <w:bCs/>
          <w:sz w:val="24"/>
          <w:szCs w:val="24"/>
          <w:lang w:val="el-GR"/>
        </w:rPr>
        <w:t>σ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τα ακόλουθα:</w:t>
      </w:r>
    </w:p>
    <w:p w14:paraId="74B9BB3A" w14:textId="6496274A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Δ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απάνες προσωπικού (€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9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440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60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0)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145097A9" w14:textId="67E71CE5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ειτουργικές δαπάνες (€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97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59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72D6DDF9" w14:textId="2B48B0E6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εφαλαιουχικές δαπάνες (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€</w:t>
      </w:r>
      <w:r w:rsidR="006A4C97">
        <w:rPr>
          <w:rFonts w:ascii="Arial" w:eastAsia="Times New Roman" w:hAnsi="Arial" w:cs="Arial"/>
          <w:bCs/>
          <w:sz w:val="24"/>
          <w:szCs w:val="24"/>
          <w:lang w:val="el-GR"/>
        </w:rPr>
        <w:t>1.266.81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380E8069" w14:textId="41B5DD09" w:rsidR="00AB2F83" w:rsidRDefault="00AB2F83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Σύμφωνα με τα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 xml:space="preserve">κατατεθέντα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στοιχεία, αποστολή του </w:t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ΟΑΠ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>είναι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η διαχείριση των κονδυλίων που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διατίθενται στον τομέα της γεωργίας στο πλαίσιο της Κοινής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Αγροτικής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 Πολιτικής 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(ΚΑΠ)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της 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Ευρωπαϊκής Ένωσης (ΕΕ)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.  Στα κονδύλια </w:t>
      </w:r>
      <w:r w:rsidR="00ED619F">
        <w:rPr>
          <w:rFonts w:ascii="Arial" w:eastAsia="Times New Roman" w:hAnsi="Arial" w:cs="Arial"/>
          <w:sz w:val="24"/>
          <w:szCs w:val="24"/>
          <w:lang w:val="el-GR"/>
        </w:rPr>
        <w:t xml:space="preserve">αυτά περιλαμβάνονται τα ποσά που αναλογούν στην κοινοτική χρηματοδότηση από το 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>Ευρωπαϊκό Γ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εωργικό Ταμείο Επενδύσεων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>, το μερίδιο της εθνικής συγχρηματοδότησης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 xml:space="preserve"> όπως προνοείται από την ευρωπαϊκή νομοθεσία για το Ευρωπαϊκό Γεωργικό Τα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μείο Αγροτικής Ανάπτυξης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, καθώς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και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οποιεσδήποτε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συμπληρωματικές ενισχύσεις που δύναται να καταβάλλει η Κυπριακή Δημοκρατία από εθνικούς πόρους.</w:t>
      </w:r>
    </w:p>
    <w:p w14:paraId="1F6105CD" w14:textId="78ED67BA" w:rsidR="00CD2BB9" w:rsidRDefault="00CD2BB9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>Σύμφωνα με τα ίδια στοιχεία</w:t>
      </w:r>
      <w:r w:rsidR="00AC4E98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 στο πλαίσιο της άσκησης των δραστηριοτήτων και αρμοδιοτήτων του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 ο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>ΟΑΠ κατά το έτος 20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92C1A">
        <w:rPr>
          <w:rFonts w:ascii="Arial" w:eastAsia="Times New Roman" w:hAnsi="Arial" w:cs="Arial"/>
          <w:sz w:val="24"/>
          <w:szCs w:val="24"/>
          <w:lang w:val="el-GR"/>
        </w:rPr>
        <w:t>προβλέπεται να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καταβάλει τις ακόλουθες πληρωμές:</w:t>
      </w:r>
    </w:p>
    <w:p w14:paraId="68285227" w14:textId="55CB10BC" w:rsidR="00AB2F83" w:rsidRPr="00975AC9" w:rsidRDefault="00AB2F83" w:rsidP="00CC4418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975AC9"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7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 εκατομ. για τη στήριξη των Κοινών Οργανώσεων Αγοράς, το οποίο θα χρηματοδοτηθεί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σχεδόν εξ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 xml:space="preserve">ολοκλήρου 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από την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ΕΕ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6DE48359" w14:textId="235CCC89" w:rsidR="00AB2F83" w:rsidRPr="00E97276" w:rsidRDefault="00AB2F83" w:rsidP="00E97276">
      <w:pPr>
        <w:numPr>
          <w:ilvl w:val="0"/>
          <w:numId w:val="5"/>
        </w:num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Ποσό ύψους €5</w:t>
      </w:r>
      <w:r w:rsidR="00E97276">
        <w:rPr>
          <w:rFonts w:ascii="Arial" w:eastAsia="Times New Roman" w:hAnsi="Arial" w:cs="Arial"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εκατομ. περίπου για την καταβολή άμεσων ενισχύσεων στο πλαίσιο του Σχεδίου Ενιαίας Εκταρικής Επιδότησης, καθώς και των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ά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μεσων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 xml:space="preserve">νισχύσεων για την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κ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 xml:space="preserve">τηνοτροφία, το οποίο χρηματοδοτείται εξ ολοκλήρου από την 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ΕΕ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728FDDB9" w14:textId="7B2EACB2" w:rsidR="00AB2F83" w:rsidRDefault="00AB2F83" w:rsidP="00CC4418">
      <w:pPr>
        <w:numPr>
          <w:ilvl w:val="0"/>
          <w:numId w:val="5"/>
        </w:num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65688D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2,2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 xml:space="preserve"> εκατομ. περίπου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για τη στήριξη της αγροτικής ανάπτυξης στο πλαίσιο του Προγράμματος Αγροτικής Ανάπτυξης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 οποίο θα συγχρηματοδοτηθεί από την Ε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κατά ποσοστό </w:t>
      </w:r>
      <w:r w:rsidR="0065688D">
        <w:rPr>
          <w:rFonts w:ascii="Arial" w:eastAsia="Times New Roman" w:hAnsi="Arial" w:cs="Arial"/>
          <w:sz w:val="24"/>
          <w:szCs w:val="24"/>
          <w:lang w:val="el-GR"/>
        </w:rPr>
        <w:t xml:space="preserve">περίπου </w:t>
      </w:r>
      <w:r w:rsidR="006A4C97">
        <w:rPr>
          <w:rFonts w:ascii="Arial" w:eastAsia="Times New Roman" w:hAnsi="Arial" w:cs="Arial"/>
          <w:sz w:val="24"/>
          <w:szCs w:val="24"/>
          <w:lang w:val="el-GR"/>
        </w:rPr>
        <w:t>7</w:t>
      </w:r>
      <w:r w:rsidR="0001505B">
        <w:rPr>
          <w:rFonts w:ascii="Arial" w:eastAsia="Times New Roman" w:hAnsi="Arial" w:cs="Arial"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sz w:val="24"/>
          <w:szCs w:val="24"/>
          <w:lang w:val="el-GR"/>
        </w:rPr>
        <w:t>%</w:t>
      </w:r>
      <w:r w:rsidR="00975AC9">
        <w:rPr>
          <w:rFonts w:ascii="Arial" w:eastAsia="Times New Roman" w:hAnsi="Arial" w:cs="Arial"/>
          <w:sz w:val="24"/>
          <w:szCs w:val="24"/>
          <w:lang w:val="el-GR"/>
        </w:rPr>
        <w:t xml:space="preserve"> και το υπόλοιπο </w:t>
      </w:r>
      <w:r w:rsidR="0001505B">
        <w:rPr>
          <w:rFonts w:ascii="Arial" w:eastAsia="Times New Roman" w:hAnsi="Arial" w:cs="Arial"/>
          <w:sz w:val="24"/>
          <w:szCs w:val="24"/>
          <w:lang w:val="el-GR"/>
        </w:rPr>
        <w:t>30</w:t>
      </w:r>
      <w:r w:rsidR="00975AC9">
        <w:rPr>
          <w:rFonts w:ascii="Arial" w:eastAsia="Times New Roman" w:hAnsi="Arial" w:cs="Arial"/>
          <w:sz w:val="24"/>
          <w:szCs w:val="24"/>
          <w:lang w:val="el-GR"/>
        </w:rPr>
        <w:t>% από εθνικούς πόρους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B407746" w14:textId="78C004AE" w:rsidR="0097542C" w:rsidRDefault="006E6FCA" w:rsidP="006E6FCA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Στο πλαίσιο της συζήτησης του θέματος, ο</w:t>
      </w:r>
      <w:r w:rsidR="00C04E6C">
        <w:rPr>
          <w:rFonts w:ascii="Arial" w:eastAsia="Times New Roman" w:hAnsi="Arial" w:cs="Arial"/>
          <w:sz w:val="24"/>
          <w:szCs w:val="24"/>
          <w:lang w:val="el-GR"/>
        </w:rPr>
        <w:t xml:space="preserve"> Επίτροπος Αγροτικών Πληρωμών δήλωσε μεταξύ άλλων</w:t>
      </w:r>
      <w:r w:rsidR="0097542C">
        <w:rPr>
          <w:rFonts w:ascii="Arial" w:eastAsia="Times New Roman" w:hAnsi="Arial" w:cs="Arial"/>
          <w:sz w:val="24"/>
          <w:szCs w:val="24"/>
          <w:lang w:val="el-GR"/>
        </w:rPr>
        <w:t xml:space="preserve"> τα ακόλουθα:</w:t>
      </w:r>
    </w:p>
    <w:p w14:paraId="6ED205CB" w14:textId="71FB7BD8" w:rsidR="0097542C" w:rsidRDefault="00AC4E98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 στήριξη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 xml:space="preserve"> του ΚΟΑΠ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προς τον αγροτικό τομέα έχει ενισχυθεί σημαντικά 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>τα τελευταία χρόνια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συνεπεία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 xml:space="preserve"> των επιπτώσεων της πανδημίας του κορων</w:t>
      </w:r>
      <w:r w:rsidR="00472439">
        <w:rPr>
          <w:rFonts w:ascii="Arial" w:eastAsia="Times New Roman" w:hAnsi="Arial" w:cs="Arial"/>
          <w:sz w:val="24"/>
          <w:szCs w:val="24"/>
          <w:lang w:val="el-GR"/>
        </w:rPr>
        <w:t>οϊ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 xml:space="preserve">ού και του πολέμου στην 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lastRenderedPageBreak/>
        <w:t>Ουκρανία</w:t>
      </w:r>
      <w:r w:rsidR="0097542C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513CD1">
        <w:rPr>
          <w:rFonts w:ascii="Arial" w:eastAsia="Times New Roman" w:hAnsi="Arial" w:cs="Arial"/>
          <w:sz w:val="24"/>
          <w:szCs w:val="24"/>
          <w:lang w:val="el-GR"/>
        </w:rPr>
        <w:t>καθ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ότι έχει αναλάβει την</w:t>
      </w:r>
      <w:r w:rsidR="00513C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υλοποίηση</w:t>
      </w:r>
      <w:r w:rsidR="009754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τ</w:t>
      </w:r>
      <w:r w:rsid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ων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 xml:space="preserve"> </w:t>
      </w:r>
      <w:r w:rsidR="00513CD1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σχε</w:t>
      </w:r>
      <w:r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 xml:space="preserve">τικών 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έκτακτ</w:t>
      </w:r>
      <w:r w:rsid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ων μέτρων στήριξης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 xml:space="preserve"> </w:t>
      </w:r>
      <w:r w:rsidR="00513CD1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τ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η</w:t>
      </w:r>
      <w:r w:rsidR="00513CD1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ς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 xml:space="preserve"> </w:t>
      </w:r>
      <w:r w:rsid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κ</w:t>
      </w:r>
      <w:r w:rsidR="0097542C" w:rsidRPr="0097542C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υβέρνηση</w:t>
      </w:r>
      <w:r w:rsidR="00513CD1">
        <w:rPr>
          <w:rFonts w:ascii="Arial" w:hAnsi="Arial" w:cs="Arial"/>
          <w:color w:val="121212"/>
          <w:sz w:val="26"/>
          <w:szCs w:val="26"/>
          <w:shd w:val="clear" w:color="auto" w:fill="FEFEFE"/>
          <w:lang w:val="el-GR"/>
        </w:rPr>
        <w:t>ς</w:t>
      </w:r>
      <w:r w:rsidR="0097542C" w:rsidRPr="0097542C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01E3F880" w14:textId="47BEAEC4" w:rsidR="0020561B" w:rsidRDefault="0097542C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Το 2023</w:t>
      </w:r>
      <w:r w:rsidR="006E6FC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3CD1">
        <w:rPr>
          <w:rFonts w:ascii="Arial" w:eastAsia="Times New Roman" w:hAnsi="Arial" w:cs="Arial"/>
          <w:sz w:val="24"/>
          <w:szCs w:val="24"/>
          <w:lang w:val="el-GR"/>
        </w:rPr>
        <w:t>τίθεται σε εφαρμογή η νέα Κοινή Αγροτική Πολιτική (ΚΑΠ), διάρκειας πέντε ετών. Ο ΚΟΑΠ</w:t>
      </w:r>
      <w:r w:rsidR="0020561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3CD1">
        <w:rPr>
          <w:rFonts w:ascii="Arial" w:eastAsia="Times New Roman" w:hAnsi="Arial" w:cs="Arial"/>
          <w:sz w:val="24"/>
          <w:szCs w:val="24"/>
          <w:lang w:val="el-GR"/>
        </w:rPr>
        <w:t xml:space="preserve">στο </w:t>
      </w:r>
      <w:r w:rsidR="0020561B">
        <w:rPr>
          <w:rFonts w:ascii="Arial" w:eastAsia="Times New Roman" w:hAnsi="Arial" w:cs="Arial"/>
          <w:sz w:val="24"/>
          <w:szCs w:val="24"/>
          <w:lang w:val="el-GR"/>
        </w:rPr>
        <w:t xml:space="preserve">πλαίσιο της </w:t>
      </w:r>
      <w:r>
        <w:rPr>
          <w:rFonts w:ascii="Arial" w:eastAsia="Times New Roman" w:hAnsi="Arial" w:cs="Arial"/>
          <w:sz w:val="24"/>
          <w:szCs w:val="24"/>
          <w:lang w:val="el-GR"/>
        </w:rPr>
        <w:t>εφαρμογή</w:t>
      </w:r>
      <w:r w:rsidR="006E6FCA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E6FCA">
        <w:rPr>
          <w:rFonts w:ascii="Arial" w:eastAsia="Times New Roman" w:hAnsi="Arial" w:cs="Arial"/>
          <w:sz w:val="24"/>
          <w:szCs w:val="24"/>
          <w:lang w:val="el-GR"/>
        </w:rPr>
        <w:t>τ</w:t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6E6FCA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νέα</w:t>
      </w:r>
      <w:r w:rsidR="006E6FCA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 xml:space="preserve">ΚΑΠ </w:t>
      </w:r>
      <w:r w:rsidR="0020561B">
        <w:rPr>
          <w:rFonts w:ascii="Arial" w:eastAsia="Times New Roman" w:hAnsi="Arial" w:cs="Arial"/>
          <w:sz w:val="24"/>
          <w:szCs w:val="24"/>
          <w:lang w:val="el-GR"/>
        </w:rPr>
        <w:t>θα κληθεί να επιτελέσει τεράστιο έργο</w:t>
      </w:r>
      <w:r w:rsidR="00513CD1">
        <w:rPr>
          <w:rFonts w:ascii="Arial" w:eastAsia="Times New Roman" w:hAnsi="Arial" w:cs="Arial"/>
          <w:sz w:val="24"/>
          <w:szCs w:val="24"/>
          <w:lang w:val="el-GR"/>
        </w:rPr>
        <w:t xml:space="preserve">, ωστόσο αναμένεται να προκύψουν και οφέλη για τον οργανισμό, όπως η μείωση του διοικητικού κόστους, μέσω της αξιοποίησης της τεχνολογίας. </w:t>
      </w:r>
      <w:r w:rsidR="0020561B">
        <w:rPr>
          <w:rFonts w:ascii="Arial" w:eastAsia="Times New Roman" w:hAnsi="Arial" w:cs="Arial"/>
          <w:sz w:val="24"/>
          <w:szCs w:val="24"/>
          <w:lang w:val="el-GR"/>
        </w:rPr>
        <w:t xml:space="preserve">Ειδικότερα, </w:t>
      </w:r>
      <w:r w:rsidR="00455757">
        <w:rPr>
          <w:rFonts w:ascii="Arial" w:eastAsia="Times New Roman" w:hAnsi="Arial" w:cs="Arial"/>
          <w:sz w:val="24"/>
          <w:szCs w:val="24"/>
          <w:lang w:val="el-GR"/>
        </w:rPr>
        <w:t xml:space="preserve">στο πλαίσιο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της νέας ΚΑΠ </w:t>
      </w:r>
      <w:r w:rsidR="00455757">
        <w:rPr>
          <w:rFonts w:ascii="Arial" w:eastAsia="Times New Roman" w:hAnsi="Arial" w:cs="Arial"/>
          <w:sz w:val="24"/>
          <w:szCs w:val="24"/>
          <w:lang w:val="el-GR"/>
        </w:rPr>
        <w:t>εκτιμάται ότι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55757">
        <w:rPr>
          <w:rFonts w:ascii="Arial" w:eastAsia="Times New Roman" w:hAnsi="Arial" w:cs="Arial"/>
          <w:sz w:val="24"/>
          <w:szCs w:val="24"/>
          <w:lang w:val="el-GR"/>
        </w:rPr>
        <w:t>θ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 καταβληθούν </w:t>
      </w:r>
      <w:r w:rsidR="00455757">
        <w:rPr>
          <w:rFonts w:ascii="Arial" w:eastAsia="Times New Roman" w:hAnsi="Arial" w:cs="Arial"/>
          <w:sz w:val="24"/>
          <w:szCs w:val="24"/>
          <w:lang w:val="el-GR"/>
        </w:rPr>
        <w:t xml:space="preserve">συνολικά, μέσω του ΚΟΑΠ, </w:t>
      </w:r>
      <w:r>
        <w:rPr>
          <w:rFonts w:ascii="Arial" w:eastAsia="Times New Roman" w:hAnsi="Arial" w:cs="Arial"/>
          <w:sz w:val="24"/>
          <w:szCs w:val="24"/>
          <w:lang w:val="el-GR"/>
        </w:rPr>
        <w:t>στον πρωτογενή τομέα της Κύπρου πέραν των €400 εκατομ.</w:t>
      </w:r>
      <w:r w:rsidR="0020561B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</w:p>
    <w:p w14:paraId="4AA9F0B8" w14:textId="75F590CA" w:rsidR="00393E69" w:rsidRDefault="0020561B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AC4E98">
        <w:rPr>
          <w:rFonts w:ascii="Arial" w:eastAsia="Times New Roman" w:hAnsi="Arial" w:cs="Arial"/>
          <w:sz w:val="24"/>
          <w:szCs w:val="24"/>
          <w:lang w:val="el-GR"/>
        </w:rPr>
        <w:t>ΚΟΑΠ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 xml:space="preserve">προβαίνει σε </w:t>
      </w:r>
      <w:r>
        <w:rPr>
          <w:rFonts w:ascii="Arial" w:eastAsia="Times New Roman" w:hAnsi="Arial" w:cs="Arial"/>
          <w:sz w:val="24"/>
          <w:szCs w:val="24"/>
          <w:lang w:val="el-GR"/>
        </w:rPr>
        <w:t>αναθε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>ώ</w:t>
      </w:r>
      <w:r>
        <w:rPr>
          <w:rFonts w:ascii="Arial" w:eastAsia="Times New Roman" w:hAnsi="Arial" w:cs="Arial"/>
          <w:sz w:val="24"/>
          <w:szCs w:val="24"/>
          <w:lang w:val="el-GR"/>
        </w:rPr>
        <w:t>ρ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>ηση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>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τρόπο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διαχείρισης τ</w:t>
      </w:r>
      <w:r w:rsidR="00455757">
        <w:rPr>
          <w:rFonts w:ascii="Arial" w:eastAsia="Times New Roman" w:hAnsi="Arial" w:cs="Arial"/>
          <w:sz w:val="24"/>
          <w:szCs w:val="24"/>
          <w:lang w:val="el-GR"/>
        </w:rPr>
        <w:t>ων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μη συμ</w:t>
      </w:r>
      <w:r w:rsidR="00455757">
        <w:rPr>
          <w:rFonts w:ascii="Arial" w:eastAsia="Times New Roman" w:hAnsi="Arial" w:cs="Arial"/>
          <w:sz w:val="24"/>
          <w:szCs w:val="24"/>
          <w:lang w:val="el-GR"/>
        </w:rPr>
        <w:t>μορφούμενων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 xml:space="preserve">αιτητών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σχεδίων με 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>τις υποχρεώσεις τους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 xml:space="preserve"> μεταβαίνοντας από την πρακτική της επιβολής ποινών και προστίμων στην πρακτική της συνεννόησης και της έγκαιρης προειδοποίησης για τη διόρθωση λαθών και παραλείψεων που εντοπίζονται στις αιτήσεις</w:t>
      </w:r>
      <w:r w:rsidR="00AC4E98">
        <w:rPr>
          <w:rFonts w:ascii="Arial" w:eastAsia="Times New Roman" w:hAnsi="Arial" w:cs="Arial"/>
          <w:sz w:val="24"/>
          <w:szCs w:val="24"/>
          <w:lang w:val="el-GR"/>
        </w:rPr>
        <w:t xml:space="preserve"> τους</w:t>
      </w:r>
      <w:r w:rsidR="00393E69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52367CA7" w14:textId="79437A6E" w:rsidR="0097542C" w:rsidRDefault="00393E69" w:rsidP="0097542C">
      <w:pPr>
        <w:pStyle w:val="ListParagraph"/>
        <w:numPr>
          <w:ilvl w:val="0"/>
          <w:numId w:val="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προϋπολογισμός </w:t>
      </w:r>
      <w:r w:rsidR="00621568">
        <w:rPr>
          <w:rFonts w:ascii="Arial" w:eastAsia="Times New Roman" w:hAnsi="Arial" w:cs="Arial"/>
          <w:sz w:val="24"/>
          <w:szCs w:val="24"/>
          <w:lang w:val="el-GR"/>
        </w:rPr>
        <w:t xml:space="preserve">λειτουργίας του ΚΟΑΠ </w:t>
      </w:r>
      <w:r>
        <w:rPr>
          <w:rFonts w:ascii="Arial" w:eastAsia="Times New Roman" w:hAnsi="Arial" w:cs="Arial"/>
          <w:sz w:val="24"/>
          <w:szCs w:val="24"/>
          <w:lang w:val="el-GR"/>
        </w:rPr>
        <w:t>για το έτος 2023 παρουσιάζει αύξηση σε ποσοστό ύψους 7,7% σε σχέση με τον προϋπολογισμό του προηγούμενου έτους, η οποία οφείλεται κυρίως στις αυξημένες δαπάνες προσωπικού, λόγω της παραχώρησης ετήσιων προσαυξήσεων, της αύξησης της Αυτόματης Τιμαριθμικής Προσαρμογής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της συνακόλουθης αύξησης των συνεισφορών του εργοδότη στα διάφορα ταμεία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στις αυξημένες λειτουργικές δαπάνες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συνεπεία της αύξησης της τιμής των καυσίμων, καθώς και στην περίληψη πρόνοιας για την ανάπτυξη μηχανογραφικών συστημάτων για τη νέα ΚΑΠ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και την αντικατάσταση/αναβάθμιση συστημάτων ασφαλείας και άλλων λογισμικών.  </w:t>
      </w:r>
    </w:p>
    <w:p w14:paraId="4B1BF09D" w14:textId="62A55D60" w:rsidR="0020561B" w:rsidRDefault="00085BD7" w:rsidP="00DA2691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Σημειώνεται ότι, στο πλαίσιο της συζήτησης του θέματος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οι εκπρόσωποι του ΚΟΑΠ ενημέρωσαν την επιτροπή ότι το Δελτίο Δαπανών του υπό εξέταση προϋπολογισμού </w:t>
      </w:r>
      <w:r w:rsidR="00DA2691">
        <w:rPr>
          <w:rFonts w:ascii="Arial" w:eastAsia="Times New Roman" w:hAnsi="Arial" w:cs="Arial"/>
          <w:sz w:val="24"/>
          <w:szCs w:val="24"/>
          <w:lang w:val="el-GR"/>
        </w:rPr>
        <w:t xml:space="preserve">πρέπει να τροποποιηθεί,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ώστε να απαλειφθούν </w:t>
      </w:r>
      <w:r w:rsidR="00DA2691">
        <w:rPr>
          <w:rFonts w:ascii="Arial" w:eastAsia="Times New Roman" w:hAnsi="Arial" w:cs="Arial"/>
          <w:sz w:val="24"/>
          <w:szCs w:val="24"/>
          <w:lang w:val="el-GR"/>
        </w:rPr>
        <w:t>επιμέρους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επεξηγήσεις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οι οποίες εκ παραδρομής περιλήφθηκαν </w:t>
      </w:r>
      <w:r>
        <w:rPr>
          <w:rFonts w:ascii="Arial" w:eastAsia="Times New Roman" w:hAnsi="Arial" w:cs="Arial"/>
          <w:sz w:val="24"/>
          <w:szCs w:val="24"/>
          <w:lang w:val="el-GR"/>
        </w:rPr>
        <w:t>κάτω από το άρθρο 02100 «Υπάλληλοι ΚΟΑΠ»</w:t>
      </w:r>
      <w:r w:rsidR="00DA2691">
        <w:rPr>
          <w:rFonts w:ascii="Arial" w:eastAsia="Times New Roman" w:hAnsi="Arial" w:cs="Arial"/>
          <w:sz w:val="24"/>
          <w:szCs w:val="24"/>
          <w:lang w:val="el-GR"/>
        </w:rPr>
        <w:t xml:space="preserve">.  Ως εκ τούτου, στη συνεδρία </w:t>
      </w:r>
      <w:r w:rsidR="00DA2691">
        <w:rPr>
          <w:rFonts w:ascii="Arial" w:eastAsia="Times New Roman" w:hAnsi="Arial" w:cs="Arial"/>
          <w:sz w:val="24"/>
          <w:szCs w:val="24"/>
          <w:lang w:val="el-GR"/>
        </w:rPr>
        <w:lastRenderedPageBreak/>
        <w:t>της επιτροπής ημερομηνίας 3 Μαρτίου 2023 κατατέθηκε ενώπιόν της αναθεωρημένο κείμενο νομοσχεδίου.</w:t>
      </w:r>
    </w:p>
    <w:p w14:paraId="01E4B08F" w14:textId="1AB79A1D" w:rsidR="00E549F3" w:rsidRDefault="008A6781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Στο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στάδιο της εξέτασης του υπό αναφορά προϋπολογισμού,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 επιτροπή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απασχόλησαν σωρεία ζητημάτων, τα οποία αφορούν μεταξύ άλλων στα μέτρα στήριξης νέων αγροτών, </w:t>
      </w:r>
      <w:r w:rsidR="00F24759">
        <w:rPr>
          <w:rFonts w:ascii="Arial" w:eastAsia="Times New Roman" w:hAnsi="Arial" w:cs="Arial"/>
          <w:sz w:val="24"/>
          <w:szCs w:val="24"/>
          <w:lang w:val="el-GR"/>
        </w:rPr>
        <w:t>στις πληρωμές του ΚΟΑΠ προς τους δικαιούχους για το έτος 2022,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 καθώς</w:t>
      </w:r>
      <w:r w:rsidR="00F2475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και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στ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 μέτρ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 προσωρινής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έκτακτης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>στήριξης των γεωργών που έχουν επηρεαστεί από τις επιπτώσεις του πολέμου στην Ουκρανία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7BE00CCC" w14:textId="2A650417" w:rsidR="00E549F3" w:rsidRDefault="00433D00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Συναφώς, 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>σε σχέση με τα πιο πάνω ζητήματα</w:t>
      </w:r>
      <w:r w:rsidR="00B716A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1465B">
        <w:rPr>
          <w:rFonts w:ascii="Arial" w:eastAsia="Times New Roman" w:hAnsi="Arial" w:cs="Arial"/>
          <w:sz w:val="24"/>
          <w:szCs w:val="24"/>
          <w:lang w:val="el-GR"/>
        </w:rPr>
        <w:t xml:space="preserve">ο Επίτροπος Αγροτικών Πληρωμών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>δήλωσε μεταξύ άλλων τα ακόλουθα:</w:t>
      </w:r>
    </w:p>
    <w:p w14:paraId="05748D3B" w14:textId="0657E083" w:rsidR="007268A9" w:rsidRDefault="007268A9" w:rsidP="00E549F3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ΚΟΑΠ παρέχει συγκεκριμένο πρόγραμμα στήριξης νέων αγροτών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 με 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>διαθέσιμο κονδύλι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>, το οποίο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>ανέρχεται στα €5 εκατομ.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 Ωστόσο,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 στο πλαίσιο του προγράμματος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>έχουν υποβληθεί 300 αιτήσεις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 xml:space="preserve">, το συνολικό κόστος των οποίων υπερβαίνει σημαντικά το εν λόγω κονδύλι.  Στόχος είναι η εξεύρεση του </w:t>
      </w:r>
      <w:r>
        <w:rPr>
          <w:rFonts w:ascii="Arial" w:eastAsia="Times New Roman" w:hAnsi="Arial" w:cs="Arial"/>
          <w:sz w:val="24"/>
          <w:szCs w:val="24"/>
          <w:lang w:val="el-GR"/>
        </w:rPr>
        <w:t>υπολειπόμενου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 xml:space="preserve"> ποσού από άλλους πόρους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 xml:space="preserve"> προκειμένου να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ικανοποιηθούν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όλ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οι 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 xml:space="preserve">οι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δικαιούχοι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αιτ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ητές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2AC9F236" w14:textId="7467F089" w:rsidR="0051465B" w:rsidRDefault="007268A9" w:rsidP="00E549F3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οργανισμός έχει καταβάλει €92 εκατομ. σε 33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000 δικαιούχους</w:t>
      </w:r>
      <w:r w:rsidR="00FB65E1">
        <w:rPr>
          <w:rFonts w:ascii="Arial" w:eastAsia="Times New Roman" w:hAnsi="Arial" w:cs="Arial"/>
          <w:sz w:val="24"/>
          <w:szCs w:val="24"/>
          <w:lang w:val="el-GR"/>
        </w:rPr>
        <w:t xml:space="preserve"> για το έτος 2022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>.  Από το σύνολο των αιτήσεων</w:t>
      </w:r>
      <w:r w:rsidR="00096C02">
        <w:rPr>
          <w:rFonts w:ascii="Arial" w:eastAsia="Times New Roman" w:hAnsi="Arial" w:cs="Arial"/>
          <w:sz w:val="24"/>
          <w:szCs w:val="24"/>
          <w:lang w:val="el-GR"/>
        </w:rPr>
        <w:t xml:space="preserve"> που υποβλήθηκαν,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67B7F">
        <w:rPr>
          <w:rFonts w:ascii="Arial" w:eastAsia="Times New Roman" w:hAnsi="Arial" w:cs="Arial"/>
          <w:sz w:val="24"/>
          <w:szCs w:val="24"/>
          <w:lang w:val="el-GR"/>
        </w:rPr>
        <w:t>μεγάλος αριθμός αιτήσεων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96C02">
        <w:rPr>
          <w:rFonts w:ascii="Arial" w:eastAsia="Times New Roman" w:hAnsi="Arial" w:cs="Arial"/>
          <w:sz w:val="24"/>
          <w:szCs w:val="24"/>
          <w:lang w:val="el-GR"/>
        </w:rPr>
        <w:t>αφορ</w:t>
      </w:r>
      <w:r w:rsidR="00767B7F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μικροκαλλιεργητές</w:t>
      </w:r>
      <w:r w:rsidR="00096C02">
        <w:rPr>
          <w:rFonts w:ascii="Arial" w:eastAsia="Times New Roman" w:hAnsi="Arial" w:cs="Arial"/>
          <w:sz w:val="24"/>
          <w:szCs w:val="24"/>
          <w:lang w:val="el-GR"/>
        </w:rPr>
        <w:t xml:space="preserve">, οι οποίοι 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>υπόκεινται στο σύνολο των ελέγχων και απαιτήσεων του ΚΟΑΠ</w:t>
      </w:r>
      <w:r w:rsidR="00533CD8">
        <w:rPr>
          <w:rFonts w:ascii="Arial" w:eastAsia="Times New Roman" w:hAnsi="Arial" w:cs="Arial"/>
          <w:sz w:val="24"/>
          <w:szCs w:val="24"/>
          <w:lang w:val="el-GR"/>
        </w:rPr>
        <w:t xml:space="preserve">.  Η ένταξη των εν λόγω καλλιεργητών σε ξεχωριστή κατηγορία </w:t>
      </w:r>
      <w:r w:rsidR="00BB7553">
        <w:rPr>
          <w:rFonts w:ascii="Arial" w:eastAsia="Times New Roman" w:hAnsi="Arial" w:cs="Arial"/>
          <w:sz w:val="24"/>
          <w:szCs w:val="24"/>
          <w:lang w:val="el-GR"/>
        </w:rPr>
        <w:t xml:space="preserve">θα συνέβαλλε στη βελτίωση του τρόπου στήριξής τους και </w:t>
      </w:r>
      <w:r w:rsidR="00767B7F">
        <w:rPr>
          <w:rFonts w:ascii="Arial" w:eastAsia="Times New Roman" w:hAnsi="Arial" w:cs="Arial"/>
          <w:sz w:val="24"/>
          <w:szCs w:val="24"/>
          <w:lang w:val="el-GR"/>
        </w:rPr>
        <w:t>θ</w:t>
      </w:r>
      <w:r w:rsidR="00533CD8">
        <w:rPr>
          <w:rFonts w:ascii="Arial" w:eastAsia="Times New Roman" w:hAnsi="Arial" w:cs="Arial"/>
          <w:sz w:val="24"/>
          <w:szCs w:val="24"/>
          <w:lang w:val="el-GR"/>
        </w:rPr>
        <w:t xml:space="preserve">α περιόριζε </w:t>
      </w:r>
      <w:r w:rsidR="00BB7553">
        <w:rPr>
          <w:rFonts w:ascii="Arial" w:eastAsia="Times New Roman" w:hAnsi="Arial" w:cs="Arial"/>
          <w:sz w:val="24"/>
          <w:szCs w:val="24"/>
          <w:lang w:val="el-GR"/>
        </w:rPr>
        <w:t xml:space="preserve">τόσο </w:t>
      </w:r>
      <w:r w:rsidR="00533CD8">
        <w:rPr>
          <w:rFonts w:ascii="Arial" w:eastAsia="Times New Roman" w:hAnsi="Arial" w:cs="Arial"/>
          <w:sz w:val="24"/>
          <w:szCs w:val="24"/>
          <w:lang w:val="el-GR"/>
        </w:rPr>
        <w:t>τις δυσκολίες που οι ίδιοι αντιμετωπίζουν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533CD8">
        <w:rPr>
          <w:rFonts w:ascii="Arial" w:eastAsia="Times New Roman" w:hAnsi="Arial" w:cs="Arial"/>
          <w:sz w:val="24"/>
          <w:szCs w:val="24"/>
          <w:lang w:val="el-GR"/>
        </w:rPr>
        <w:t xml:space="preserve"> συνεπεία των αυξημένων απαιτήσεων 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>και της γραφειοκρατίας</w:t>
      </w:r>
      <w:r w:rsidR="00B260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433D0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B7553">
        <w:rPr>
          <w:rFonts w:ascii="Arial" w:eastAsia="Times New Roman" w:hAnsi="Arial" w:cs="Arial"/>
          <w:sz w:val="24"/>
          <w:szCs w:val="24"/>
          <w:lang w:val="el-GR"/>
        </w:rPr>
        <w:t xml:space="preserve">όσο </w:t>
      </w:r>
      <w:r w:rsidR="00533CD8">
        <w:rPr>
          <w:rFonts w:ascii="Arial" w:eastAsia="Times New Roman" w:hAnsi="Arial" w:cs="Arial"/>
          <w:sz w:val="24"/>
          <w:szCs w:val="24"/>
          <w:lang w:val="el-GR"/>
        </w:rPr>
        <w:t xml:space="preserve">και 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>τον διοικητικό φόρτο για τον ΚΟΑΠ.</w:t>
      </w:r>
      <w:r w:rsidR="00533CD8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C20957">
        <w:rPr>
          <w:rFonts w:ascii="Arial" w:eastAsia="Times New Roman" w:hAnsi="Arial" w:cs="Arial"/>
          <w:sz w:val="24"/>
          <w:szCs w:val="24"/>
          <w:lang w:val="el-G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A09B1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E549F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716A6" w:rsidRPr="00E549F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74B59BC4" w14:textId="1F4B6DBC" w:rsidR="001A6489" w:rsidRPr="005962A6" w:rsidRDefault="00533CD8" w:rsidP="005962A6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Το μέτρο έκτακτη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προσωρινή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στήριξη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των γεωργών που πλήττονται από τις επιπτώσεις του πολέμου στην Ουκρανία έχει εγκριθεί από την Ευρωπαϊκή Επιτροπή και </w:t>
      </w:r>
      <w:r w:rsidR="00167412">
        <w:rPr>
          <w:rFonts w:ascii="Arial" w:eastAsia="Times New Roman" w:hAnsi="Arial" w:cs="Arial"/>
          <w:sz w:val="24"/>
          <w:szCs w:val="24"/>
          <w:lang w:val="el-GR"/>
        </w:rPr>
        <w:t>προορίζεται για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 xml:space="preserve"> την ενίσχυση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>αγροτών στου</w:t>
      </w:r>
      <w:r w:rsidR="008811EF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 xml:space="preserve"> τομείς</w:t>
      </w:r>
      <w:r w:rsidR="00F2475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17D55">
        <w:rPr>
          <w:rFonts w:ascii="Arial" w:eastAsia="Times New Roman" w:hAnsi="Arial" w:cs="Arial"/>
          <w:sz w:val="24"/>
          <w:szCs w:val="24"/>
          <w:lang w:val="el-GR"/>
        </w:rPr>
        <w:t xml:space="preserve">της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σιτοκαλλιέργειας και της </w:t>
      </w: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αιγοπροβατοτροφίας. </w:t>
      </w:r>
      <w:r w:rsidR="00F24759">
        <w:rPr>
          <w:rFonts w:ascii="Arial" w:eastAsia="Times New Roman" w:hAnsi="Arial" w:cs="Arial"/>
          <w:sz w:val="24"/>
          <w:szCs w:val="24"/>
          <w:lang w:val="el-GR"/>
        </w:rPr>
        <w:t>Ο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οργανισμός </w:t>
      </w:r>
      <w:r w:rsidR="00E517C7">
        <w:rPr>
          <w:rFonts w:ascii="Arial" w:eastAsia="Times New Roman" w:hAnsi="Arial" w:cs="Arial"/>
          <w:sz w:val="24"/>
          <w:szCs w:val="24"/>
          <w:lang w:val="el-GR"/>
        </w:rPr>
        <w:t xml:space="preserve">έχει λάβει τις αιτήσεις και είναι σχεδόν έτοιμος να προβεί στην </w:t>
      </w:r>
      <w:r w:rsidR="00F24759">
        <w:rPr>
          <w:rFonts w:ascii="Arial" w:eastAsia="Times New Roman" w:hAnsi="Arial" w:cs="Arial"/>
          <w:sz w:val="24"/>
          <w:szCs w:val="24"/>
          <w:lang w:val="el-GR"/>
        </w:rPr>
        <w:t xml:space="preserve">καταβολή των πληρωμών </w:t>
      </w:r>
      <w:r w:rsidR="00E517C7">
        <w:rPr>
          <w:rFonts w:ascii="Arial" w:eastAsia="Times New Roman" w:hAnsi="Arial" w:cs="Arial"/>
          <w:sz w:val="24"/>
          <w:szCs w:val="24"/>
          <w:lang w:val="el-GR"/>
        </w:rPr>
        <w:t xml:space="preserve">προς </w:t>
      </w:r>
      <w:r w:rsidR="00F24759">
        <w:rPr>
          <w:rFonts w:ascii="Arial" w:eastAsia="Times New Roman" w:hAnsi="Arial" w:cs="Arial"/>
          <w:sz w:val="24"/>
          <w:szCs w:val="24"/>
          <w:lang w:val="el-GR"/>
        </w:rPr>
        <w:t>τους δικαιούχους</w:t>
      </w:r>
      <w:r w:rsidR="00767B7F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0E3B6515" w14:textId="5C580E5C" w:rsidR="009C59B4" w:rsidRPr="005962A6" w:rsidRDefault="005962A6" w:rsidP="001A648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5962A6">
        <w:rPr>
          <w:rFonts w:ascii="Arial" w:hAnsi="Arial" w:cs="Arial"/>
          <w:sz w:val="24"/>
          <w:szCs w:val="24"/>
          <w:lang w:val="el-GR"/>
        </w:rPr>
        <w:t>Η Κοινοβουλευτική Επιτροπή Οικονομικών και Προϋπολογισμού, αφού έλαβε υπόψη όλα όσα τέθηκαν ενώπιόν της, επιφυλάχθηκε να τοποθετηθεί κατά τη συζήτηση του θέματος στην ολομέλεια του σώματος.</w:t>
      </w:r>
    </w:p>
    <w:p w14:paraId="1BDC170D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177D757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1BD131B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0709284B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013AFD0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9F2CAF0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E7E71A1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012B647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3BE3BE7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B14F3A5" w14:textId="77777777" w:rsidR="005962A6" w:rsidRDefault="005962A6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DF3A02F" w14:textId="226908BF" w:rsidR="009C59B4" w:rsidRDefault="00C60629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="005962A6">
        <w:rPr>
          <w:rFonts w:ascii="Arial" w:eastAsia="Times New Roman" w:hAnsi="Arial" w:cs="Arial"/>
          <w:sz w:val="24"/>
          <w:szCs w:val="24"/>
          <w:lang w:val="el-GR"/>
        </w:rPr>
        <w:t>4</w:t>
      </w:r>
      <w:r w:rsidR="009C59B4">
        <w:rPr>
          <w:rFonts w:ascii="Arial" w:eastAsia="Times New Roman" w:hAnsi="Arial" w:cs="Arial"/>
          <w:sz w:val="24"/>
          <w:szCs w:val="24"/>
          <w:lang w:val="el-GR"/>
        </w:rPr>
        <w:t xml:space="preserve"> Μαρτίου 2023</w:t>
      </w:r>
    </w:p>
    <w:p w14:paraId="7655049C" w14:textId="1EFAF211" w:rsidR="009C59B4" w:rsidRDefault="009C59B4" w:rsidP="009C59B4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D0479">
        <w:rPr>
          <w:rFonts w:ascii="Arial" w:eastAsia="Times New Roman" w:hAnsi="Arial" w:cs="Arial"/>
          <w:sz w:val="24"/>
          <w:szCs w:val="24"/>
          <w:lang w:val="el-GR"/>
        </w:rPr>
        <w:t>Αρ. Φακ.: 23.01.06</w:t>
      </w:r>
      <w:r>
        <w:rPr>
          <w:rFonts w:ascii="Arial" w:eastAsia="Times New Roman" w:hAnsi="Arial" w:cs="Arial"/>
          <w:sz w:val="24"/>
          <w:szCs w:val="24"/>
          <w:lang w:val="el-GR"/>
        </w:rPr>
        <w:t>3</w:t>
      </w:r>
      <w:r w:rsidRPr="004D0479">
        <w:rPr>
          <w:rFonts w:ascii="Arial" w:eastAsia="Times New Roman" w:hAnsi="Arial" w:cs="Arial"/>
          <w:sz w:val="24"/>
          <w:szCs w:val="24"/>
          <w:lang w:val="el-GR"/>
        </w:rPr>
        <w:t>.2</w:t>
      </w:r>
      <w:r>
        <w:rPr>
          <w:rFonts w:ascii="Arial" w:eastAsia="Times New Roman" w:hAnsi="Arial" w:cs="Arial"/>
          <w:sz w:val="24"/>
          <w:szCs w:val="24"/>
          <w:lang w:val="el-GR"/>
        </w:rPr>
        <w:t>20</w:t>
      </w:r>
      <w:r w:rsidRPr="004D0479">
        <w:rPr>
          <w:rFonts w:ascii="Arial" w:eastAsia="Times New Roman" w:hAnsi="Arial" w:cs="Arial"/>
          <w:sz w:val="24"/>
          <w:szCs w:val="24"/>
          <w:lang w:val="el-GR"/>
        </w:rPr>
        <w:t>-202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2   </w:t>
      </w:r>
    </w:p>
    <w:p w14:paraId="369ED733" w14:textId="3C3E6F16" w:rsidR="009C59B4" w:rsidRPr="006E0542" w:rsidRDefault="009C59B4" w:rsidP="009C59B4">
      <w:pPr>
        <w:tabs>
          <w:tab w:val="left" w:pos="567"/>
        </w:tabs>
        <w:spacing w:after="0" w:line="480" w:lineRule="auto"/>
        <w:contextualSpacing/>
        <w:jc w:val="both"/>
      </w:pPr>
      <w:r>
        <w:rPr>
          <w:rFonts w:ascii="Arial" w:eastAsia="Times New Roman" w:hAnsi="Arial" w:cs="Arial"/>
          <w:sz w:val="16"/>
          <w:szCs w:val="16"/>
          <w:lang w:val="el-GR"/>
        </w:rPr>
        <w:t>ΣΧΚ/</w:t>
      </w:r>
      <w:r w:rsidR="001715AE">
        <w:rPr>
          <w:rFonts w:ascii="Arial" w:eastAsia="Times New Roman" w:hAnsi="Arial" w:cs="Arial"/>
          <w:sz w:val="16"/>
          <w:szCs w:val="16"/>
          <w:lang w:val="el-GR"/>
        </w:rPr>
        <w:t>ΧΜ/</w:t>
      </w:r>
      <w:r w:rsidR="006E0542">
        <w:rPr>
          <w:rFonts w:ascii="Arial" w:eastAsia="Times New Roman" w:hAnsi="Arial" w:cs="Arial"/>
          <w:sz w:val="16"/>
          <w:szCs w:val="16"/>
          <w:lang w:val="el-GR"/>
        </w:rPr>
        <w:t>ΓΧ</w:t>
      </w:r>
    </w:p>
    <w:sectPr w:rsidR="009C59B4" w:rsidRPr="006E0542" w:rsidSect="00435221">
      <w:headerReference w:type="even" r:id="rId8"/>
      <w:headerReference w:type="default" r:id="rId9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1FD0" w14:textId="77777777" w:rsidR="00186F92" w:rsidRDefault="00186F92" w:rsidP="00EE08F8">
      <w:pPr>
        <w:spacing w:after="0" w:line="240" w:lineRule="auto"/>
      </w:pPr>
      <w:r>
        <w:separator/>
      </w:r>
    </w:p>
  </w:endnote>
  <w:endnote w:type="continuationSeparator" w:id="0">
    <w:p w14:paraId="6EC8BF21" w14:textId="77777777" w:rsidR="00186F92" w:rsidRDefault="00186F92" w:rsidP="00E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F529" w14:textId="77777777" w:rsidR="00186F92" w:rsidRDefault="00186F92" w:rsidP="00EE08F8">
      <w:pPr>
        <w:spacing w:after="0" w:line="240" w:lineRule="auto"/>
      </w:pPr>
      <w:r>
        <w:separator/>
      </w:r>
    </w:p>
  </w:footnote>
  <w:footnote w:type="continuationSeparator" w:id="0">
    <w:p w14:paraId="103DE697" w14:textId="77777777" w:rsidR="00186F92" w:rsidRDefault="00186F92" w:rsidP="00E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626" w14:textId="77777777" w:rsidR="00285035" w:rsidRDefault="006B00BC" w:rsidP="009E0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D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F115E" w14:textId="77777777" w:rsidR="0028503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0BD9" w14:textId="77777777" w:rsidR="00285035" w:rsidRPr="00F9266A" w:rsidRDefault="006B00BC" w:rsidP="0089739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9266A">
      <w:rPr>
        <w:rStyle w:val="PageNumber"/>
        <w:rFonts w:ascii="Arial" w:hAnsi="Arial" w:cs="Arial"/>
        <w:sz w:val="24"/>
        <w:szCs w:val="24"/>
      </w:rPr>
      <w:fldChar w:fldCharType="begin"/>
    </w:r>
    <w:r w:rsidR="00FF4D02" w:rsidRPr="00F9266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9266A">
      <w:rPr>
        <w:rStyle w:val="PageNumber"/>
        <w:rFonts w:ascii="Arial" w:hAnsi="Arial" w:cs="Arial"/>
        <w:sz w:val="24"/>
        <w:szCs w:val="24"/>
      </w:rPr>
      <w:fldChar w:fldCharType="separate"/>
    </w:r>
    <w:r w:rsidR="00CC4418">
      <w:rPr>
        <w:rStyle w:val="PageNumber"/>
        <w:rFonts w:ascii="Arial" w:hAnsi="Arial" w:cs="Arial"/>
        <w:noProof/>
        <w:sz w:val="24"/>
        <w:szCs w:val="24"/>
      </w:rPr>
      <w:t>3</w:t>
    </w:r>
    <w:r w:rsidRPr="00F9266A">
      <w:rPr>
        <w:rStyle w:val="PageNumber"/>
        <w:rFonts w:ascii="Arial" w:hAnsi="Arial" w:cs="Arial"/>
        <w:sz w:val="24"/>
        <w:szCs w:val="24"/>
      </w:rPr>
      <w:fldChar w:fldCharType="end"/>
    </w:r>
  </w:p>
  <w:p w14:paraId="55EB7220" w14:textId="77777777" w:rsidR="00285035" w:rsidRDefault="00000000">
    <w:pPr>
      <w:pStyle w:val="Header"/>
      <w:jc w:val="center"/>
    </w:pPr>
  </w:p>
  <w:p w14:paraId="44861DDA" w14:textId="77777777" w:rsidR="0028503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E9C"/>
    <w:multiLevelType w:val="hybridMultilevel"/>
    <w:tmpl w:val="7242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26F"/>
    <w:multiLevelType w:val="hybridMultilevel"/>
    <w:tmpl w:val="1B3048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F02"/>
    <w:multiLevelType w:val="hybridMultilevel"/>
    <w:tmpl w:val="BCEE9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E7"/>
    <w:multiLevelType w:val="hybridMultilevel"/>
    <w:tmpl w:val="1D78D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5C2"/>
    <w:multiLevelType w:val="hybridMultilevel"/>
    <w:tmpl w:val="9B9410B6"/>
    <w:lvl w:ilvl="0" w:tplc="8FBE10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6F7"/>
    <w:multiLevelType w:val="hybridMultilevel"/>
    <w:tmpl w:val="E466D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739"/>
    <w:multiLevelType w:val="hybridMultilevel"/>
    <w:tmpl w:val="46000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4736"/>
    <w:multiLevelType w:val="hybridMultilevel"/>
    <w:tmpl w:val="4F447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4706">
    <w:abstractNumId w:val="1"/>
  </w:num>
  <w:num w:numId="2" w16cid:durableId="1683628053">
    <w:abstractNumId w:val="0"/>
  </w:num>
  <w:num w:numId="3" w16cid:durableId="1437213203">
    <w:abstractNumId w:val="7"/>
  </w:num>
  <w:num w:numId="4" w16cid:durableId="882444193">
    <w:abstractNumId w:val="6"/>
  </w:num>
  <w:num w:numId="5" w16cid:durableId="914780095">
    <w:abstractNumId w:val="5"/>
  </w:num>
  <w:num w:numId="6" w16cid:durableId="2101831316">
    <w:abstractNumId w:val="4"/>
  </w:num>
  <w:num w:numId="7" w16cid:durableId="1979991612">
    <w:abstractNumId w:val="3"/>
  </w:num>
  <w:num w:numId="8" w16cid:durableId="27055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3"/>
    <w:rsid w:val="0001505B"/>
    <w:rsid w:val="00020D04"/>
    <w:rsid w:val="00065DA0"/>
    <w:rsid w:val="0008089B"/>
    <w:rsid w:val="00085BD7"/>
    <w:rsid w:val="00092CD3"/>
    <w:rsid w:val="00096C02"/>
    <w:rsid w:val="000A0475"/>
    <w:rsid w:val="000A2D44"/>
    <w:rsid w:val="000A622C"/>
    <w:rsid w:val="000B23A8"/>
    <w:rsid w:val="000C2AB7"/>
    <w:rsid w:val="000D46D0"/>
    <w:rsid w:val="000E5508"/>
    <w:rsid w:val="000F489A"/>
    <w:rsid w:val="00105FCC"/>
    <w:rsid w:val="00117D55"/>
    <w:rsid w:val="00136869"/>
    <w:rsid w:val="001531C0"/>
    <w:rsid w:val="0016207D"/>
    <w:rsid w:val="00167412"/>
    <w:rsid w:val="001715AE"/>
    <w:rsid w:val="0017446C"/>
    <w:rsid w:val="00182042"/>
    <w:rsid w:val="00182B7C"/>
    <w:rsid w:val="00186F92"/>
    <w:rsid w:val="00190523"/>
    <w:rsid w:val="00192C1A"/>
    <w:rsid w:val="001979E2"/>
    <w:rsid w:val="001A6489"/>
    <w:rsid w:val="001B2973"/>
    <w:rsid w:val="001C06D0"/>
    <w:rsid w:val="001E0B9E"/>
    <w:rsid w:val="001E1DE4"/>
    <w:rsid w:val="00200072"/>
    <w:rsid w:val="0020561B"/>
    <w:rsid w:val="00243F3C"/>
    <w:rsid w:val="0026605E"/>
    <w:rsid w:val="00283198"/>
    <w:rsid w:val="00292FED"/>
    <w:rsid w:val="00296A87"/>
    <w:rsid w:val="002A0FF3"/>
    <w:rsid w:val="002A7970"/>
    <w:rsid w:val="002B1974"/>
    <w:rsid w:val="002B4922"/>
    <w:rsid w:val="002C2C36"/>
    <w:rsid w:val="002C2DE5"/>
    <w:rsid w:val="002C6938"/>
    <w:rsid w:val="002E7D3A"/>
    <w:rsid w:val="003018A1"/>
    <w:rsid w:val="00302D35"/>
    <w:rsid w:val="00307BFB"/>
    <w:rsid w:val="0031672E"/>
    <w:rsid w:val="0032304F"/>
    <w:rsid w:val="0035798A"/>
    <w:rsid w:val="00357E56"/>
    <w:rsid w:val="003700B8"/>
    <w:rsid w:val="00375F00"/>
    <w:rsid w:val="00393E69"/>
    <w:rsid w:val="00394DB2"/>
    <w:rsid w:val="003C23D0"/>
    <w:rsid w:val="003D04B2"/>
    <w:rsid w:val="003D7906"/>
    <w:rsid w:val="00400AE2"/>
    <w:rsid w:val="00433D00"/>
    <w:rsid w:val="00435221"/>
    <w:rsid w:val="00453240"/>
    <w:rsid w:val="00455757"/>
    <w:rsid w:val="004649FB"/>
    <w:rsid w:val="00472439"/>
    <w:rsid w:val="00484F86"/>
    <w:rsid w:val="0049068C"/>
    <w:rsid w:val="00497F1F"/>
    <w:rsid w:val="004A4744"/>
    <w:rsid w:val="004D0479"/>
    <w:rsid w:val="004E0F41"/>
    <w:rsid w:val="004E1ECE"/>
    <w:rsid w:val="004E7E79"/>
    <w:rsid w:val="004F0689"/>
    <w:rsid w:val="004F33E1"/>
    <w:rsid w:val="00513CD1"/>
    <w:rsid w:val="0051465B"/>
    <w:rsid w:val="00520879"/>
    <w:rsid w:val="00533CD8"/>
    <w:rsid w:val="0053784E"/>
    <w:rsid w:val="0055796D"/>
    <w:rsid w:val="00557A3E"/>
    <w:rsid w:val="00572ABC"/>
    <w:rsid w:val="005962A6"/>
    <w:rsid w:val="005A46E0"/>
    <w:rsid w:val="005B3636"/>
    <w:rsid w:val="005B4827"/>
    <w:rsid w:val="005C6581"/>
    <w:rsid w:val="005D79D3"/>
    <w:rsid w:val="005F1A90"/>
    <w:rsid w:val="005F25C6"/>
    <w:rsid w:val="00606450"/>
    <w:rsid w:val="00616981"/>
    <w:rsid w:val="00621568"/>
    <w:rsid w:val="00624AF9"/>
    <w:rsid w:val="0063264A"/>
    <w:rsid w:val="0064383C"/>
    <w:rsid w:val="00644DE4"/>
    <w:rsid w:val="006514DB"/>
    <w:rsid w:val="0065688D"/>
    <w:rsid w:val="006619FB"/>
    <w:rsid w:val="006A4C97"/>
    <w:rsid w:val="006A6469"/>
    <w:rsid w:val="006B00BC"/>
    <w:rsid w:val="006B3D44"/>
    <w:rsid w:val="006E0542"/>
    <w:rsid w:val="006E6FCA"/>
    <w:rsid w:val="0071412C"/>
    <w:rsid w:val="00722741"/>
    <w:rsid w:val="00723726"/>
    <w:rsid w:val="007268A9"/>
    <w:rsid w:val="007327B8"/>
    <w:rsid w:val="00734EBA"/>
    <w:rsid w:val="0074142C"/>
    <w:rsid w:val="0074182B"/>
    <w:rsid w:val="00746397"/>
    <w:rsid w:val="00763827"/>
    <w:rsid w:val="00767B7F"/>
    <w:rsid w:val="00776FCD"/>
    <w:rsid w:val="007820D5"/>
    <w:rsid w:val="00782D86"/>
    <w:rsid w:val="007A4B9F"/>
    <w:rsid w:val="007A6D7F"/>
    <w:rsid w:val="007C1DC3"/>
    <w:rsid w:val="007F488A"/>
    <w:rsid w:val="00805CD7"/>
    <w:rsid w:val="00814602"/>
    <w:rsid w:val="00821EF3"/>
    <w:rsid w:val="0083075C"/>
    <w:rsid w:val="00837457"/>
    <w:rsid w:val="00844B17"/>
    <w:rsid w:val="008612CF"/>
    <w:rsid w:val="00861BEB"/>
    <w:rsid w:val="00867095"/>
    <w:rsid w:val="0087687A"/>
    <w:rsid w:val="00877A9E"/>
    <w:rsid w:val="008811EF"/>
    <w:rsid w:val="00887678"/>
    <w:rsid w:val="00893A51"/>
    <w:rsid w:val="008A09B1"/>
    <w:rsid w:val="008A6781"/>
    <w:rsid w:val="008B6B97"/>
    <w:rsid w:val="008D4AC7"/>
    <w:rsid w:val="008E7F4D"/>
    <w:rsid w:val="00933072"/>
    <w:rsid w:val="00953149"/>
    <w:rsid w:val="0097336B"/>
    <w:rsid w:val="0097542C"/>
    <w:rsid w:val="00975AC9"/>
    <w:rsid w:val="009A4696"/>
    <w:rsid w:val="009B4874"/>
    <w:rsid w:val="009C59B4"/>
    <w:rsid w:val="009F7C7A"/>
    <w:rsid w:val="00A709A0"/>
    <w:rsid w:val="00A750E7"/>
    <w:rsid w:val="00A83F33"/>
    <w:rsid w:val="00A86E6B"/>
    <w:rsid w:val="00AA417B"/>
    <w:rsid w:val="00AB2F83"/>
    <w:rsid w:val="00AC4E98"/>
    <w:rsid w:val="00AD11B3"/>
    <w:rsid w:val="00AE4285"/>
    <w:rsid w:val="00AE7559"/>
    <w:rsid w:val="00AF703A"/>
    <w:rsid w:val="00B110A6"/>
    <w:rsid w:val="00B260EB"/>
    <w:rsid w:val="00B45D43"/>
    <w:rsid w:val="00B56667"/>
    <w:rsid w:val="00B716A6"/>
    <w:rsid w:val="00B947B5"/>
    <w:rsid w:val="00BA0746"/>
    <w:rsid w:val="00BB7553"/>
    <w:rsid w:val="00BC1E0E"/>
    <w:rsid w:val="00BD5AD0"/>
    <w:rsid w:val="00BE704A"/>
    <w:rsid w:val="00BF4038"/>
    <w:rsid w:val="00C03EDB"/>
    <w:rsid w:val="00C04E6C"/>
    <w:rsid w:val="00C1129B"/>
    <w:rsid w:val="00C20957"/>
    <w:rsid w:val="00C30C0C"/>
    <w:rsid w:val="00C60629"/>
    <w:rsid w:val="00C7300D"/>
    <w:rsid w:val="00C75A44"/>
    <w:rsid w:val="00C77DE7"/>
    <w:rsid w:val="00C83672"/>
    <w:rsid w:val="00C85D33"/>
    <w:rsid w:val="00C867C8"/>
    <w:rsid w:val="00C9577A"/>
    <w:rsid w:val="00CC4418"/>
    <w:rsid w:val="00CD2BB9"/>
    <w:rsid w:val="00CD5A8E"/>
    <w:rsid w:val="00CD69C0"/>
    <w:rsid w:val="00CE4973"/>
    <w:rsid w:val="00CE76D9"/>
    <w:rsid w:val="00D14576"/>
    <w:rsid w:val="00D37ECC"/>
    <w:rsid w:val="00D40942"/>
    <w:rsid w:val="00D510A7"/>
    <w:rsid w:val="00D70A51"/>
    <w:rsid w:val="00D80909"/>
    <w:rsid w:val="00D817AB"/>
    <w:rsid w:val="00D82B4D"/>
    <w:rsid w:val="00DA2691"/>
    <w:rsid w:val="00DA3606"/>
    <w:rsid w:val="00DE087D"/>
    <w:rsid w:val="00E061DF"/>
    <w:rsid w:val="00E105E3"/>
    <w:rsid w:val="00E11C34"/>
    <w:rsid w:val="00E120FC"/>
    <w:rsid w:val="00E36688"/>
    <w:rsid w:val="00E40BA7"/>
    <w:rsid w:val="00E41B4F"/>
    <w:rsid w:val="00E517C7"/>
    <w:rsid w:val="00E549F3"/>
    <w:rsid w:val="00E6586F"/>
    <w:rsid w:val="00E668D7"/>
    <w:rsid w:val="00E97276"/>
    <w:rsid w:val="00EC5FCD"/>
    <w:rsid w:val="00ED619F"/>
    <w:rsid w:val="00EE08F8"/>
    <w:rsid w:val="00EF73CD"/>
    <w:rsid w:val="00F03959"/>
    <w:rsid w:val="00F03D66"/>
    <w:rsid w:val="00F22638"/>
    <w:rsid w:val="00F24759"/>
    <w:rsid w:val="00F275A9"/>
    <w:rsid w:val="00F33739"/>
    <w:rsid w:val="00F41706"/>
    <w:rsid w:val="00F5739A"/>
    <w:rsid w:val="00F63271"/>
    <w:rsid w:val="00F766BA"/>
    <w:rsid w:val="00F8662E"/>
    <w:rsid w:val="00FA4887"/>
    <w:rsid w:val="00FB65E1"/>
    <w:rsid w:val="00FB7513"/>
    <w:rsid w:val="00FD5BC8"/>
    <w:rsid w:val="00FF4D02"/>
    <w:rsid w:val="00FF5891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56B2"/>
  <w15:docId w15:val="{0E0CDB27-0B97-45DC-9078-661FA97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83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83"/>
    <w:rPr>
      <w:rFonts w:ascii="Calibri" w:eastAsia="Calibri" w:hAnsi="Calibri" w:cs="Times New Roman"/>
      <w:sz w:val="22"/>
      <w:lang w:val="en-US"/>
    </w:rPr>
  </w:style>
  <w:style w:type="character" w:styleId="PageNumber">
    <w:name w:val="page number"/>
    <w:basedOn w:val="DefaultParagraphFont"/>
    <w:rsid w:val="00AB2F83"/>
  </w:style>
  <w:style w:type="paragraph" w:styleId="NoSpacing">
    <w:name w:val="No Spacing"/>
    <w:uiPriority w:val="1"/>
    <w:qFormat/>
    <w:rsid w:val="00AB2F83"/>
    <w:pPr>
      <w:spacing w:after="0"/>
      <w:jc w:val="left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A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69"/>
    <w:rPr>
      <w:rFonts w:ascii="Calibri" w:eastAsia="Calibri" w:hAnsi="Calibri" w:cs="Times New Roman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05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3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B162-3F94-400C-B396-27CFEB6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christoforoug</dc:creator>
  <cp:keywords/>
  <dc:description/>
  <cp:lastModifiedBy>Gianna Christoforou</cp:lastModifiedBy>
  <cp:revision>6</cp:revision>
  <cp:lastPrinted>2023-03-14T07:08:00Z</cp:lastPrinted>
  <dcterms:created xsi:type="dcterms:W3CDTF">2023-03-14T08:44:00Z</dcterms:created>
  <dcterms:modified xsi:type="dcterms:W3CDTF">2023-03-14T11:52:00Z</dcterms:modified>
</cp:coreProperties>
</file>