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7E34" w14:textId="64DAA350" w:rsidR="006E3664" w:rsidRPr="00450101" w:rsidRDefault="00E12727" w:rsidP="002B7C51">
      <w:pPr>
        <w:widowControl w:val="0"/>
        <w:tabs>
          <w:tab w:val="left" w:pos="567"/>
          <w:tab w:val="left" w:pos="4961"/>
        </w:tabs>
        <w:spacing w:after="0" w:line="480" w:lineRule="auto"/>
        <w:jc w:val="center"/>
        <w:rPr>
          <w:rFonts w:ascii="Arial" w:hAnsi="Arial" w:cs="Arial"/>
          <w:b/>
          <w:bCs/>
          <w:sz w:val="24"/>
          <w:szCs w:val="24"/>
        </w:rPr>
      </w:pPr>
      <w:r w:rsidRPr="0063746C">
        <w:rPr>
          <w:rFonts w:ascii="Arial" w:hAnsi="Arial" w:cs="Arial"/>
          <w:b/>
          <w:bCs/>
          <w:sz w:val="24"/>
          <w:szCs w:val="24"/>
        </w:rPr>
        <w:t xml:space="preserve">Έκθεση της </w:t>
      </w:r>
      <w:bookmarkStart w:id="0" w:name="_Hlk46989035"/>
      <w:r w:rsidRPr="0063746C">
        <w:rPr>
          <w:rFonts w:ascii="Arial" w:hAnsi="Arial" w:cs="Arial"/>
          <w:b/>
          <w:bCs/>
          <w:sz w:val="24"/>
          <w:szCs w:val="24"/>
        </w:rPr>
        <w:t xml:space="preserve">Κοινοβουλευτικής Επιτροπής Ενέργειας, Εμπορίου, Βιομηχανίας και Τουρισμού </w:t>
      </w:r>
      <w:bookmarkEnd w:id="0"/>
      <w:r w:rsidRPr="0063746C">
        <w:rPr>
          <w:rFonts w:ascii="Arial" w:hAnsi="Arial" w:cs="Arial"/>
          <w:b/>
          <w:bCs/>
          <w:sz w:val="24"/>
          <w:szCs w:val="24"/>
        </w:rPr>
        <w:t>για τ</w:t>
      </w:r>
      <w:r w:rsidRPr="0063746C">
        <w:rPr>
          <w:rFonts w:ascii="Arial" w:hAnsi="Arial" w:cs="Arial"/>
          <w:b/>
          <w:bCs/>
          <w:sz w:val="24"/>
          <w:szCs w:val="24"/>
          <w:lang w:val="en-US"/>
        </w:rPr>
        <w:t>o</w:t>
      </w:r>
      <w:r w:rsidRPr="0063746C">
        <w:rPr>
          <w:rFonts w:ascii="Arial" w:hAnsi="Arial" w:cs="Arial"/>
          <w:b/>
          <w:bCs/>
          <w:sz w:val="24"/>
          <w:szCs w:val="24"/>
        </w:rPr>
        <w:t xml:space="preserve"> νομοσχέδι</w:t>
      </w:r>
      <w:r w:rsidR="00D54042">
        <w:rPr>
          <w:rFonts w:ascii="Arial" w:hAnsi="Arial" w:cs="Arial"/>
          <w:b/>
          <w:bCs/>
          <w:sz w:val="24"/>
          <w:szCs w:val="24"/>
        </w:rPr>
        <w:t>ο</w:t>
      </w:r>
      <w:r w:rsidRPr="0063746C">
        <w:rPr>
          <w:rFonts w:ascii="Arial" w:hAnsi="Arial" w:cs="Arial"/>
          <w:b/>
          <w:bCs/>
          <w:sz w:val="24"/>
          <w:szCs w:val="24"/>
        </w:rPr>
        <w:t xml:space="preserve"> </w:t>
      </w:r>
      <w:r w:rsidRPr="00450101">
        <w:rPr>
          <w:rFonts w:ascii="Arial" w:hAnsi="Arial" w:cs="Arial"/>
          <w:b/>
          <w:bCs/>
          <w:sz w:val="24"/>
          <w:szCs w:val="24"/>
        </w:rPr>
        <w:t>«</w:t>
      </w:r>
      <w:r w:rsidR="001C0286" w:rsidRPr="00450101">
        <w:rPr>
          <w:rFonts w:ascii="Arial" w:eastAsia="Times New Roman" w:hAnsi="Arial" w:cs="Arial"/>
          <w:b/>
          <w:bCs/>
          <w:iCs/>
          <w:color w:val="000000"/>
          <w:sz w:val="24"/>
          <w:szCs w:val="24"/>
        </w:rPr>
        <w:t>Ο περί Προϋπολογισμού του Ταμείου Ανανεώσιμων Πηγών Ενέργειας και Εξοικονόμησης Ενέργειας του 2023 Νόμος του 2022</w:t>
      </w:r>
      <w:r w:rsidRPr="00450101">
        <w:rPr>
          <w:rFonts w:ascii="Arial" w:hAnsi="Arial" w:cs="Arial"/>
          <w:b/>
          <w:bCs/>
          <w:sz w:val="24"/>
          <w:szCs w:val="24"/>
        </w:rPr>
        <w:t>»</w:t>
      </w:r>
    </w:p>
    <w:p w14:paraId="136E104D" w14:textId="687D6A3C" w:rsidR="00E12727" w:rsidRPr="0063746C" w:rsidRDefault="00E12727" w:rsidP="006462EB">
      <w:pPr>
        <w:widowControl w:val="0"/>
        <w:tabs>
          <w:tab w:val="left" w:pos="567"/>
          <w:tab w:val="left" w:pos="4961"/>
        </w:tabs>
        <w:spacing w:after="0" w:line="480" w:lineRule="auto"/>
        <w:jc w:val="both"/>
        <w:rPr>
          <w:rFonts w:ascii="Arial" w:hAnsi="Arial" w:cs="Arial"/>
          <w:b/>
          <w:bCs/>
          <w:sz w:val="24"/>
          <w:szCs w:val="24"/>
        </w:rPr>
      </w:pPr>
      <w:r w:rsidRPr="0063746C">
        <w:rPr>
          <w:rFonts w:ascii="Arial" w:hAnsi="Arial" w:cs="Arial"/>
          <w:b/>
          <w:bCs/>
          <w:sz w:val="24"/>
          <w:szCs w:val="24"/>
        </w:rPr>
        <w:t>Παρόντες:</w:t>
      </w:r>
    </w:p>
    <w:p w14:paraId="22078CE6" w14:textId="4CDDB4A1" w:rsidR="00A17A3E" w:rsidRDefault="00E12727" w:rsidP="00685DF5">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63746C">
        <w:rPr>
          <w:rFonts w:ascii="Arial" w:eastAsia="Simsun (Founder Extended)" w:hAnsi="Arial" w:cs="Arial"/>
          <w:sz w:val="24"/>
          <w:szCs w:val="24"/>
          <w:lang w:eastAsia="zh-CN"/>
        </w:rPr>
        <w:tab/>
      </w:r>
      <w:r w:rsidRPr="00316560">
        <w:rPr>
          <w:rFonts w:ascii="Arial" w:eastAsia="Simsun (Founder Extended)" w:hAnsi="Arial" w:cs="Arial"/>
          <w:bCs/>
          <w:sz w:val="24"/>
          <w:szCs w:val="24"/>
          <w:lang w:eastAsia="zh-CN"/>
        </w:rPr>
        <w:t xml:space="preserve">Κυριάκος Χατζηγιάννης, πρόεδρος </w:t>
      </w:r>
      <w:r w:rsidRPr="00316560">
        <w:rPr>
          <w:rFonts w:ascii="Arial" w:eastAsia="Simsun (Founder Extended)" w:hAnsi="Arial" w:cs="Arial"/>
          <w:bCs/>
          <w:sz w:val="24"/>
          <w:szCs w:val="24"/>
          <w:lang w:eastAsia="zh-CN"/>
        </w:rPr>
        <w:tab/>
      </w:r>
      <w:r w:rsidR="008D14AD">
        <w:rPr>
          <w:rFonts w:ascii="Arial" w:eastAsia="Simsun (Founder Extended)" w:hAnsi="Arial" w:cs="Arial"/>
          <w:bCs/>
          <w:sz w:val="24"/>
          <w:szCs w:val="24"/>
          <w:lang w:eastAsia="zh-CN"/>
        </w:rPr>
        <w:t>Γιαννάκης Γαβριήλ</w:t>
      </w:r>
    </w:p>
    <w:p w14:paraId="00742368" w14:textId="1E76B65D" w:rsidR="00E12727" w:rsidRPr="00316560" w:rsidRDefault="00A17A3E" w:rsidP="006462EB">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r>
      <w:r w:rsidRPr="00316560">
        <w:rPr>
          <w:rFonts w:ascii="Arial" w:eastAsia="Simsun (Founder Extended)" w:hAnsi="Arial" w:cs="Arial"/>
          <w:bCs/>
          <w:sz w:val="24"/>
          <w:szCs w:val="24"/>
          <w:lang w:eastAsia="zh-CN"/>
        </w:rPr>
        <w:t>Ονούφριος Κουλλά</w:t>
      </w:r>
      <w:r>
        <w:rPr>
          <w:rFonts w:ascii="Arial" w:eastAsia="Simsun (Founder Extended)" w:hAnsi="Arial" w:cs="Arial"/>
          <w:bCs/>
          <w:sz w:val="24"/>
          <w:szCs w:val="24"/>
          <w:lang w:eastAsia="zh-CN"/>
        </w:rPr>
        <w:tab/>
      </w:r>
      <w:r w:rsidR="008D14AD">
        <w:rPr>
          <w:rFonts w:ascii="Arial" w:eastAsia="Simsun (Founder Extended)" w:hAnsi="Arial" w:cs="Arial"/>
          <w:bCs/>
          <w:sz w:val="24"/>
          <w:szCs w:val="24"/>
          <w:lang w:eastAsia="zh-CN"/>
        </w:rPr>
        <w:t>Ανδρέας Πασιουρτίδης</w:t>
      </w:r>
    </w:p>
    <w:p w14:paraId="1451BC65" w14:textId="2DF5FC66" w:rsidR="00C77888" w:rsidRDefault="00E12727" w:rsidP="006462EB">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316560">
        <w:rPr>
          <w:rFonts w:ascii="Arial" w:eastAsia="Simsun (Founder Extended)" w:hAnsi="Arial" w:cs="Arial"/>
          <w:bCs/>
          <w:sz w:val="24"/>
          <w:szCs w:val="24"/>
          <w:lang w:eastAsia="zh-CN"/>
        </w:rPr>
        <w:tab/>
      </w:r>
      <w:r w:rsidR="00C77888">
        <w:rPr>
          <w:rFonts w:ascii="Arial" w:eastAsia="Simsun (Founder Extended)" w:hAnsi="Arial" w:cs="Arial"/>
          <w:bCs/>
          <w:sz w:val="24"/>
          <w:szCs w:val="24"/>
          <w:lang w:eastAsia="zh-CN"/>
        </w:rPr>
        <w:t>Νίκος Σύκας</w:t>
      </w:r>
      <w:r w:rsidR="00C77888" w:rsidRPr="00C77888">
        <w:rPr>
          <w:rFonts w:ascii="Arial" w:eastAsia="Simsun (Founder Extended)" w:hAnsi="Arial" w:cs="Arial"/>
          <w:bCs/>
          <w:sz w:val="24"/>
          <w:szCs w:val="24"/>
          <w:lang w:eastAsia="zh-CN"/>
        </w:rPr>
        <w:t xml:space="preserve"> </w:t>
      </w:r>
      <w:r w:rsidR="00C77888">
        <w:rPr>
          <w:rFonts w:ascii="Arial" w:eastAsia="Simsun (Founder Extended)" w:hAnsi="Arial" w:cs="Arial"/>
          <w:bCs/>
          <w:sz w:val="24"/>
          <w:szCs w:val="24"/>
          <w:lang w:eastAsia="zh-CN"/>
        </w:rPr>
        <w:tab/>
      </w:r>
      <w:r w:rsidR="008D14AD" w:rsidRPr="00316560">
        <w:rPr>
          <w:rFonts w:ascii="Arial" w:eastAsia="Simsun (Founder Extended)" w:hAnsi="Arial" w:cs="Arial"/>
          <w:bCs/>
          <w:sz w:val="24"/>
          <w:szCs w:val="24"/>
          <w:lang w:eastAsia="zh-CN"/>
        </w:rPr>
        <w:t>Πανίκος Λεωνίδου</w:t>
      </w:r>
    </w:p>
    <w:p w14:paraId="1BDBD8D8" w14:textId="64ED3741" w:rsidR="001C0286" w:rsidRDefault="00C77888" w:rsidP="006462EB">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r>
      <w:r w:rsidR="00A17A3E" w:rsidRPr="00316560">
        <w:rPr>
          <w:rFonts w:ascii="Arial" w:eastAsia="Simsun (Founder Extended)" w:hAnsi="Arial" w:cs="Arial"/>
          <w:bCs/>
          <w:sz w:val="24"/>
          <w:szCs w:val="24"/>
          <w:lang w:eastAsia="zh-CN"/>
        </w:rPr>
        <w:t>Κώστας Κώστα</w:t>
      </w:r>
      <w:r w:rsidR="001C0286">
        <w:rPr>
          <w:rFonts w:ascii="Arial" w:eastAsia="Simsun (Founder Extended)" w:hAnsi="Arial" w:cs="Arial"/>
          <w:bCs/>
          <w:sz w:val="24"/>
          <w:szCs w:val="24"/>
          <w:lang w:eastAsia="zh-CN"/>
        </w:rPr>
        <w:tab/>
      </w:r>
      <w:r w:rsidR="001C0286" w:rsidRPr="00316560">
        <w:rPr>
          <w:rFonts w:ascii="Arial" w:eastAsia="Simsun (Founder Extended)" w:hAnsi="Arial" w:cs="Arial"/>
          <w:bCs/>
          <w:sz w:val="24"/>
          <w:szCs w:val="24"/>
          <w:lang w:eastAsia="zh-CN"/>
        </w:rPr>
        <w:t>Σταύρος Παπαδούρης</w:t>
      </w:r>
    </w:p>
    <w:p w14:paraId="0BA07729" w14:textId="77777777" w:rsidR="00845461" w:rsidRDefault="00B35DD7" w:rsidP="00B35DD7">
      <w:pPr>
        <w:pStyle w:val="BodyText2"/>
        <w:rPr>
          <w:rFonts w:eastAsia="SimSun" w:cs="Arial"/>
          <w:szCs w:val="24"/>
        </w:rPr>
      </w:pPr>
      <w:r>
        <w:rPr>
          <w:rFonts w:cs="Arial"/>
          <w:szCs w:val="24"/>
        </w:rPr>
        <w:tab/>
      </w:r>
      <w:r w:rsidR="00E12727" w:rsidRPr="007F154F">
        <w:rPr>
          <w:rFonts w:cs="Arial"/>
          <w:szCs w:val="24"/>
        </w:rPr>
        <w:t xml:space="preserve">Η Κοινοβουλευτική Επιτροπή Ενέργειας, Εμπορίου, Βιομηχανίας και Τουρισμού </w:t>
      </w:r>
      <w:bookmarkEnd w:id="1"/>
      <w:r w:rsidR="00E12727" w:rsidRPr="007F154F">
        <w:rPr>
          <w:rFonts w:cs="Arial"/>
          <w:szCs w:val="24"/>
        </w:rPr>
        <w:t xml:space="preserve">μελέτησε το πιο πάνω νομοσχέδιο σε </w:t>
      </w:r>
      <w:r w:rsidR="00837905">
        <w:rPr>
          <w:rFonts w:cs="Arial"/>
          <w:szCs w:val="24"/>
        </w:rPr>
        <w:t xml:space="preserve">δύο </w:t>
      </w:r>
      <w:r w:rsidR="00E12727" w:rsidRPr="007F154F">
        <w:rPr>
          <w:rFonts w:cs="Arial"/>
          <w:szCs w:val="24"/>
        </w:rPr>
        <w:t xml:space="preserve">συνεδρίες της, που πραγματοποιήθηκαν </w:t>
      </w:r>
      <w:r w:rsidR="007B15B3">
        <w:rPr>
          <w:rFonts w:cs="Arial"/>
          <w:szCs w:val="24"/>
        </w:rPr>
        <w:t xml:space="preserve">στις </w:t>
      </w:r>
      <w:r w:rsidR="00837905">
        <w:rPr>
          <w:rFonts w:cs="Arial"/>
          <w:szCs w:val="24"/>
        </w:rPr>
        <w:t xml:space="preserve">8 και 15 Νοεμβρίου </w:t>
      </w:r>
      <w:r w:rsidR="007B15B3">
        <w:rPr>
          <w:rFonts w:cs="Arial"/>
          <w:szCs w:val="24"/>
        </w:rPr>
        <w:t>2022</w:t>
      </w:r>
      <w:r w:rsidR="00E12727" w:rsidRPr="007F154F">
        <w:rPr>
          <w:rFonts w:cs="Arial"/>
          <w:szCs w:val="24"/>
        </w:rPr>
        <w:t xml:space="preserve">.  </w:t>
      </w:r>
      <w:r w:rsidR="00685DF5">
        <w:rPr>
          <w:rFonts w:cs="Arial"/>
          <w:szCs w:val="24"/>
        </w:rPr>
        <w:t>Στην πρώτη συνεδρίαση</w:t>
      </w:r>
      <w:r w:rsidR="00837905">
        <w:rPr>
          <w:rFonts w:cs="Arial"/>
          <w:szCs w:val="24"/>
        </w:rPr>
        <w:t xml:space="preserve"> </w:t>
      </w:r>
      <w:r w:rsidR="00E12727" w:rsidRPr="007F154F">
        <w:rPr>
          <w:rFonts w:cs="Arial"/>
          <w:szCs w:val="24"/>
        </w:rPr>
        <w:t xml:space="preserve">της επιτροπής κλήθηκαν και παρευρέθηκαν ενώπιόν </w:t>
      </w:r>
      <w:r w:rsidR="00145CFC">
        <w:rPr>
          <w:rFonts w:cs="Arial"/>
          <w:szCs w:val="24"/>
        </w:rPr>
        <w:t>της</w:t>
      </w:r>
      <w:r w:rsidR="00516F92">
        <w:rPr>
          <w:rFonts w:cs="Arial"/>
          <w:iCs/>
          <w:color w:val="000000" w:themeColor="text1"/>
          <w:szCs w:val="24"/>
        </w:rPr>
        <w:t xml:space="preserve"> </w:t>
      </w:r>
      <w:r w:rsidR="00371F50">
        <w:rPr>
          <w:rFonts w:cs="Arial"/>
          <w:iCs/>
          <w:color w:val="000000" w:themeColor="text1"/>
          <w:szCs w:val="24"/>
        </w:rPr>
        <w:t xml:space="preserve">ο </w:t>
      </w:r>
      <w:r w:rsidR="00685DF5">
        <w:rPr>
          <w:rFonts w:cs="Arial"/>
          <w:iCs/>
          <w:color w:val="000000" w:themeColor="text1"/>
          <w:szCs w:val="24"/>
        </w:rPr>
        <w:t>δ</w:t>
      </w:r>
      <w:r w:rsidR="00371F50">
        <w:rPr>
          <w:rFonts w:cs="Arial"/>
          <w:iCs/>
          <w:color w:val="000000" w:themeColor="text1"/>
          <w:szCs w:val="24"/>
        </w:rPr>
        <w:t xml:space="preserve">ιευθυντής και </w:t>
      </w:r>
      <w:r w:rsidR="00194173" w:rsidRPr="00194173">
        <w:rPr>
          <w:rFonts w:eastAsia="SimSun" w:cs="Arial"/>
          <w:szCs w:val="24"/>
        </w:rPr>
        <w:t xml:space="preserve">εκπρόσωποι </w:t>
      </w:r>
      <w:r w:rsidR="00371F50">
        <w:rPr>
          <w:rFonts w:eastAsia="SimSun" w:cs="Arial"/>
          <w:szCs w:val="24"/>
        </w:rPr>
        <w:t xml:space="preserve">της Υπηρεσίας Ενέργειας </w:t>
      </w:r>
      <w:r w:rsidR="00194173" w:rsidRPr="00194173">
        <w:rPr>
          <w:rFonts w:eastAsia="SimSun" w:cs="Arial"/>
          <w:szCs w:val="24"/>
        </w:rPr>
        <w:t xml:space="preserve">του Υπουργείου Ενέργειας, Εμπορίου και Βιομηχανίας, </w:t>
      </w:r>
      <w:r w:rsidR="00371F50">
        <w:rPr>
          <w:rFonts w:eastAsia="SimSun" w:cs="Arial"/>
          <w:szCs w:val="24"/>
        </w:rPr>
        <w:t xml:space="preserve">εκπρόσωποι </w:t>
      </w:r>
      <w:r w:rsidR="00194173" w:rsidRPr="00194173">
        <w:rPr>
          <w:rFonts w:eastAsia="SimSun" w:cs="Arial"/>
          <w:szCs w:val="24"/>
        </w:rPr>
        <w:t>του Υπουργείου Οικονομικών, του Υπουργείου Γεωργίας, Αγροτικής Ανάπτυξης και Περιβάλλοντος, της Ρυθμιστικής Αρχής Ενέργειας Κύπρου</w:t>
      </w:r>
      <w:r w:rsidR="00845461">
        <w:rPr>
          <w:rFonts w:eastAsia="SimSun" w:cs="Arial"/>
          <w:szCs w:val="24"/>
        </w:rPr>
        <w:t>, καθώς</w:t>
      </w:r>
      <w:r w:rsidR="00194173" w:rsidRPr="00194173">
        <w:rPr>
          <w:rFonts w:eastAsia="SimSun" w:cs="Arial"/>
          <w:szCs w:val="24"/>
        </w:rPr>
        <w:t xml:space="preserve"> και της Αρχής Ηλεκτρισμού Κύπρου.</w:t>
      </w:r>
      <w:r w:rsidR="00F546DA" w:rsidRPr="00CE1148">
        <w:rPr>
          <w:rFonts w:eastAsia="SimSun" w:cs="Arial"/>
          <w:szCs w:val="24"/>
        </w:rPr>
        <w:t xml:space="preserve"> </w:t>
      </w:r>
    </w:p>
    <w:p w14:paraId="770A307F" w14:textId="1C9A2F2E" w:rsidR="00F546DA" w:rsidRPr="00F546DA" w:rsidRDefault="00845461" w:rsidP="00B35DD7">
      <w:pPr>
        <w:pStyle w:val="BodyText2"/>
        <w:rPr>
          <w:rFonts w:cs="Arial"/>
          <w:szCs w:val="24"/>
        </w:rPr>
      </w:pPr>
      <w:r>
        <w:rPr>
          <w:rFonts w:eastAsia="SimSun" w:cs="Arial"/>
          <w:szCs w:val="24"/>
        </w:rPr>
        <w:tab/>
      </w:r>
      <w:r w:rsidR="00F546DA">
        <w:rPr>
          <w:rFonts w:eastAsia="SimSun" w:cs="Arial"/>
          <w:szCs w:val="24"/>
          <w:lang w:val="en-US"/>
        </w:rPr>
        <w:t>H</w:t>
      </w:r>
      <w:r w:rsidR="00F546DA" w:rsidRPr="00CE1148">
        <w:rPr>
          <w:rFonts w:eastAsia="SimSun" w:cs="Arial"/>
          <w:szCs w:val="24"/>
        </w:rPr>
        <w:t xml:space="preserve"> </w:t>
      </w:r>
      <w:r w:rsidR="00F546DA" w:rsidRPr="00194173">
        <w:rPr>
          <w:rFonts w:eastAsia="SimSun" w:cs="Arial"/>
          <w:szCs w:val="24"/>
        </w:rPr>
        <w:t>Νομική Υπηρεσία της Δημοκρατίας</w:t>
      </w:r>
      <w:r>
        <w:rPr>
          <w:rFonts w:eastAsia="SimSun" w:cs="Arial"/>
          <w:szCs w:val="24"/>
        </w:rPr>
        <w:t>,</w:t>
      </w:r>
      <w:r w:rsidR="00F546DA" w:rsidRPr="00CE1148">
        <w:rPr>
          <w:rFonts w:eastAsia="SimSun" w:cs="Arial"/>
          <w:szCs w:val="24"/>
        </w:rPr>
        <w:t xml:space="preserve"> </w:t>
      </w:r>
      <w:r w:rsidR="00F546DA" w:rsidRPr="00F546DA">
        <w:rPr>
          <w:rFonts w:cs="Arial"/>
          <w:szCs w:val="24"/>
        </w:rPr>
        <w:t>παρ’ όλο που κλήθηκ</w:t>
      </w:r>
      <w:r w:rsidR="00F546DA">
        <w:rPr>
          <w:rFonts w:cs="Arial"/>
          <w:szCs w:val="24"/>
        </w:rPr>
        <w:t>ε</w:t>
      </w:r>
      <w:r w:rsidR="00F546DA" w:rsidRPr="00F546DA">
        <w:rPr>
          <w:rFonts w:cs="Arial"/>
          <w:szCs w:val="24"/>
        </w:rPr>
        <w:t>, δεν εκπροσωπήθηκ</w:t>
      </w:r>
      <w:r w:rsidR="00F546DA">
        <w:rPr>
          <w:rFonts w:cs="Arial"/>
          <w:szCs w:val="24"/>
        </w:rPr>
        <w:t>ε</w:t>
      </w:r>
      <w:r w:rsidR="00F546DA" w:rsidRPr="00F546DA">
        <w:rPr>
          <w:rFonts w:cs="Arial"/>
          <w:szCs w:val="24"/>
        </w:rPr>
        <w:t xml:space="preserve"> στη συνεδρία της επιτροπής.</w:t>
      </w:r>
    </w:p>
    <w:p w14:paraId="186D880E" w14:textId="0852058E" w:rsidR="00E12727" w:rsidRDefault="005E4B5C" w:rsidP="005E4B5C">
      <w:pPr>
        <w:pStyle w:val="BodyText2"/>
        <w:rPr>
          <w:rFonts w:eastAsia="SimSun" w:cs="Arial"/>
          <w:szCs w:val="24"/>
        </w:rPr>
      </w:pPr>
      <w:r>
        <w:rPr>
          <w:rFonts w:cs="Arial"/>
          <w:szCs w:val="24"/>
        </w:rPr>
        <w:tab/>
      </w:r>
      <w:r w:rsidR="00F84CB2" w:rsidRPr="00194173">
        <w:rPr>
          <w:rFonts w:cs="Arial"/>
          <w:szCs w:val="24"/>
        </w:rPr>
        <w:t>Στο στάδιο της συζήτησης του νομοσχεδίου ενώπιον της επιτροπής παρευρέθηκ</w:t>
      </w:r>
      <w:r w:rsidR="004D6CF3">
        <w:rPr>
          <w:rFonts w:cs="Arial"/>
          <w:szCs w:val="24"/>
        </w:rPr>
        <w:t xml:space="preserve">ε </w:t>
      </w:r>
      <w:r w:rsidR="00F84CB2" w:rsidRPr="00194173">
        <w:rPr>
          <w:rFonts w:cs="Arial"/>
          <w:szCs w:val="24"/>
        </w:rPr>
        <w:t xml:space="preserve">επίσης </w:t>
      </w:r>
      <w:r w:rsidR="00C77888" w:rsidRPr="00194173">
        <w:rPr>
          <w:rFonts w:cs="Arial"/>
          <w:szCs w:val="24"/>
        </w:rPr>
        <w:t>τ</w:t>
      </w:r>
      <w:r w:rsidR="004D6CF3">
        <w:rPr>
          <w:rFonts w:cs="Arial"/>
          <w:szCs w:val="24"/>
        </w:rPr>
        <w:t>ο</w:t>
      </w:r>
      <w:r w:rsidR="00C77888" w:rsidRPr="00194173">
        <w:rPr>
          <w:rFonts w:cs="Arial"/>
          <w:szCs w:val="24"/>
        </w:rPr>
        <w:t xml:space="preserve"> μέλ</w:t>
      </w:r>
      <w:r w:rsidR="004D6CF3">
        <w:rPr>
          <w:rFonts w:cs="Arial"/>
          <w:szCs w:val="24"/>
        </w:rPr>
        <w:t>ος</w:t>
      </w:r>
      <w:r w:rsidR="00C77888" w:rsidRPr="00194173">
        <w:rPr>
          <w:rFonts w:cs="Arial"/>
          <w:szCs w:val="24"/>
        </w:rPr>
        <w:t xml:space="preserve"> της επιτροπής </w:t>
      </w:r>
      <w:r w:rsidR="004D6CF3">
        <w:rPr>
          <w:rFonts w:cs="Arial"/>
          <w:szCs w:val="24"/>
        </w:rPr>
        <w:t>κ. Χρύσης Παντελίδης.</w:t>
      </w:r>
    </w:p>
    <w:p w14:paraId="34E11502" w14:textId="55F86D89" w:rsidR="00CE1148" w:rsidRPr="00CE1148" w:rsidRDefault="00CE1148" w:rsidP="005E4B5C">
      <w:pPr>
        <w:pStyle w:val="BodyText2"/>
        <w:rPr>
          <w:rFonts w:cs="Arial"/>
          <w:color w:val="000000" w:themeColor="text1"/>
          <w:szCs w:val="24"/>
          <w:lang w:eastAsia="el-GR"/>
        </w:rPr>
      </w:pPr>
      <w:r w:rsidRPr="00CE1148">
        <w:rPr>
          <w:rFonts w:cs="Arial"/>
          <w:color w:val="000000" w:themeColor="text1"/>
          <w:szCs w:val="24"/>
          <w:lang w:eastAsia="el-GR"/>
        </w:rPr>
        <w:tab/>
        <w:t xml:space="preserve">Σημειώνεται ότι η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του νομοσχεδίου σύμφωνα με τις πρόνοιες του Κανονισμού 40Α του Κανονισμού της Βουλής. </w:t>
      </w:r>
      <w:r w:rsidR="00845461">
        <w:rPr>
          <w:rFonts w:cs="Arial"/>
          <w:color w:val="000000" w:themeColor="text1"/>
          <w:szCs w:val="24"/>
          <w:lang w:eastAsia="el-GR"/>
        </w:rPr>
        <w:t xml:space="preserve"> </w:t>
      </w:r>
      <w:r w:rsidRPr="00CE1148">
        <w:rPr>
          <w:rFonts w:cs="Arial"/>
          <w:color w:val="000000" w:themeColor="text1"/>
          <w:szCs w:val="24"/>
          <w:lang w:eastAsia="el-GR"/>
        </w:rPr>
        <w:t xml:space="preserve">Ειδικότερα, για τη συζήτηση του νομοσχεδίου ακολουθήθηκε η προβλεπόμενη διαδικασία συζήτησης όσον αφορά τα προνοούμενα </w:t>
      </w:r>
      <w:r w:rsidRPr="00CE1148">
        <w:rPr>
          <w:rFonts w:cs="Arial"/>
          <w:color w:val="000000" w:themeColor="text1"/>
          <w:szCs w:val="24"/>
          <w:lang w:eastAsia="el-GR"/>
        </w:rPr>
        <w:lastRenderedPageBreak/>
        <w:t>στον Κανονισμό της Βουλής στάδια συζήτησης, αλλά για σκοπούς επίσπευσης της διαδικασίας τα εν λόγω στάδια έχουν συμπτυχθεί.</w:t>
      </w:r>
    </w:p>
    <w:p w14:paraId="21851C14" w14:textId="12A41A8C" w:rsidR="00194173" w:rsidRDefault="005E4B5C" w:rsidP="005E4B5C">
      <w:pPr>
        <w:pStyle w:val="BodyText2"/>
        <w:rPr>
          <w:rFonts w:cs="Arial"/>
          <w:szCs w:val="24"/>
        </w:rPr>
      </w:pPr>
      <w:r>
        <w:rPr>
          <w:rFonts w:eastAsia="Calibri" w:cs="Arial"/>
          <w:bCs/>
          <w:szCs w:val="24"/>
        </w:rPr>
        <w:tab/>
      </w:r>
      <w:r w:rsidR="00E12727" w:rsidRPr="0063746C">
        <w:rPr>
          <w:rFonts w:eastAsia="Calibri" w:cs="Arial"/>
          <w:bCs/>
          <w:szCs w:val="24"/>
        </w:rPr>
        <w:t xml:space="preserve">Σκοπός του προτεινόμενου νόμου </w:t>
      </w:r>
      <w:r w:rsidR="00E12727" w:rsidRPr="0063746C">
        <w:rPr>
          <w:rFonts w:cs="Arial"/>
          <w:szCs w:val="24"/>
        </w:rPr>
        <w:t xml:space="preserve">είναι η </w:t>
      </w:r>
      <w:r w:rsidR="00194173">
        <w:rPr>
          <w:rFonts w:cs="Arial"/>
          <w:szCs w:val="24"/>
        </w:rPr>
        <w:t xml:space="preserve">έγκριση του προϋπολογισμού του Ταμείου Ανανεώσιμων </w:t>
      </w:r>
      <w:r w:rsidR="00194173" w:rsidRPr="003E41E7">
        <w:rPr>
          <w:rFonts w:eastAsia="Calibri" w:cs="Arial"/>
          <w:bCs/>
          <w:szCs w:val="24"/>
        </w:rPr>
        <w:t>Πηγών</w:t>
      </w:r>
      <w:r w:rsidR="00194173">
        <w:rPr>
          <w:rFonts w:cs="Arial"/>
          <w:szCs w:val="24"/>
        </w:rPr>
        <w:t xml:space="preserve"> Ενέργειας και Εξοικονόμησης Ενέργειας</w:t>
      </w:r>
      <w:r w:rsidR="00955498">
        <w:rPr>
          <w:rFonts w:cs="Arial"/>
          <w:szCs w:val="24"/>
        </w:rPr>
        <w:t xml:space="preserve"> (εφεξής «Ταμείο»)</w:t>
      </w:r>
      <w:r w:rsidR="00194173">
        <w:rPr>
          <w:rFonts w:cs="Arial"/>
          <w:szCs w:val="24"/>
        </w:rPr>
        <w:t xml:space="preserve"> για το έτος 2023, ο οποίος προβλέπει συνολικές δαπάνες ύψους €90.559.339 και συνολικά έσοδα ύψους €40.503.611</w:t>
      </w:r>
      <w:r w:rsidR="00B47C7F">
        <w:rPr>
          <w:rFonts w:cs="Arial"/>
          <w:szCs w:val="24"/>
        </w:rPr>
        <w:t>, πλέον εκτιμώμενου αποθεματικού €60.531.194 κατά το τέλος του 2022</w:t>
      </w:r>
      <w:r w:rsidR="00194173">
        <w:rPr>
          <w:rFonts w:cs="Arial"/>
          <w:szCs w:val="24"/>
        </w:rPr>
        <w:t>.</w:t>
      </w:r>
    </w:p>
    <w:p w14:paraId="14A5A9E8" w14:textId="60D7AAB8" w:rsidR="00194173" w:rsidRDefault="005E4B5C" w:rsidP="00AA4A79">
      <w:pPr>
        <w:pStyle w:val="BodyText2"/>
        <w:rPr>
          <w:rFonts w:eastAsia="Calibri" w:cs="Arial"/>
          <w:bCs/>
          <w:szCs w:val="24"/>
        </w:rPr>
      </w:pPr>
      <w:bookmarkStart w:id="2" w:name="_Hlk77666777"/>
      <w:r>
        <w:rPr>
          <w:rFonts w:eastAsia="Calibri" w:cs="Arial"/>
          <w:bCs/>
          <w:szCs w:val="24"/>
        </w:rPr>
        <w:tab/>
      </w:r>
      <w:r w:rsidR="00E12727" w:rsidRPr="00913167">
        <w:rPr>
          <w:rFonts w:eastAsia="Calibri" w:cs="Arial"/>
          <w:bCs/>
          <w:szCs w:val="24"/>
        </w:rPr>
        <w:t xml:space="preserve">Ειδικότερα, </w:t>
      </w:r>
      <w:bookmarkEnd w:id="2"/>
      <w:r w:rsidR="00194173">
        <w:rPr>
          <w:rFonts w:eastAsia="Calibri" w:cs="Arial"/>
          <w:bCs/>
          <w:szCs w:val="24"/>
        </w:rPr>
        <w:t>σύμφωνα με τα στοιχεία</w:t>
      </w:r>
      <w:r w:rsidR="00EC18AB">
        <w:rPr>
          <w:rFonts w:eastAsia="Calibri" w:cs="Arial"/>
          <w:bCs/>
          <w:szCs w:val="24"/>
        </w:rPr>
        <w:t xml:space="preserve"> που κατατέθηκαν ενώπιον της επιτροπής,</w:t>
      </w:r>
      <w:r w:rsidR="00194173">
        <w:rPr>
          <w:rFonts w:eastAsia="Calibri" w:cs="Arial"/>
          <w:bCs/>
          <w:szCs w:val="24"/>
        </w:rPr>
        <w:t xml:space="preserve"> οι </w:t>
      </w:r>
      <w:r w:rsidR="00C67447">
        <w:rPr>
          <w:rFonts w:eastAsia="Calibri" w:cs="Arial"/>
          <w:bCs/>
          <w:szCs w:val="24"/>
        </w:rPr>
        <w:t>κ</w:t>
      </w:r>
      <w:r w:rsidR="00194173">
        <w:rPr>
          <w:rFonts w:eastAsia="Calibri" w:cs="Arial"/>
          <w:bCs/>
          <w:szCs w:val="24"/>
        </w:rPr>
        <w:t>υριότερες δαπάνες του ταμείου κατανέμονται ως ακολούθως:</w:t>
      </w:r>
    </w:p>
    <w:p w14:paraId="5C1473D1" w14:textId="7500A1D9" w:rsidR="00D2707F" w:rsidRDefault="00020865" w:rsidP="000402B7">
      <w:pPr>
        <w:pStyle w:val="BodyText2"/>
        <w:tabs>
          <w:tab w:val="clear" w:pos="567"/>
          <w:tab w:val="clear" w:pos="4961"/>
          <w:tab w:val="left" w:pos="7230"/>
        </w:tabs>
        <w:ind w:left="567" w:hanging="567"/>
        <w:rPr>
          <w:rFonts w:eastAsia="Calibri" w:cs="Arial"/>
          <w:bCs/>
          <w:szCs w:val="24"/>
        </w:rPr>
      </w:pPr>
      <w:r>
        <w:rPr>
          <w:rFonts w:eastAsia="Calibri" w:cs="Arial"/>
          <w:bCs/>
          <w:szCs w:val="24"/>
        </w:rPr>
        <w:t>1.</w:t>
      </w:r>
      <w:r>
        <w:rPr>
          <w:rFonts w:eastAsia="Calibri" w:cs="Arial"/>
          <w:bCs/>
          <w:szCs w:val="24"/>
        </w:rPr>
        <w:tab/>
      </w:r>
      <w:r w:rsidR="003E41E7">
        <w:rPr>
          <w:rFonts w:eastAsia="Calibri" w:cs="Arial"/>
          <w:bCs/>
          <w:szCs w:val="24"/>
        </w:rPr>
        <w:t>Δαπάνες για επιχορηγήσεις και επιδοτήσεις</w:t>
      </w:r>
      <w:r w:rsidR="003E41E7" w:rsidRPr="00C67447">
        <w:rPr>
          <w:rFonts w:eastAsia="Calibri" w:cs="Arial"/>
          <w:bCs/>
          <w:szCs w:val="24"/>
        </w:rPr>
        <w:t xml:space="preserve"> </w:t>
      </w:r>
      <w:r w:rsidR="003E41E7" w:rsidRPr="003E41E7">
        <w:rPr>
          <w:rFonts w:eastAsia="Calibri" w:cs="Arial"/>
          <w:bCs/>
          <w:szCs w:val="24"/>
        </w:rPr>
        <w:t>στον</w:t>
      </w:r>
      <w:r w:rsidR="00D2707F">
        <w:rPr>
          <w:rFonts w:eastAsia="Calibri" w:cs="Arial"/>
          <w:bCs/>
          <w:szCs w:val="24"/>
        </w:rPr>
        <w:tab/>
      </w:r>
      <w:r w:rsidR="00B73175">
        <w:rPr>
          <w:rFonts w:eastAsia="Calibri" w:cs="Arial"/>
          <w:bCs/>
          <w:szCs w:val="24"/>
        </w:rPr>
        <w:tab/>
        <w:t xml:space="preserve"> </w:t>
      </w:r>
      <w:r w:rsidR="00D2707F">
        <w:rPr>
          <w:rFonts w:eastAsia="Calibri" w:cs="Arial"/>
          <w:bCs/>
          <w:szCs w:val="24"/>
        </w:rPr>
        <w:t>€89.114.390</w:t>
      </w:r>
    </w:p>
    <w:p w14:paraId="54E43DD2" w14:textId="77777777" w:rsidR="00D2707F" w:rsidRDefault="00952988" w:rsidP="00952988">
      <w:pPr>
        <w:pStyle w:val="BodyText2"/>
        <w:tabs>
          <w:tab w:val="clear" w:pos="567"/>
          <w:tab w:val="clear" w:pos="4961"/>
          <w:tab w:val="center" w:pos="5812"/>
        </w:tabs>
        <w:ind w:left="567"/>
        <w:rPr>
          <w:rFonts w:eastAsia="Calibri" w:cs="Arial"/>
          <w:bCs/>
          <w:szCs w:val="24"/>
        </w:rPr>
      </w:pPr>
      <w:r>
        <w:rPr>
          <w:rFonts w:eastAsia="Calibri" w:cs="Arial"/>
          <w:bCs/>
          <w:szCs w:val="24"/>
        </w:rPr>
        <w:t>τομέα</w:t>
      </w:r>
      <w:r w:rsidRPr="00952988">
        <w:rPr>
          <w:rFonts w:eastAsia="Calibri" w:cs="Arial"/>
          <w:bCs/>
          <w:szCs w:val="24"/>
        </w:rPr>
        <w:t xml:space="preserve"> </w:t>
      </w:r>
      <w:r>
        <w:rPr>
          <w:rFonts w:eastAsia="Calibri" w:cs="Arial"/>
          <w:bCs/>
          <w:szCs w:val="24"/>
        </w:rPr>
        <w:t xml:space="preserve">της ηλεκτροπαραγωγής </w:t>
      </w:r>
      <w:r w:rsidRPr="003E41E7">
        <w:rPr>
          <w:rFonts w:eastAsia="Calibri" w:cs="Arial"/>
          <w:bCs/>
          <w:szCs w:val="24"/>
        </w:rPr>
        <w:t>από ανανεώσιμες</w:t>
      </w:r>
    </w:p>
    <w:p w14:paraId="1E9FC276" w14:textId="06DBD1BD" w:rsidR="007376F2" w:rsidRDefault="003E41E7" w:rsidP="007376F2">
      <w:pPr>
        <w:pStyle w:val="BodyText2"/>
        <w:tabs>
          <w:tab w:val="clear" w:pos="567"/>
          <w:tab w:val="clear" w:pos="4961"/>
          <w:tab w:val="center" w:pos="5812"/>
        </w:tabs>
        <w:ind w:left="567"/>
        <w:rPr>
          <w:rFonts w:eastAsia="Calibri" w:cs="Arial"/>
          <w:bCs/>
          <w:szCs w:val="24"/>
        </w:rPr>
      </w:pPr>
      <w:r w:rsidRPr="003E41E7">
        <w:rPr>
          <w:rFonts w:eastAsia="Calibri" w:cs="Arial"/>
          <w:bCs/>
          <w:szCs w:val="24"/>
        </w:rPr>
        <w:t>πηγές ενέργειας (ΑΠΕ) από σχέδια και</w:t>
      </w:r>
      <w:r w:rsidR="009901DA">
        <w:rPr>
          <w:rFonts w:eastAsia="Calibri" w:cs="Arial"/>
          <w:bCs/>
          <w:szCs w:val="24"/>
        </w:rPr>
        <w:t xml:space="preserve"> συμβάσεις</w:t>
      </w:r>
    </w:p>
    <w:p w14:paraId="3CD8D07D" w14:textId="3A09F503" w:rsidR="003E41E7" w:rsidRDefault="003E41E7" w:rsidP="007376F2">
      <w:pPr>
        <w:pStyle w:val="BodyText2"/>
        <w:tabs>
          <w:tab w:val="clear" w:pos="567"/>
          <w:tab w:val="clear" w:pos="4961"/>
          <w:tab w:val="center" w:pos="5812"/>
        </w:tabs>
        <w:ind w:left="567"/>
        <w:rPr>
          <w:rFonts w:eastAsia="Calibri" w:cs="Arial"/>
          <w:bCs/>
          <w:szCs w:val="24"/>
        </w:rPr>
      </w:pPr>
      <w:r w:rsidRPr="003E41E7">
        <w:rPr>
          <w:rFonts w:eastAsia="Calibri" w:cs="Arial"/>
          <w:bCs/>
          <w:szCs w:val="24"/>
        </w:rPr>
        <w:t>επιδοτήσεων προηγούμενων ετών</w:t>
      </w:r>
      <w:r w:rsidR="007376F2">
        <w:rPr>
          <w:rFonts w:eastAsia="Calibri" w:cs="Arial"/>
          <w:bCs/>
          <w:szCs w:val="24"/>
        </w:rPr>
        <w:t>.</w:t>
      </w:r>
    </w:p>
    <w:p w14:paraId="47172622" w14:textId="2EAE8EEB" w:rsidR="003E41E7" w:rsidRDefault="00DC1EAF" w:rsidP="00093BB2">
      <w:pPr>
        <w:pStyle w:val="BodyText2"/>
        <w:tabs>
          <w:tab w:val="clear" w:pos="567"/>
          <w:tab w:val="clear" w:pos="4961"/>
          <w:tab w:val="left" w:pos="7727"/>
        </w:tabs>
        <w:ind w:left="567" w:hanging="567"/>
        <w:rPr>
          <w:rFonts w:eastAsia="Calibri" w:cs="Arial"/>
          <w:bCs/>
          <w:szCs w:val="24"/>
        </w:rPr>
      </w:pPr>
      <w:r>
        <w:rPr>
          <w:rFonts w:eastAsia="Calibri" w:cs="Arial"/>
          <w:bCs/>
          <w:szCs w:val="24"/>
        </w:rPr>
        <w:t>2</w:t>
      </w:r>
      <w:r w:rsidR="009901DA">
        <w:rPr>
          <w:rFonts w:eastAsia="Calibri" w:cs="Arial"/>
          <w:bCs/>
          <w:szCs w:val="24"/>
        </w:rPr>
        <w:t>.</w:t>
      </w:r>
      <w:r w:rsidR="009901DA">
        <w:rPr>
          <w:rFonts w:eastAsia="Calibri" w:cs="Arial"/>
          <w:bCs/>
          <w:szCs w:val="24"/>
        </w:rPr>
        <w:tab/>
      </w:r>
      <w:r w:rsidR="003E41E7">
        <w:rPr>
          <w:rFonts w:eastAsia="Calibri" w:cs="Arial"/>
          <w:bCs/>
          <w:szCs w:val="24"/>
        </w:rPr>
        <w:t>Λειτουργικές και άλλες δαπάνες</w:t>
      </w:r>
      <w:r w:rsidR="009901DA">
        <w:rPr>
          <w:rFonts w:eastAsia="Calibri" w:cs="Arial"/>
          <w:bCs/>
          <w:szCs w:val="24"/>
        </w:rPr>
        <w:t>.</w:t>
      </w:r>
      <w:r w:rsidR="003E41E7">
        <w:rPr>
          <w:rFonts w:eastAsia="Calibri" w:cs="Arial"/>
          <w:bCs/>
          <w:szCs w:val="24"/>
        </w:rPr>
        <w:tab/>
      </w:r>
      <w:r w:rsidR="00B73175">
        <w:rPr>
          <w:rFonts w:eastAsia="Calibri" w:cs="Arial"/>
          <w:bCs/>
          <w:szCs w:val="24"/>
        </w:rPr>
        <w:tab/>
        <w:t xml:space="preserve">      </w:t>
      </w:r>
      <w:r w:rsidR="003E41E7">
        <w:rPr>
          <w:rFonts w:eastAsia="Calibri" w:cs="Arial"/>
          <w:bCs/>
          <w:szCs w:val="24"/>
        </w:rPr>
        <w:t>€571.233</w:t>
      </w:r>
    </w:p>
    <w:p w14:paraId="329A8777" w14:textId="08C478FC" w:rsidR="00DC1EAF" w:rsidRDefault="00DC1EAF" w:rsidP="00093BB2">
      <w:pPr>
        <w:pStyle w:val="BodyText2"/>
        <w:tabs>
          <w:tab w:val="clear" w:pos="567"/>
          <w:tab w:val="clear" w:pos="4961"/>
          <w:tab w:val="left" w:pos="7727"/>
        </w:tabs>
        <w:ind w:left="567" w:hanging="567"/>
        <w:rPr>
          <w:rFonts w:eastAsia="Calibri" w:cs="Arial"/>
          <w:bCs/>
          <w:szCs w:val="24"/>
        </w:rPr>
      </w:pPr>
      <w:r>
        <w:rPr>
          <w:rFonts w:eastAsia="Calibri" w:cs="Arial"/>
          <w:bCs/>
          <w:szCs w:val="24"/>
        </w:rPr>
        <w:t>3.</w:t>
      </w:r>
      <w:r>
        <w:rPr>
          <w:rFonts w:eastAsia="Calibri" w:cs="Arial"/>
          <w:bCs/>
          <w:szCs w:val="24"/>
        </w:rPr>
        <w:tab/>
      </w:r>
      <w:r w:rsidR="003E41E7">
        <w:rPr>
          <w:rFonts w:eastAsia="Calibri" w:cs="Arial"/>
          <w:bCs/>
          <w:szCs w:val="24"/>
        </w:rPr>
        <w:t>Αντισταθμιστικά οφέλη προς τις γειτνιάζουσες</w:t>
      </w:r>
      <w:r w:rsidR="00B24D4B">
        <w:rPr>
          <w:rFonts w:eastAsia="Calibri" w:cs="Arial"/>
          <w:bCs/>
          <w:szCs w:val="24"/>
        </w:rPr>
        <w:tab/>
      </w:r>
      <w:r w:rsidR="00B73175">
        <w:rPr>
          <w:rFonts w:eastAsia="Calibri" w:cs="Arial"/>
          <w:bCs/>
          <w:szCs w:val="24"/>
        </w:rPr>
        <w:tab/>
        <w:t xml:space="preserve">      </w:t>
      </w:r>
      <w:r w:rsidR="00B24D4B">
        <w:rPr>
          <w:rFonts w:eastAsia="Calibri" w:cs="Arial"/>
          <w:bCs/>
          <w:szCs w:val="24"/>
        </w:rPr>
        <w:t>€873.716</w:t>
      </w:r>
    </w:p>
    <w:p w14:paraId="0DB96CF9" w14:textId="77777777" w:rsidR="00B24D4B" w:rsidRDefault="003E41E7" w:rsidP="00DC1EAF">
      <w:pPr>
        <w:pStyle w:val="BodyText2"/>
        <w:tabs>
          <w:tab w:val="clear" w:pos="567"/>
          <w:tab w:val="clear" w:pos="4961"/>
          <w:tab w:val="left" w:pos="7727"/>
        </w:tabs>
        <w:ind w:left="567" w:hanging="567"/>
        <w:rPr>
          <w:rFonts w:eastAsia="Calibri" w:cs="Arial"/>
          <w:bCs/>
          <w:szCs w:val="24"/>
        </w:rPr>
      </w:pPr>
      <w:r>
        <w:rPr>
          <w:rFonts w:eastAsia="Calibri" w:cs="Arial"/>
          <w:bCs/>
          <w:szCs w:val="24"/>
        </w:rPr>
        <w:tab/>
      </w:r>
      <w:r w:rsidR="00DC1EAF">
        <w:rPr>
          <w:rFonts w:eastAsia="Calibri" w:cs="Arial"/>
          <w:bCs/>
          <w:szCs w:val="24"/>
        </w:rPr>
        <w:t>με μεγάλα αιολικά πάρκα και μονάδες βιομάζας</w:t>
      </w:r>
    </w:p>
    <w:p w14:paraId="247744D4" w14:textId="1DCE4853" w:rsidR="00382E4D" w:rsidRDefault="003E41E7" w:rsidP="00770F90">
      <w:pPr>
        <w:pStyle w:val="BodyText2"/>
        <w:tabs>
          <w:tab w:val="clear" w:pos="567"/>
          <w:tab w:val="clear" w:pos="4961"/>
        </w:tabs>
        <w:ind w:left="567" w:hanging="567"/>
        <w:rPr>
          <w:rFonts w:eastAsia="Calibri" w:cs="Arial"/>
          <w:bCs/>
          <w:szCs w:val="24"/>
        </w:rPr>
      </w:pPr>
      <w:r>
        <w:rPr>
          <w:rFonts w:eastAsia="Calibri" w:cs="Arial"/>
          <w:bCs/>
          <w:szCs w:val="24"/>
        </w:rPr>
        <w:tab/>
        <w:t>κοινότητες.</w:t>
      </w:r>
    </w:p>
    <w:p w14:paraId="39531B6D" w14:textId="6B903038" w:rsidR="00382E4D" w:rsidRDefault="00382E4D" w:rsidP="00C1285E">
      <w:pPr>
        <w:pStyle w:val="BodyText2"/>
        <w:tabs>
          <w:tab w:val="clear" w:pos="567"/>
          <w:tab w:val="clear" w:pos="4961"/>
        </w:tabs>
        <w:ind w:left="567"/>
        <w:rPr>
          <w:rFonts w:eastAsia="Calibri" w:cs="Arial"/>
          <w:bCs/>
          <w:szCs w:val="24"/>
        </w:rPr>
      </w:pPr>
      <w:r>
        <w:rPr>
          <w:rFonts w:eastAsia="Calibri" w:cs="Arial"/>
          <w:bCs/>
          <w:szCs w:val="24"/>
        </w:rPr>
        <w:t>Σύνολο δαπανών</w:t>
      </w:r>
      <w:r w:rsidR="00B24D4B" w:rsidRPr="00B73175">
        <w:rPr>
          <w:rFonts w:eastAsia="Calibri" w:cs="Arial"/>
          <w:bCs/>
          <w:szCs w:val="24"/>
        </w:rPr>
        <w:t>:</w:t>
      </w:r>
      <w:r>
        <w:rPr>
          <w:rFonts w:eastAsia="Calibri" w:cs="Arial"/>
          <w:bCs/>
          <w:szCs w:val="24"/>
        </w:rPr>
        <w:t xml:space="preserve"> </w:t>
      </w:r>
      <w:r>
        <w:rPr>
          <w:rFonts w:eastAsia="Calibri" w:cs="Arial"/>
          <w:bCs/>
          <w:szCs w:val="24"/>
        </w:rPr>
        <w:tab/>
      </w:r>
      <w:r w:rsidR="00F47519">
        <w:rPr>
          <w:rFonts w:eastAsia="Calibri" w:cs="Arial"/>
          <w:bCs/>
          <w:szCs w:val="24"/>
        </w:rPr>
        <w:tab/>
      </w:r>
      <w:r w:rsidR="00F47519">
        <w:rPr>
          <w:rFonts w:eastAsia="Calibri" w:cs="Arial"/>
          <w:bCs/>
          <w:szCs w:val="24"/>
        </w:rPr>
        <w:tab/>
      </w:r>
      <w:r w:rsidR="00F47519">
        <w:rPr>
          <w:rFonts w:eastAsia="Calibri" w:cs="Arial"/>
          <w:bCs/>
          <w:szCs w:val="24"/>
        </w:rPr>
        <w:tab/>
      </w:r>
      <w:r w:rsidR="00F47519">
        <w:rPr>
          <w:rFonts w:eastAsia="Calibri" w:cs="Arial"/>
          <w:bCs/>
          <w:szCs w:val="24"/>
        </w:rPr>
        <w:tab/>
      </w:r>
      <w:r w:rsidR="00F47519">
        <w:rPr>
          <w:rFonts w:eastAsia="Calibri" w:cs="Arial"/>
          <w:bCs/>
          <w:szCs w:val="24"/>
        </w:rPr>
        <w:tab/>
      </w:r>
      <w:r w:rsidR="00F47519">
        <w:rPr>
          <w:rFonts w:eastAsia="Calibri" w:cs="Arial"/>
          <w:bCs/>
          <w:szCs w:val="24"/>
        </w:rPr>
        <w:tab/>
      </w:r>
      <w:r w:rsidR="00F47519">
        <w:rPr>
          <w:rFonts w:eastAsia="Calibri" w:cs="Arial"/>
          <w:bCs/>
          <w:szCs w:val="24"/>
        </w:rPr>
        <w:tab/>
        <w:t xml:space="preserve"> </w:t>
      </w:r>
      <w:r>
        <w:rPr>
          <w:rFonts w:eastAsia="Calibri" w:cs="Arial"/>
          <w:bCs/>
          <w:szCs w:val="24"/>
        </w:rPr>
        <w:t>€90.559.339</w:t>
      </w:r>
    </w:p>
    <w:p w14:paraId="067D9EA8" w14:textId="5AAE1BAD" w:rsidR="003E41E7" w:rsidRPr="00835A3A" w:rsidRDefault="00835A3A" w:rsidP="00835A3A">
      <w:pPr>
        <w:pStyle w:val="BodyText2"/>
        <w:tabs>
          <w:tab w:val="clear" w:pos="4961"/>
        </w:tabs>
        <w:rPr>
          <w:rFonts w:eastAsia="Calibri" w:cs="Arial"/>
          <w:bCs/>
          <w:szCs w:val="24"/>
        </w:rPr>
      </w:pPr>
      <w:r>
        <w:rPr>
          <w:rFonts w:eastAsia="Calibri" w:cs="Arial"/>
          <w:bCs/>
          <w:szCs w:val="24"/>
        </w:rPr>
        <w:tab/>
      </w:r>
      <w:r w:rsidR="003E41E7">
        <w:rPr>
          <w:rFonts w:eastAsia="Calibri" w:cs="Arial"/>
          <w:bCs/>
          <w:szCs w:val="24"/>
        </w:rPr>
        <w:t>Τα έσοδα του ταμείου συνοψίζονται στα ακόλουθα</w:t>
      </w:r>
      <w:r>
        <w:rPr>
          <w:rFonts w:eastAsia="Calibri" w:cs="Arial"/>
          <w:bCs/>
          <w:szCs w:val="24"/>
        </w:rPr>
        <w:t>:</w:t>
      </w:r>
    </w:p>
    <w:p w14:paraId="4928AE18" w14:textId="7CF84AB6" w:rsidR="00F53A34" w:rsidRDefault="00F53A34" w:rsidP="00C1285E">
      <w:pPr>
        <w:pStyle w:val="BodyText2"/>
        <w:tabs>
          <w:tab w:val="clear" w:pos="567"/>
          <w:tab w:val="clear" w:pos="4961"/>
          <w:tab w:val="left" w:pos="7229"/>
        </w:tabs>
        <w:ind w:left="567" w:hanging="567"/>
        <w:rPr>
          <w:rFonts w:eastAsia="Calibri" w:cs="Arial"/>
          <w:bCs/>
          <w:szCs w:val="24"/>
        </w:rPr>
      </w:pPr>
      <w:r>
        <w:rPr>
          <w:rFonts w:eastAsia="Calibri" w:cs="Arial"/>
          <w:bCs/>
          <w:szCs w:val="24"/>
        </w:rPr>
        <w:t>1.</w:t>
      </w:r>
      <w:r>
        <w:rPr>
          <w:rFonts w:eastAsia="Calibri" w:cs="Arial"/>
          <w:bCs/>
          <w:szCs w:val="24"/>
        </w:rPr>
        <w:tab/>
      </w:r>
      <w:r w:rsidR="00382E4D" w:rsidRPr="00450101">
        <w:rPr>
          <w:rFonts w:eastAsia="Calibri" w:cs="Arial"/>
          <w:bCs/>
          <w:szCs w:val="24"/>
        </w:rPr>
        <w:t>Συμβάσεις</w:t>
      </w:r>
      <w:r w:rsidR="00450101" w:rsidRPr="00450101">
        <w:rPr>
          <w:rFonts w:eastAsia="Calibri" w:cs="Arial"/>
          <w:bCs/>
          <w:szCs w:val="24"/>
        </w:rPr>
        <w:t xml:space="preserve"> επιδότησης ηλεκτρικής ενέργειας και</w:t>
      </w:r>
      <w:r>
        <w:rPr>
          <w:rFonts w:eastAsia="Calibri" w:cs="Arial"/>
          <w:bCs/>
          <w:szCs w:val="24"/>
        </w:rPr>
        <w:tab/>
      </w:r>
      <w:r w:rsidR="00B73175">
        <w:rPr>
          <w:rFonts w:eastAsia="Calibri" w:cs="Arial"/>
          <w:bCs/>
          <w:szCs w:val="24"/>
        </w:rPr>
        <w:tab/>
        <w:t xml:space="preserve"> </w:t>
      </w:r>
      <w:r w:rsidRPr="00450101">
        <w:rPr>
          <w:rFonts w:eastAsia="Calibri" w:cs="Arial"/>
          <w:bCs/>
          <w:szCs w:val="24"/>
        </w:rPr>
        <w:t>€20.701.475</w:t>
      </w:r>
    </w:p>
    <w:p w14:paraId="72E1F351" w14:textId="2837B7EF" w:rsidR="00450101" w:rsidRDefault="00604BFD" w:rsidP="00C1285E">
      <w:pPr>
        <w:pStyle w:val="BodyText2"/>
        <w:tabs>
          <w:tab w:val="clear" w:pos="567"/>
          <w:tab w:val="clear" w:pos="4961"/>
          <w:tab w:val="left" w:pos="7513"/>
        </w:tabs>
        <w:ind w:left="567" w:hanging="141"/>
        <w:rPr>
          <w:rFonts w:eastAsia="Calibri" w:cs="Arial"/>
          <w:bCs/>
          <w:szCs w:val="24"/>
        </w:rPr>
      </w:pPr>
      <w:r>
        <w:rPr>
          <w:rFonts w:eastAsia="Calibri" w:cs="Arial"/>
          <w:bCs/>
          <w:szCs w:val="24"/>
        </w:rPr>
        <w:tab/>
      </w:r>
      <w:r w:rsidR="00F53A34">
        <w:rPr>
          <w:rFonts w:eastAsia="Calibri" w:cs="Arial"/>
          <w:bCs/>
          <w:szCs w:val="24"/>
        </w:rPr>
        <w:t>δ</w:t>
      </w:r>
      <w:r w:rsidR="00F53A34" w:rsidRPr="00450101">
        <w:rPr>
          <w:rFonts w:eastAsia="Calibri" w:cs="Arial"/>
          <w:bCs/>
          <w:szCs w:val="24"/>
        </w:rPr>
        <w:t>ιάφορες</w:t>
      </w:r>
      <w:r w:rsidR="00F53A34" w:rsidRPr="00F53A34">
        <w:rPr>
          <w:rFonts w:eastAsia="Calibri" w:cs="Arial"/>
          <w:bCs/>
          <w:szCs w:val="24"/>
        </w:rPr>
        <w:t xml:space="preserve"> </w:t>
      </w:r>
      <w:r w:rsidR="00F53A34" w:rsidRPr="00450101">
        <w:rPr>
          <w:rFonts w:eastAsia="Calibri" w:cs="Arial"/>
          <w:bCs/>
          <w:szCs w:val="24"/>
        </w:rPr>
        <w:t xml:space="preserve">άλλες </w:t>
      </w:r>
      <w:r w:rsidR="00F53A34">
        <w:rPr>
          <w:rFonts w:eastAsia="Calibri" w:cs="Arial"/>
          <w:bCs/>
          <w:szCs w:val="24"/>
        </w:rPr>
        <w:t>π</w:t>
      </w:r>
      <w:r w:rsidR="00F53A34" w:rsidRPr="00450101">
        <w:rPr>
          <w:rFonts w:eastAsia="Calibri" w:cs="Arial"/>
          <w:bCs/>
          <w:szCs w:val="24"/>
        </w:rPr>
        <w:t>ληρωμές</w:t>
      </w:r>
      <w:r w:rsidR="00F53A34">
        <w:rPr>
          <w:rFonts w:eastAsia="Calibri" w:cs="Arial"/>
          <w:bCs/>
          <w:szCs w:val="24"/>
        </w:rPr>
        <w:t>.</w:t>
      </w:r>
    </w:p>
    <w:p w14:paraId="01A4DDA2" w14:textId="30C9DA7C" w:rsidR="00DB1874" w:rsidRDefault="00E538A6" w:rsidP="00C1285E">
      <w:pPr>
        <w:pStyle w:val="BodyText2"/>
        <w:tabs>
          <w:tab w:val="clear" w:pos="567"/>
          <w:tab w:val="clear" w:pos="4961"/>
          <w:tab w:val="left" w:pos="993"/>
          <w:tab w:val="left" w:pos="7371"/>
        </w:tabs>
        <w:ind w:left="567" w:hanging="567"/>
        <w:rPr>
          <w:rFonts w:eastAsia="Calibri" w:cs="Arial"/>
          <w:bCs/>
          <w:szCs w:val="24"/>
        </w:rPr>
      </w:pPr>
      <w:r>
        <w:rPr>
          <w:rFonts w:eastAsia="Calibri" w:cs="Arial"/>
          <w:bCs/>
          <w:szCs w:val="24"/>
        </w:rPr>
        <w:t>2.</w:t>
      </w:r>
      <w:r w:rsidR="00604BFD">
        <w:rPr>
          <w:rFonts w:eastAsia="Calibri" w:cs="Arial"/>
          <w:bCs/>
          <w:szCs w:val="24"/>
        </w:rPr>
        <w:tab/>
        <w:t>Σταθερό τέλος</w:t>
      </w:r>
      <w:r w:rsidR="007F6E6E" w:rsidRPr="007F6E6E">
        <w:rPr>
          <w:rFonts w:eastAsia="Calibri" w:cs="Arial"/>
          <w:bCs/>
          <w:szCs w:val="24"/>
        </w:rPr>
        <w:t xml:space="preserve"> </w:t>
      </w:r>
      <w:r w:rsidR="007F6E6E">
        <w:rPr>
          <w:rFonts w:eastAsia="Calibri" w:cs="Arial"/>
          <w:bCs/>
          <w:szCs w:val="24"/>
        </w:rPr>
        <w:t>κατανάλωσης.</w:t>
      </w:r>
      <w:r>
        <w:rPr>
          <w:rFonts w:eastAsia="Calibri" w:cs="Arial"/>
          <w:bCs/>
          <w:szCs w:val="24"/>
        </w:rPr>
        <w:tab/>
      </w:r>
      <w:r w:rsidR="00B73175">
        <w:rPr>
          <w:rFonts w:eastAsia="Calibri" w:cs="Arial"/>
          <w:bCs/>
          <w:szCs w:val="24"/>
        </w:rPr>
        <w:tab/>
        <w:t xml:space="preserve">   </w:t>
      </w:r>
      <w:r>
        <w:rPr>
          <w:rFonts w:eastAsia="Calibri" w:cs="Arial"/>
          <w:bCs/>
          <w:szCs w:val="24"/>
        </w:rPr>
        <w:t>€5.768.400</w:t>
      </w:r>
    </w:p>
    <w:p w14:paraId="49D04AD7" w14:textId="7B36F750" w:rsidR="00382E4D" w:rsidRDefault="00DB1874" w:rsidP="00C1285E">
      <w:pPr>
        <w:pStyle w:val="BodyText2"/>
        <w:tabs>
          <w:tab w:val="clear" w:pos="567"/>
          <w:tab w:val="clear" w:pos="4961"/>
          <w:tab w:val="left" w:pos="993"/>
          <w:tab w:val="left" w:pos="7513"/>
          <w:tab w:val="left" w:pos="7727"/>
        </w:tabs>
        <w:ind w:left="567" w:hanging="567"/>
        <w:rPr>
          <w:rFonts w:eastAsia="Calibri" w:cs="Arial"/>
          <w:bCs/>
          <w:szCs w:val="24"/>
        </w:rPr>
      </w:pPr>
      <w:r>
        <w:rPr>
          <w:rFonts w:eastAsia="Calibri" w:cs="Arial"/>
          <w:bCs/>
          <w:szCs w:val="24"/>
        </w:rPr>
        <w:t>3.</w:t>
      </w:r>
      <w:r w:rsidR="00673033">
        <w:rPr>
          <w:rFonts w:eastAsia="Calibri" w:cs="Arial"/>
          <w:bCs/>
          <w:szCs w:val="24"/>
        </w:rPr>
        <w:tab/>
      </w:r>
      <w:r w:rsidR="00382E4D">
        <w:rPr>
          <w:rFonts w:eastAsia="Calibri" w:cs="Arial"/>
          <w:bCs/>
          <w:szCs w:val="24"/>
        </w:rPr>
        <w:t>Αντισταθμιστικά οφέλη</w:t>
      </w:r>
      <w:r w:rsidR="00C1285E">
        <w:rPr>
          <w:rFonts w:eastAsia="Calibri" w:cs="Arial"/>
          <w:bCs/>
          <w:szCs w:val="24"/>
        </w:rPr>
        <w:t>.</w:t>
      </w:r>
      <w:r w:rsidR="00382E4D">
        <w:rPr>
          <w:rFonts w:eastAsia="Calibri" w:cs="Arial"/>
          <w:bCs/>
          <w:szCs w:val="24"/>
        </w:rPr>
        <w:tab/>
      </w:r>
      <w:r w:rsidR="00B73175">
        <w:rPr>
          <w:rFonts w:eastAsia="Calibri" w:cs="Arial"/>
          <w:bCs/>
          <w:szCs w:val="24"/>
        </w:rPr>
        <w:tab/>
        <w:t xml:space="preserve">         </w:t>
      </w:r>
      <w:r w:rsidR="00382E4D">
        <w:rPr>
          <w:rFonts w:eastAsia="Calibri" w:cs="Arial"/>
          <w:bCs/>
          <w:szCs w:val="24"/>
        </w:rPr>
        <w:t>€873.716</w:t>
      </w:r>
    </w:p>
    <w:p w14:paraId="120ADE01" w14:textId="5B1AD269" w:rsidR="00382E4D" w:rsidRDefault="00DB1874" w:rsidP="00C1285E">
      <w:pPr>
        <w:pStyle w:val="BodyText2"/>
        <w:tabs>
          <w:tab w:val="clear" w:pos="567"/>
          <w:tab w:val="clear" w:pos="4961"/>
          <w:tab w:val="left" w:pos="7230"/>
        </w:tabs>
        <w:ind w:left="567" w:hanging="567"/>
        <w:rPr>
          <w:rFonts w:eastAsia="Calibri" w:cs="Arial"/>
          <w:bCs/>
          <w:szCs w:val="24"/>
        </w:rPr>
      </w:pPr>
      <w:r>
        <w:rPr>
          <w:rFonts w:eastAsia="Calibri" w:cs="Arial"/>
          <w:bCs/>
          <w:szCs w:val="24"/>
        </w:rPr>
        <w:t>4.</w:t>
      </w:r>
      <w:r>
        <w:rPr>
          <w:rFonts w:eastAsia="Calibri" w:cs="Arial"/>
          <w:bCs/>
          <w:szCs w:val="24"/>
        </w:rPr>
        <w:tab/>
      </w:r>
      <w:r w:rsidR="00382E4D">
        <w:rPr>
          <w:rFonts w:eastAsia="Calibri" w:cs="Arial"/>
          <w:bCs/>
          <w:szCs w:val="24"/>
        </w:rPr>
        <w:t>Κρατική χορηγία</w:t>
      </w:r>
      <w:r>
        <w:rPr>
          <w:rFonts w:eastAsia="Calibri" w:cs="Arial"/>
          <w:bCs/>
          <w:szCs w:val="24"/>
        </w:rPr>
        <w:t>.</w:t>
      </w:r>
      <w:r w:rsidR="00551CAA">
        <w:rPr>
          <w:rFonts w:eastAsia="Calibri" w:cs="Arial"/>
          <w:bCs/>
          <w:szCs w:val="24"/>
        </w:rPr>
        <w:tab/>
      </w:r>
      <w:r w:rsidR="00B73175">
        <w:rPr>
          <w:rFonts w:eastAsia="Calibri" w:cs="Arial"/>
          <w:bCs/>
          <w:szCs w:val="24"/>
        </w:rPr>
        <w:tab/>
        <w:t xml:space="preserve"> </w:t>
      </w:r>
      <w:r w:rsidR="00382E4D">
        <w:rPr>
          <w:rFonts w:eastAsia="Calibri" w:cs="Arial"/>
          <w:bCs/>
          <w:szCs w:val="24"/>
        </w:rPr>
        <w:t>€13.160.000</w:t>
      </w:r>
    </w:p>
    <w:p w14:paraId="693E6EFF" w14:textId="2E0244E1" w:rsidR="00382E4D" w:rsidRDefault="00C54CAC" w:rsidP="00C1285E">
      <w:pPr>
        <w:pStyle w:val="BodyText2"/>
        <w:tabs>
          <w:tab w:val="clear" w:pos="567"/>
          <w:tab w:val="clear" w:pos="4961"/>
          <w:tab w:val="left" w:pos="993"/>
          <w:tab w:val="left" w:pos="8222"/>
          <w:tab w:val="left" w:pos="9072"/>
        </w:tabs>
        <w:ind w:left="567" w:hanging="567"/>
        <w:rPr>
          <w:rFonts w:eastAsia="Calibri" w:cs="Arial"/>
          <w:bCs/>
          <w:szCs w:val="24"/>
        </w:rPr>
      </w:pPr>
      <w:r>
        <w:rPr>
          <w:rFonts w:eastAsia="Calibri" w:cs="Arial"/>
          <w:bCs/>
          <w:szCs w:val="24"/>
        </w:rPr>
        <w:t>5.</w:t>
      </w:r>
      <w:r>
        <w:rPr>
          <w:rFonts w:eastAsia="Calibri" w:cs="Arial"/>
          <w:bCs/>
          <w:szCs w:val="24"/>
        </w:rPr>
        <w:tab/>
      </w:r>
      <w:r w:rsidR="00382E4D">
        <w:rPr>
          <w:rFonts w:eastAsia="Calibri" w:cs="Arial"/>
          <w:bCs/>
          <w:szCs w:val="24"/>
        </w:rPr>
        <w:t>Άλλα έσοδα</w:t>
      </w:r>
      <w:r w:rsidR="00C1285E">
        <w:rPr>
          <w:rFonts w:eastAsia="Calibri" w:cs="Arial"/>
          <w:bCs/>
          <w:szCs w:val="24"/>
        </w:rPr>
        <w:t xml:space="preserve">. </w:t>
      </w:r>
      <w:r w:rsidR="00382E4D">
        <w:rPr>
          <w:rFonts w:eastAsia="Calibri" w:cs="Arial"/>
          <w:bCs/>
          <w:szCs w:val="24"/>
        </w:rPr>
        <w:tab/>
      </w:r>
      <w:r w:rsidR="00B73175">
        <w:rPr>
          <w:rFonts w:eastAsia="Calibri" w:cs="Arial"/>
          <w:bCs/>
          <w:szCs w:val="24"/>
        </w:rPr>
        <w:t xml:space="preserve">          </w:t>
      </w:r>
      <w:r>
        <w:rPr>
          <w:rFonts w:eastAsia="Calibri" w:cs="Arial"/>
          <w:bCs/>
          <w:szCs w:val="24"/>
        </w:rPr>
        <w:t>€30</w:t>
      </w:r>
    </w:p>
    <w:p w14:paraId="5804AF07" w14:textId="68F24492" w:rsidR="00CF16BE" w:rsidRDefault="00CF16BE" w:rsidP="00FA76BC">
      <w:pPr>
        <w:pStyle w:val="BodyText2"/>
        <w:tabs>
          <w:tab w:val="clear" w:pos="567"/>
          <w:tab w:val="clear" w:pos="4961"/>
          <w:tab w:val="left" w:pos="7629"/>
          <w:tab w:val="left" w:pos="9072"/>
        </w:tabs>
        <w:ind w:left="567"/>
        <w:rPr>
          <w:rFonts w:eastAsia="Calibri" w:cs="Arial"/>
          <w:bCs/>
          <w:szCs w:val="24"/>
        </w:rPr>
      </w:pPr>
      <w:r>
        <w:rPr>
          <w:rFonts w:eastAsia="Calibri" w:cs="Arial"/>
          <w:bCs/>
          <w:szCs w:val="24"/>
        </w:rPr>
        <w:lastRenderedPageBreak/>
        <w:t>Σύνολο εσόδων</w:t>
      </w:r>
      <w:r w:rsidR="00296964">
        <w:rPr>
          <w:rFonts w:eastAsia="Calibri" w:cs="Arial"/>
          <w:bCs/>
          <w:szCs w:val="24"/>
        </w:rPr>
        <w:t>:</w:t>
      </w:r>
      <w:r>
        <w:rPr>
          <w:rFonts w:eastAsia="Calibri" w:cs="Arial"/>
          <w:bCs/>
          <w:szCs w:val="24"/>
        </w:rPr>
        <w:tab/>
      </w:r>
      <w:r w:rsidR="00B73175">
        <w:rPr>
          <w:rFonts w:eastAsia="Calibri" w:cs="Arial"/>
          <w:bCs/>
          <w:szCs w:val="24"/>
        </w:rPr>
        <w:t xml:space="preserve">     </w:t>
      </w:r>
      <w:r>
        <w:rPr>
          <w:rFonts w:eastAsia="Calibri" w:cs="Arial"/>
          <w:bCs/>
          <w:szCs w:val="24"/>
        </w:rPr>
        <w:t>€40.503.6</w:t>
      </w:r>
      <w:r w:rsidR="00DA34F7">
        <w:rPr>
          <w:rFonts w:eastAsia="Calibri" w:cs="Arial"/>
          <w:bCs/>
          <w:szCs w:val="24"/>
        </w:rPr>
        <w:t>2</w:t>
      </w:r>
      <w:r>
        <w:rPr>
          <w:rFonts w:eastAsia="Calibri" w:cs="Arial"/>
          <w:bCs/>
          <w:szCs w:val="24"/>
        </w:rPr>
        <w:t>1</w:t>
      </w:r>
    </w:p>
    <w:p w14:paraId="51A73028" w14:textId="77777777" w:rsidR="00955498" w:rsidRDefault="00FB0B4F" w:rsidP="00955498">
      <w:pPr>
        <w:pStyle w:val="BodyText2"/>
        <w:rPr>
          <w:rFonts w:eastAsia="Calibri" w:cs="Arial"/>
          <w:szCs w:val="24"/>
        </w:rPr>
      </w:pPr>
      <w:r>
        <w:rPr>
          <w:rFonts w:cs="Arial"/>
          <w:szCs w:val="24"/>
          <w:lang w:eastAsia="en-GB"/>
        </w:rPr>
        <w:tab/>
      </w:r>
      <w:r w:rsidR="00E12727" w:rsidRPr="0063746C">
        <w:rPr>
          <w:rFonts w:eastAsia="Calibri" w:cs="Arial"/>
          <w:szCs w:val="24"/>
        </w:rPr>
        <w:t>Σ</w:t>
      </w:r>
      <w:r w:rsidR="00955498">
        <w:rPr>
          <w:rFonts w:eastAsia="Calibri" w:cs="Arial"/>
          <w:szCs w:val="24"/>
        </w:rPr>
        <w:t>ύμφωνα επίσης με τα στοιχεία που κατατέθηκαν στην επιτροπή, σκοπός του Ταμείου είναι η επιχορήγηση ή/και επιδότηση διάφορων επενδύσεων ή/και δραστηριοτήτων προώθησης της ενέργειας από ανανεώσιμες πηγές και της εξοικονόμησης ενέργειας, με στόχο τη συνεισφορά στην επίτευξη των δεσμευτικών εθνικών συνολικών στόχων της Δημοκρατίας αναφορικά με την ενέργεια και το κλίμα.</w:t>
      </w:r>
    </w:p>
    <w:p w14:paraId="04A89A11" w14:textId="281934A5" w:rsidR="002F3EDE" w:rsidRDefault="002F3EDE" w:rsidP="00955498">
      <w:pPr>
        <w:pStyle w:val="BodyText2"/>
        <w:rPr>
          <w:rFonts w:eastAsia="Calibri" w:cs="Arial"/>
          <w:szCs w:val="24"/>
        </w:rPr>
      </w:pPr>
      <w:r>
        <w:rPr>
          <w:rFonts w:eastAsia="Calibri" w:cs="Arial"/>
          <w:szCs w:val="24"/>
        </w:rPr>
        <w:tab/>
      </w:r>
      <w:r w:rsidR="00371F50">
        <w:rPr>
          <w:rFonts w:eastAsia="Calibri" w:cs="Arial"/>
          <w:szCs w:val="24"/>
        </w:rPr>
        <w:t xml:space="preserve">Στο πλαίσιο της συζήτησης ενώπιον της επιτροπής ο </w:t>
      </w:r>
      <w:r w:rsidR="00296964">
        <w:rPr>
          <w:rFonts w:eastAsia="Calibri" w:cs="Arial"/>
          <w:szCs w:val="24"/>
        </w:rPr>
        <w:t>δ</w:t>
      </w:r>
      <w:r w:rsidR="00371F50">
        <w:rPr>
          <w:rFonts w:eastAsia="Calibri" w:cs="Arial"/>
          <w:szCs w:val="24"/>
        </w:rPr>
        <w:t>ιευθυντής της Υπηρεσίας Ενέργειας</w:t>
      </w:r>
      <w:r w:rsidR="00E35E97">
        <w:rPr>
          <w:rFonts w:eastAsia="Calibri" w:cs="Arial"/>
          <w:szCs w:val="24"/>
        </w:rPr>
        <w:t xml:space="preserve"> του Υπουργείου Ενέργειας, Εμπορίου και Βιομηχανίας ενημέρωσε την επιτροπή </w:t>
      </w:r>
      <w:r w:rsidR="00756F9F">
        <w:rPr>
          <w:rFonts w:eastAsia="Calibri" w:cs="Arial"/>
          <w:szCs w:val="24"/>
        </w:rPr>
        <w:t xml:space="preserve">για </w:t>
      </w:r>
      <w:r w:rsidR="004A7568">
        <w:rPr>
          <w:rFonts w:eastAsia="Calibri" w:cs="Arial"/>
          <w:szCs w:val="24"/>
        </w:rPr>
        <w:t xml:space="preserve">την εφαρμογή των σχεδίων </w:t>
      </w:r>
      <w:r w:rsidR="00756F9F">
        <w:rPr>
          <w:rFonts w:eastAsia="Calibri" w:cs="Arial"/>
          <w:szCs w:val="24"/>
        </w:rPr>
        <w:t>επιχορηγήσεων και επιδοτήσεων που καταρτίστηκαν από το Ταμείο</w:t>
      </w:r>
      <w:r w:rsidR="00B0071C">
        <w:rPr>
          <w:rFonts w:eastAsia="Calibri" w:cs="Arial"/>
          <w:szCs w:val="24"/>
        </w:rPr>
        <w:t>,</w:t>
      </w:r>
      <w:r w:rsidR="00756F9F">
        <w:rPr>
          <w:rFonts w:eastAsia="Calibri" w:cs="Arial"/>
          <w:szCs w:val="24"/>
        </w:rPr>
        <w:t xml:space="preserve"> καθώς και για την ολοκλήρωση του νομοτεχνικού ελέγχου του προσχεδίου των κανονισμών που ρυθμίζουν τον υπολογισμό του τέλους κατανάλωσης, </w:t>
      </w:r>
      <w:r w:rsidR="00DA34F7">
        <w:rPr>
          <w:rFonts w:eastAsia="Calibri" w:cs="Arial"/>
          <w:szCs w:val="24"/>
        </w:rPr>
        <w:t xml:space="preserve">οι οποίοι </w:t>
      </w:r>
      <w:r w:rsidR="00756F9F">
        <w:rPr>
          <w:rFonts w:eastAsia="Calibri" w:cs="Arial"/>
          <w:szCs w:val="24"/>
        </w:rPr>
        <w:t>αναμένεται σύντομα να κατατεθ</w:t>
      </w:r>
      <w:r w:rsidR="00DA34F7">
        <w:rPr>
          <w:rFonts w:eastAsia="Calibri" w:cs="Arial"/>
          <w:szCs w:val="24"/>
        </w:rPr>
        <w:t>ούν</w:t>
      </w:r>
      <w:r w:rsidR="00756F9F">
        <w:rPr>
          <w:rFonts w:eastAsia="Calibri" w:cs="Arial"/>
          <w:szCs w:val="24"/>
        </w:rPr>
        <w:t xml:space="preserve"> στη Βουλή των Αντιπροσώπων.</w:t>
      </w:r>
    </w:p>
    <w:p w14:paraId="725D03D7" w14:textId="26D0F20B" w:rsidR="00002E3C" w:rsidRDefault="00E12727" w:rsidP="00955498">
      <w:pPr>
        <w:pStyle w:val="BodyText2"/>
        <w:rPr>
          <w:rFonts w:cs="Arial"/>
          <w:szCs w:val="24"/>
        </w:rPr>
      </w:pPr>
      <w:r w:rsidRPr="00A17A3E">
        <w:rPr>
          <w:rFonts w:eastAsia="Calibri" w:cs="Arial"/>
          <w:szCs w:val="24"/>
        </w:rPr>
        <w:tab/>
      </w:r>
      <w:r w:rsidR="00002E3C" w:rsidRPr="00A17A3E">
        <w:rPr>
          <w:rFonts w:cs="Arial"/>
          <w:szCs w:val="24"/>
        </w:rPr>
        <w:t xml:space="preserve">Η Κοινοβουλευτική Επιτροπή Ενέργειας, Εμπορίου, Βιομηχανίας και Τουρισμού, αφού έλαβε υπόψη όλα όσα τέθηκαν ενώπιόν της, </w:t>
      </w:r>
      <w:r w:rsidR="00383AD8">
        <w:rPr>
          <w:rFonts w:cs="Arial"/>
          <w:szCs w:val="24"/>
        </w:rPr>
        <w:t>ομόφωνα εισηγείται την ψήφιση του νομοσχεδίου σε νόμο.</w:t>
      </w:r>
    </w:p>
    <w:p w14:paraId="4B851689" w14:textId="26897B68" w:rsidR="00974848" w:rsidRPr="000C3618" w:rsidRDefault="00974848" w:rsidP="002B7C51">
      <w:pPr>
        <w:tabs>
          <w:tab w:val="left" w:pos="567"/>
          <w:tab w:val="left" w:pos="4961"/>
        </w:tabs>
        <w:spacing w:after="0"/>
        <w:rPr>
          <w:rFonts w:ascii="Arial" w:hAnsi="Arial" w:cs="Arial"/>
          <w:sz w:val="24"/>
          <w:szCs w:val="24"/>
        </w:rPr>
      </w:pPr>
    </w:p>
    <w:p w14:paraId="034FFA36" w14:textId="2E3E8A4A" w:rsidR="000C3618" w:rsidRPr="000C3618" w:rsidRDefault="000C3618" w:rsidP="002B7C51">
      <w:pPr>
        <w:tabs>
          <w:tab w:val="left" w:pos="567"/>
          <w:tab w:val="left" w:pos="4961"/>
        </w:tabs>
        <w:spacing w:after="0"/>
        <w:rPr>
          <w:rFonts w:ascii="Arial" w:hAnsi="Arial" w:cs="Arial"/>
          <w:sz w:val="24"/>
          <w:szCs w:val="24"/>
        </w:rPr>
      </w:pPr>
    </w:p>
    <w:p w14:paraId="7F4198F4" w14:textId="1295BF1B" w:rsidR="000C3618" w:rsidRPr="000C3618" w:rsidRDefault="000C3618" w:rsidP="002B7C51">
      <w:pPr>
        <w:tabs>
          <w:tab w:val="left" w:pos="567"/>
          <w:tab w:val="left" w:pos="4961"/>
        </w:tabs>
        <w:spacing w:after="0"/>
        <w:rPr>
          <w:rFonts w:ascii="Arial" w:hAnsi="Arial" w:cs="Arial"/>
          <w:sz w:val="24"/>
          <w:szCs w:val="24"/>
        </w:rPr>
      </w:pPr>
    </w:p>
    <w:p w14:paraId="15D12908" w14:textId="77777777" w:rsidR="000C3618" w:rsidRPr="000C3618" w:rsidRDefault="000C3618" w:rsidP="002B7C51">
      <w:pPr>
        <w:tabs>
          <w:tab w:val="left" w:pos="567"/>
          <w:tab w:val="left" w:pos="4961"/>
        </w:tabs>
        <w:spacing w:after="0"/>
        <w:rPr>
          <w:rFonts w:ascii="Arial" w:hAnsi="Arial" w:cs="Arial"/>
          <w:sz w:val="24"/>
          <w:szCs w:val="24"/>
        </w:rPr>
      </w:pPr>
    </w:p>
    <w:p w14:paraId="4434782E" w14:textId="11A4527D" w:rsidR="00E12727" w:rsidRPr="0063746C" w:rsidRDefault="00383AD8" w:rsidP="002B7C51">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15</w:t>
      </w:r>
      <w:r w:rsidR="00955498">
        <w:rPr>
          <w:rFonts w:ascii="Arial" w:hAnsi="Arial" w:cs="Arial"/>
          <w:sz w:val="24"/>
          <w:szCs w:val="24"/>
        </w:rPr>
        <w:t xml:space="preserve"> Νοεμβρίου </w:t>
      </w:r>
      <w:r w:rsidR="00D21BAB">
        <w:rPr>
          <w:rFonts w:ascii="Arial" w:hAnsi="Arial" w:cs="Arial"/>
          <w:sz w:val="24"/>
          <w:szCs w:val="24"/>
        </w:rPr>
        <w:t>2022</w:t>
      </w:r>
    </w:p>
    <w:p w14:paraId="2BF3598C" w14:textId="23224D75" w:rsidR="00E12727" w:rsidRPr="0063746C" w:rsidRDefault="00E12727" w:rsidP="002B7C51">
      <w:pPr>
        <w:widowControl w:val="0"/>
        <w:tabs>
          <w:tab w:val="left" w:pos="567"/>
          <w:tab w:val="left" w:pos="4961"/>
        </w:tabs>
        <w:spacing w:after="0" w:line="480" w:lineRule="auto"/>
        <w:jc w:val="both"/>
        <w:rPr>
          <w:rFonts w:ascii="Arial" w:hAnsi="Arial" w:cs="Arial"/>
          <w:sz w:val="24"/>
          <w:szCs w:val="24"/>
        </w:rPr>
      </w:pPr>
      <w:r w:rsidRPr="0063746C">
        <w:rPr>
          <w:rFonts w:ascii="Arial" w:hAnsi="Arial" w:cs="Arial"/>
          <w:sz w:val="24"/>
          <w:szCs w:val="24"/>
        </w:rPr>
        <w:t>Αρ. Φακ.:  23.01.063.</w:t>
      </w:r>
      <w:r w:rsidR="00955498">
        <w:rPr>
          <w:rFonts w:ascii="Arial" w:hAnsi="Arial" w:cs="Arial"/>
          <w:sz w:val="24"/>
          <w:szCs w:val="24"/>
        </w:rPr>
        <w:t>208</w:t>
      </w:r>
      <w:r w:rsidRPr="0063746C">
        <w:rPr>
          <w:rFonts w:ascii="Arial" w:hAnsi="Arial" w:cs="Arial"/>
          <w:sz w:val="24"/>
          <w:szCs w:val="24"/>
        </w:rPr>
        <w:t>-2022</w:t>
      </w:r>
    </w:p>
    <w:p w14:paraId="43125992" w14:textId="1C1CE3AA" w:rsidR="008B0F58" w:rsidRPr="00F026F7" w:rsidRDefault="00D21BAB" w:rsidP="00C946E2">
      <w:pPr>
        <w:widowControl w:val="0"/>
        <w:tabs>
          <w:tab w:val="left" w:pos="567"/>
          <w:tab w:val="left" w:pos="4961"/>
        </w:tabs>
        <w:spacing w:after="0" w:line="480" w:lineRule="auto"/>
        <w:jc w:val="both"/>
        <w:rPr>
          <w:rFonts w:ascii="Arial" w:hAnsi="Arial" w:cs="Arial"/>
          <w:sz w:val="20"/>
          <w:szCs w:val="20"/>
        </w:rPr>
      </w:pPr>
      <w:r>
        <w:rPr>
          <w:rFonts w:ascii="Arial" w:hAnsi="Arial" w:cs="Arial"/>
          <w:sz w:val="20"/>
          <w:szCs w:val="20"/>
        </w:rPr>
        <w:t>ΝΚ</w:t>
      </w:r>
      <w:r w:rsidR="00967864">
        <w:rPr>
          <w:rFonts w:ascii="Arial" w:hAnsi="Arial" w:cs="Arial"/>
          <w:sz w:val="20"/>
          <w:szCs w:val="20"/>
        </w:rPr>
        <w:t>/</w:t>
      </w:r>
      <w:r w:rsidR="008B6180">
        <w:rPr>
          <w:rFonts w:ascii="Arial" w:hAnsi="Arial" w:cs="Arial"/>
          <w:sz w:val="20"/>
          <w:szCs w:val="20"/>
        </w:rPr>
        <w:t>ΣΓΘ, ΑΓ/</w:t>
      </w:r>
      <w:r w:rsidR="00964F81">
        <w:rPr>
          <w:rFonts w:ascii="Arial" w:hAnsi="Arial" w:cs="Arial"/>
          <w:sz w:val="20"/>
          <w:szCs w:val="20"/>
        </w:rPr>
        <w:t>ΜΕ</w:t>
      </w:r>
    </w:p>
    <w:sectPr w:rsidR="008B0F58" w:rsidRPr="00F026F7" w:rsidSect="00B35DD7">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DE41A" w14:textId="77777777" w:rsidR="001164E3" w:rsidRDefault="001164E3">
      <w:pPr>
        <w:spacing w:after="0" w:line="240" w:lineRule="auto"/>
      </w:pPr>
      <w:r>
        <w:separator/>
      </w:r>
    </w:p>
  </w:endnote>
  <w:endnote w:type="continuationSeparator" w:id="0">
    <w:p w14:paraId="4BD4178C" w14:textId="77777777" w:rsidR="001164E3" w:rsidRDefault="0011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Founder Extended)">
    <w:altName w:val="SimSun"/>
    <w:charset w:val="86"/>
    <w:family w:val="script"/>
    <w:pitch w:val="fixed"/>
    <w:sig w:usb0="00000000"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AA74" w14:textId="77777777" w:rsidR="001164E3" w:rsidRDefault="001164E3">
      <w:pPr>
        <w:spacing w:after="0" w:line="240" w:lineRule="auto"/>
      </w:pPr>
      <w:r>
        <w:separator/>
      </w:r>
    </w:p>
  </w:footnote>
  <w:footnote w:type="continuationSeparator" w:id="0">
    <w:p w14:paraId="4BD402BC" w14:textId="77777777" w:rsidR="001164E3" w:rsidRDefault="00116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45303"/>
      <w:docPartObj>
        <w:docPartGallery w:val="Page Numbers (Top of Page)"/>
        <w:docPartUnique/>
      </w:docPartObj>
    </w:sdtPr>
    <w:sdtEndPr>
      <w:rPr>
        <w:rFonts w:ascii="Arial" w:hAnsi="Arial" w:cs="Arial"/>
        <w:noProof/>
        <w:sz w:val="24"/>
        <w:szCs w:val="24"/>
      </w:rPr>
    </w:sdtEndPr>
    <w:sdtContent>
      <w:p w14:paraId="386E3500" w14:textId="77777777" w:rsidR="00FF6D87" w:rsidRPr="00D2734A" w:rsidRDefault="00EB25E8">
        <w:pPr>
          <w:pStyle w:val="Header"/>
          <w:jc w:val="center"/>
          <w:rPr>
            <w:rFonts w:ascii="Arial" w:hAnsi="Arial" w:cs="Arial"/>
            <w:sz w:val="24"/>
            <w:szCs w:val="24"/>
          </w:rPr>
        </w:pPr>
        <w:r w:rsidRPr="00D2734A">
          <w:rPr>
            <w:rFonts w:ascii="Arial" w:hAnsi="Arial" w:cs="Arial"/>
            <w:sz w:val="24"/>
            <w:szCs w:val="24"/>
          </w:rPr>
          <w:fldChar w:fldCharType="begin"/>
        </w:r>
        <w:r w:rsidRPr="00D2734A">
          <w:rPr>
            <w:rFonts w:ascii="Arial" w:hAnsi="Arial" w:cs="Arial"/>
            <w:sz w:val="24"/>
            <w:szCs w:val="24"/>
          </w:rPr>
          <w:instrText xml:space="preserve"> PAGE   \* MERGEFORMAT </w:instrText>
        </w:r>
        <w:r w:rsidRPr="00D2734A">
          <w:rPr>
            <w:rFonts w:ascii="Arial" w:hAnsi="Arial" w:cs="Arial"/>
            <w:sz w:val="24"/>
            <w:szCs w:val="24"/>
          </w:rPr>
          <w:fldChar w:fldCharType="separate"/>
        </w:r>
        <w:r w:rsidRPr="00D2734A">
          <w:rPr>
            <w:rFonts w:ascii="Arial" w:hAnsi="Arial" w:cs="Arial"/>
            <w:noProof/>
            <w:sz w:val="24"/>
            <w:szCs w:val="24"/>
          </w:rPr>
          <w:t>2</w:t>
        </w:r>
        <w:r w:rsidRPr="00D2734A">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22E36"/>
    <w:multiLevelType w:val="hybridMultilevel"/>
    <w:tmpl w:val="FF642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DD339FD"/>
    <w:multiLevelType w:val="hybridMultilevel"/>
    <w:tmpl w:val="0CD0EE3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 w15:restartNumberingAfterBreak="0">
    <w:nsid w:val="4EC40568"/>
    <w:multiLevelType w:val="hybridMultilevel"/>
    <w:tmpl w:val="48C28AB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62EB2639"/>
    <w:multiLevelType w:val="hybridMultilevel"/>
    <w:tmpl w:val="3138850E"/>
    <w:lvl w:ilvl="0" w:tplc="CF5EE162">
      <w:start w:val="1"/>
      <w:numFmt w:val="decimal"/>
      <w:lvlText w:val="%1."/>
      <w:lvlJc w:val="left"/>
      <w:pPr>
        <w:ind w:left="570" w:hanging="570"/>
      </w:pPr>
      <w:rPr>
        <w:rFonts w:ascii="Arial" w:eastAsia="Calibri" w:hAnsi="Arial" w:cs="Times New Roman"/>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4" w15:restartNumberingAfterBreak="0">
    <w:nsid w:val="6AF464CE"/>
    <w:multiLevelType w:val="hybridMultilevel"/>
    <w:tmpl w:val="59C8C5C8"/>
    <w:lvl w:ilvl="0" w:tplc="DE54E1A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EDD5DDE"/>
    <w:multiLevelType w:val="hybridMultilevel"/>
    <w:tmpl w:val="EEF83DCC"/>
    <w:lvl w:ilvl="0" w:tplc="0408000F">
      <w:start w:val="1"/>
      <w:numFmt w:val="decimal"/>
      <w:lvlText w:val="%1."/>
      <w:lvlJc w:val="left"/>
      <w:pPr>
        <w:ind w:left="305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71046FBE"/>
    <w:multiLevelType w:val="hybridMultilevel"/>
    <w:tmpl w:val="5444105C"/>
    <w:lvl w:ilvl="0" w:tplc="0408000F">
      <w:start w:val="1"/>
      <w:numFmt w:val="decimal"/>
      <w:lvlText w:val="%1."/>
      <w:lvlJc w:val="left"/>
      <w:pPr>
        <w:ind w:left="2912"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735139AE"/>
    <w:multiLevelType w:val="hybridMultilevel"/>
    <w:tmpl w:val="815E84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0071D6"/>
    <w:multiLevelType w:val="hybridMultilevel"/>
    <w:tmpl w:val="61C640AA"/>
    <w:lvl w:ilvl="0" w:tplc="0408000F">
      <w:start w:val="1"/>
      <w:numFmt w:val="decimal"/>
      <w:lvlText w:val="%1."/>
      <w:lvlJc w:val="left"/>
      <w:pPr>
        <w:ind w:left="786"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CE82C0B"/>
    <w:multiLevelType w:val="hybridMultilevel"/>
    <w:tmpl w:val="F95275D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7841049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1712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59785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1610883">
    <w:abstractNumId w:val="8"/>
  </w:num>
  <w:num w:numId="5" w16cid:durableId="157383277">
    <w:abstractNumId w:val="0"/>
  </w:num>
  <w:num w:numId="6" w16cid:durableId="449519230">
    <w:abstractNumId w:val="5"/>
  </w:num>
  <w:num w:numId="7" w16cid:durableId="463931229">
    <w:abstractNumId w:val="4"/>
  </w:num>
  <w:num w:numId="8" w16cid:durableId="20480982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5482503">
    <w:abstractNumId w:val="7"/>
  </w:num>
  <w:num w:numId="10" w16cid:durableId="1655992078">
    <w:abstractNumId w:val="3"/>
  </w:num>
  <w:num w:numId="11" w16cid:durableId="1757289675">
    <w:abstractNumId w:val="2"/>
  </w:num>
  <w:num w:numId="12" w16cid:durableId="12495803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27"/>
    <w:rsid w:val="00002E3C"/>
    <w:rsid w:val="00012763"/>
    <w:rsid w:val="00013643"/>
    <w:rsid w:val="00020865"/>
    <w:rsid w:val="00035005"/>
    <w:rsid w:val="000371A1"/>
    <w:rsid w:val="000402B7"/>
    <w:rsid w:val="00063621"/>
    <w:rsid w:val="00070CEA"/>
    <w:rsid w:val="000801EB"/>
    <w:rsid w:val="00080689"/>
    <w:rsid w:val="00093BB2"/>
    <w:rsid w:val="000C2F8D"/>
    <w:rsid w:val="000C3618"/>
    <w:rsid w:val="000C73EE"/>
    <w:rsid w:val="000E10E7"/>
    <w:rsid w:val="000E506B"/>
    <w:rsid w:val="001164E3"/>
    <w:rsid w:val="00132B2B"/>
    <w:rsid w:val="00145CFC"/>
    <w:rsid w:val="00146CCB"/>
    <w:rsid w:val="00146D6B"/>
    <w:rsid w:val="00152065"/>
    <w:rsid w:val="00156620"/>
    <w:rsid w:val="00187F93"/>
    <w:rsid w:val="0019102F"/>
    <w:rsid w:val="00191722"/>
    <w:rsid w:val="00194173"/>
    <w:rsid w:val="001A1D0A"/>
    <w:rsid w:val="001B59C2"/>
    <w:rsid w:val="001C0286"/>
    <w:rsid w:val="001E0655"/>
    <w:rsid w:val="00201CAE"/>
    <w:rsid w:val="00211895"/>
    <w:rsid w:val="00226930"/>
    <w:rsid w:val="00243CD4"/>
    <w:rsid w:val="00244A0B"/>
    <w:rsid w:val="0028010D"/>
    <w:rsid w:val="00284358"/>
    <w:rsid w:val="00296964"/>
    <w:rsid w:val="002B18F6"/>
    <w:rsid w:val="002B5B2F"/>
    <w:rsid w:val="002B7C51"/>
    <w:rsid w:val="002C6256"/>
    <w:rsid w:val="002E5A9B"/>
    <w:rsid w:val="002E6B0A"/>
    <w:rsid w:val="002F3EDE"/>
    <w:rsid w:val="002F6D3B"/>
    <w:rsid w:val="00303B9B"/>
    <w:rsid w:val="00305F1E"/>
    <w:rsid w:val="00315E98"/>
    <w:rsid w:val="00316560"/>
    <w:rsid w:val="003308B8"/>
    <w:rsid w:val="00344BED"/>
    <w:rsid w:val="00351FC7"/>
    <w:rsid w:val="003634EB"/>
    <w:rsid w:val="00366022"/>
    <w:rsid w:val="00371F50"/>
    <w:rsid w:val="00382E4D"/>
    <w:rsid w:val="00383AD8"/>
    <w:rsid w:val="003B1A20"/>
    <w:rsid w:val="003B695E"/>
    <w:rsid w:val="003C1E4A"/>
    <w:rsid w:val="003C6142"/>
    <w:rsid w:val="003E41E7"/>
    <w:rsid w:val="00407A73"/>
    <w:rsid w:val="00416BBF"/>
    <w:rsid w:val="004450C7"/>
    <w:rsid w:val="00450101"/>
    <w:rsid w:val="0045648A"/>
    <w:rsid w:val="004762F7"/>
    <w:rsid w:val="004A7568"/>
    <w:rsid w:val="004D5A3B"/>
    <w:rsid w:val="004D6CF3"/>
    <w:rsid w:val="004E0287"/>
    <w:rsid w:val="005028EF"/>
    <w:rsid w:val="00503630"/>
    <w:rsid w:val="005166E0"/>
    <w:rsid w:val="00516F92"/>
    <w:rsid w:val="005216D9"/>
    <w:rsid w:val="00532094"/>
    <w:rsid w:val="00540A8A"/>
    <w:rsid w:val="00551CAA"/>
    <w:rsid w:val="00567065"/>
    <w:rsid w:val="005841A6"/>
    <w:rsid w:val="00590B6D"/>
    <w:rsid w:val="00596330"/>
    <w:rsid w:val="005B3820"/>
    <w:rsid w:val="005E40BB"/>
    <w:rsid w:val="005E4B5C"/>
    <w:rsid w:val="005E5E82"/>
    <w:rsid w:val="00604BFD"/>
    <w:rsid w:val="00607417"/>
    <w:rsid w:val="006162BB"/>
    <w:rsid w:val="00630620"/>
    <w:rsid w:val="00630F4E"/>
    <w:rsid w:val="0063746C"/>
    <w:rsid w:val="00644B90"/>
    <w:rsid w:val="006462EB"/>
    <w:rsid w:val="00673033"/>
    <w:rsid w:val="00673BFD"/>
    <w:rsid w:val="00685DF5"/>
    <w:rsid w:val="00696D5B"/>
    <w:rsid w:val="006B42E6"/>
    <w:rsid w:val="006B6EDD"/>
    <w:rsid w:val="006D5F74"/>
    <w:rsid w:val="006D67CA"/>
    <w:rsid w:val="006E04ED"/>
    <w:rsid w:val="006E3664"/>
    <w:rsid w:val="0070292E"/>
    <w:rsid w:val="0070458F"/>
    <w:rsid w:val="00722598"/>
    <w:rsid w:val="007279C3"/>
    <w:rsid w:val="007376F2"/>
    <w:rsid w:val="00742F08"/>
    <w:rsid w:val="00746632"/>
    <w:rsid w:val="00756F9F"/>
    <w:rsid w:val="00770F90"/>
    <w:rsid w:val="00773589"/>
    <w:rsid w:val="0079300E"/>
    <w:rsid w:val="007A1770"/>
    <w:rsid w:val="007A1818"/>
    <w:rsid w:val="007A27E3"/>
    <w:rsid w:val="007B03DF"/>
    <w:rsid w:val="007B1148"/>
    <w:rsid w:val="007B142D"/>
    <w:rsid w:val="007B15B3"/>
    <w:rsid w:val="007C478B"/>
    <w:rsid w:val="007E04EB"/>
    <w:rsid w:val="007F154F"/>
    <w:rsid w:val="007F6E6E"/>
    <w:rsid w:val="00803D95"/>
    <w:rsid w:val="008042B2"/>
    <w:rsid w:val="0080770F"/>
    <w:rsid w:val="00816819"/>
    <w:rsid w:val="00821C21"/>
    <w:rsid w:val="008260A0"/>
    <w:rsid w:val="00834B79"/>
    <w:rsid w:val="00835A3A"/>
    <w:rsid w:val="00837905"/>
    <w:rsid w:val="00845461"/>
    <w:rsid w:val="00860BE2"/>
    <w:rsid w:val="0086449A"/>
    <w:rsid w:val="00872079"/>
    <w:rsid w:val="00883E21"/>
    <w:rsid w:val="00891ED3"/>
    <w:rsid w:val="00892466"/>
    <w:rsid w:val="008B0F58"/>
    <w:rsid w:val="008B6180"/>
    <w:rsid w:val="008C77A3"/>
    <w:rsid w:val="008D14AD"/>
    <w:rsid w:val="008D476C"/>
    <w:rsid w:val="008E6C24"/>
    <w:rsid w:val="008E6DF8"/>
    <w:rsid w:val="008E7872"/>
    <w:rsid w:val="00913167"/>
    <w:rsid w:val="009430AD"/>
    <w:rsid w:val="00952988"/>
    <w:rsid w:val="00955498"/>
    <w:rsid w:val="009600B6"/>
    <w:rsid w:val="00963BEA"/>
    <w:rsid w:val="00964F81"/>
    <w:rsid w:val="00967864"/>
    <w:rsid w:val="00970953"/>
    <w:rsid w:val="00974848"/>
    <w:rsid w:val="00975FB5"/>
    <w:rsid w:val="0097698B"/>
    <w:rsid w:val="00981ECD"/>
    <w:rsid w:val="009901DA"/>
    <w:rsid w:val="00992FD7"/>
    <w:rsid w:val="00994B65"/>
    <w:rsid w:val="009951D9"/>
    <w:rsid w:val="009B3367"/>
    <w:rsid w:val="009F6170"/>
    <w:rsid w:val="00A016F2"/>
    <w:rsid w:val="00A12C9D"/>
    <w:rsid w:val="00A17A3E"/>
    <w:rsid w:val="00A26A2D"/>
    <w:rsid w:val="00A27E20"/>
    <w:rsid w:val="00A30A76"/>
    <w:rsid w:val="00A6000E"/>
    <w:rsid w:val="00A743AD"/>
    <w:rsid w:val="00A83225"/>
    <w:rsid w:val="00AA4A79"/>
    <w:rsid w:val="00AA5FAD"/>
    <w:rsid w:val="00AD3741"/>
    <w:rsid w:val="00AE191C"/>
    <w:rsid w:val="00AE54D8"/>
    <w:rsid w:val="00AF2368"/>
    <w:rsid w:val="00B0071C"/>
    <w:rsid w:val="00B015B5"/>
    <w:rsid w:val="00B13796"/>
    <w:rsid w:val="00B227DC"/>
    <w:rsid w:val="00B2478E"/>
    <w:rsid w:val="00B24D4B"/>
    <w:rsid w:val="00B35DD7"/>
    <w:rsid w:val="00B47C7F"/>
    <w:rsid w:val="00B51170"/>
    <w:rsid w:val="00B62037"/>
    <w:rsid w:val="00B65806"/>
    <w:rsid w:val="00B73175"/>
    <w:rsid w:val="00B84569"/>
    <w:rsid w:val="00B96129"/>
    <w:rsid w:val="00B973F2"/>
    <w:rsid w:val="00BC0275"/>
    <w:rsid w:val="00BC3A3E"/>
    <w:rsid w:val="00BD034D"/>
    <w:rsid w:val="00BE5018"/>
    <w:rsid w:val="00BF048A"/>
    <w:rsid w:val="00C002EC"/>
    <w:rsid w:val="00C1285E"/>
    <w:rsid w:val="00C226B2"/>
    <w:rsid w:val="00C53C45"/>
    <w:rsid w:val="00C54CAC"/>
    <w:rsid w:val="00C67447"/>
    <w:rsid w:val="00C7678F"/>
    <w:rsid w:val="00C77888"/>
    <w:rsid w:val="00C946E2"/>
    <w:rsid w:val="00C972B2"/>
    <w:rsid w:val="00CA3377"/>
    <w:rsid w:val="00CB1BC7"/>
    <w:rsid w:val="00CD07DB"/>
    <w:rsid w:val="00CE1148"/>
    <w:rsid w:val="00CF015B"/>
    <w:rsid w:val="00CF16BE"/>
    <w:rsid w:val="00CF5D3E"/>
    <w:rsid w:val="00D04542"/>
    <w:rsid w:val="00D05CF4"/>
    <w:rsid w:val="00D21BAB"/>
    <w:rsid w:val="00D2707F"/>
    <w:rsid w:val="00D2734A"/>
    <w:rsid w:val="00D32D85"/>
    <w:rsid w:val="00D3675B"/>
    <w:rsid w:val="00D42B53"/>
    <w:rsid w:val="00D43BCE"/>
    <w:rsid w:val="00D54042"/>
    <w:rsid w:val="00D54F96"/>
    <w:rsid w:val="00D61FBE"/>
    <w:rsid w:val="00D7510D"/>
    <w:rsid w:val="00D765D6"/>
    <w:rsid w:val="00D83173"/>
    <w:rsid w:val="00D9372F"/>
    <w:rsid w:val="00DA34F7"/>
    <w:rsid w:val="00DB1874"/>
    <w:rsid w:val="00DC1EAF"/>
    <w:rsid w:val="00DD0A7E"/>
    <w:rsid w:val="00DF5917"/>
    <w:rsid w:val="00E034C7"/>
    <w:rsid w:val="00E12727"/>
    <w:rsid w:val="00E1541F"/>
    <w:rsid w:val="00E33DD4"/>
    <w:rsid w:val="00E35E97"/>
    <w:rsid w:val="00E373F5"/>
    <w:rsid w:val="00E40875"/>
    <w:rsid w:val="00E50B3D"/>
    <w:rsid w:val="00E538A6"/>
    <w:rsid w:val="00E562EA"/>
    <w:rsid w:val="00E71251"/>
    <w:rsid w:val="00E82555"/>
    <w:rsid w:val="00E92EAE"/>
    <w:rsid w:val="00EB25E8"/>
    <w:rsid w:val="00EB5229"/>
    <w:rsid w:val="00EC18AB"/>
    <w:rsid w:val="00EC3A53"/>
    <w:rsid w:val="00ED2CD0"/>
    <w:rsid w:val="00EE60EB"/>
    <w:rsid w:val="00F009DF"/>
    <w:rsid w:val="00F026F7"/>
    <w:rsid w:val="00F03567"/>
    <w:rsid w:val="00F16844"/>
    <w:rsid w:val="00F253C2"/>
    <w:rsid w:val="00F40806"/>
    <w:rsid w:val="00F47519"/>
    <w:rsid w:val="00F53A34"/>
    <w:rsid w:val="00F546DA"/>
    <w:rsid w:val="00F56141"/>
    <w:rsid w:val="00F64643"/>
    <w:rsid w:val="00F67036"/>
    <w:rsid w:val="00F7611D"/>
    <w:rsid w:val="00F84CB2"/>
    <w:rsid w:val="00F91284"/>
    <w:rsid w:val="00FA522D"/>
    <w:rsid w:val="00FA76BC"/>
    <w:rsid w:val="00FB0B4F"/>
    <w:rsid w:val="00FB31AD"/>
    <w:rsid w:val="00FC24EE"/>
    <w:rsid w:val="00FD03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161D"/>
  <w15:chartTrackingRefBased/>
  <w15:docId w15:val="{379F343A-18EE-4720-AA42-70AB2B19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27"/>
    <w:pPr>
      <w:spacing w:line="256" w:lineRule="auto"/>
    </w:pPr>
  </w:style>
  <w:style w:type="paragraph" w:styleId="Heading3">
    <w:name w:val="heading 3"/>
    <w:basedOn w:val="Normal"/>
    <w:link w:val="Heading3Char"/>
    <w:uiPriority w:val="9"/>
    <w:qFormat/>
    <w:rsid w:val="00E1272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727"/>
    <w:rPr>
      <w:rFonts w:ascii="Times New Roman" w:eastAsia="Times New Roman" w:hAnsi="Times New Roman" w:cs="Times New Roman"/>
      <w:b/>
      <w:bCs/>
      <w:sz w:val="27"/>
      <w:szCs w:val="27"/>
      <w:lang w:eastAsia="el-GR"/>
    </w:rPr>
  </w:style>
  <w:style w:type="paragraph" w:styleId="BodyText2">
    <w:name w:val="Body Text 2"/>
    <w:basedOn w:val="Normal"/>
    <w:link w:val="BodyText2Char"/>
    <w:unhideWhenUsed/>
    <w:rsid w:val="00E12727"/>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E12727"/>
    <w:rPr>
      <w:rFonts w:ascii="Arial" w:eastAsia="Times New Roman" w:hAnsi="Arial" w:cs="Times New Roman"/>
      <w:sz w:val="24"/>
      <w:szCs w:val="20"/>
      <w:lang w:eastAsia="zh-CN"/>
    </w:rPr>
  </w:style>
  <w:style w:type="paragraph" w:styleId="ListParagraph">
    <w:name w:val="List Paragraph"/>
    <w:basedOn w:val="Normal"/>
    <w:uiPriority w:val="34"/>
    <w:qFormat/>
    <w:rsid w:val="00E12727"/>
    <w:pPr>
      <w:ind w:left="720"/>
      <w:contextualSpacing/>
    </w:pPr>
  </w:style>
  <w:style w:type="character" w:styleId="CommentReference">
    <w:name w:val="annotation reference"/>
    <w:basedOn w:val="DefaultParagraphFont"/>
    <w:uiPriority w:val="99"/>
    <w:semiHidden/>
    <w:unhideWhenUsed/>
    <w:rsid w:val="00E12727"/>
    <w:rPr>
      <w:sz w:val="16"/>
      <w:szCs w:val="16"/>
    </w:rPr>
  </w:style>
  <w:style w:type="paragraph" w:styleId="CommentText">
    <w:name w:val="annotation text"/>
    <w:basedOn w:val="Normal"/>
    <w:link w:val="CommentTextChar"/>
    <w:uiPriority w:val="99"/>
    <w:unhideWhenUsed/>
    <w:rsid w:val="00E12727"/>
    <w:pPr>
      <w:spacing w:line="240" w:lineRule="auto"/>
    </w:pPr>
    <w:rPr>
      <w:sz w:val="20"/>
      <w:szCs w:val="20"/>
    </w:rPr>
  </w:style>
  <w:style w:type="character" w:customStyle="1" w:styleId="CommentTextChar">
    <w:name w:val="Comment Text Char"/>
    <w:basedOn w:val="DefaultParagraphFont"/>
    <w:link w:val="CommentText"/>
    <w:uiPriority w:val="99"/>
    <w:rsid w:val="00E12727"/>
    <w:rPr>
      <w:sz w:val="20"/>
      <w:szCs w:val="20"/>
    </w:rPr>
  </w:style>
  <w:style w:type="paragraph" w:styleId="CommentSubject">
    <w:name w:val="annotation subject"/>
    <w:basedOn w:val="CommentText"/>
    <w:next w:val="CommentText"/>
    <w:link w:val="CommentSubjectChar"/>
    <w:uiPriority w:val="99"/>
    <w:semiHidden/>
    <w:unhideWhenUsed/>
    <w:rsid w:val="00E12727"/>
    <w:rPr>
      <w:b/>
      <w:bCs/>
    </w:rPr>
  </w:style>
  <w:style w:type="character" w:customStyle="1" w:styleId="CommentSubjectChar">
    <w:name w:val="Comment Subject Char"/>
    <w:basedOn w:val="CommentTextChar"/>
    <w:link w:val="CommentSubject"/>
    <w:uiPriority w:val="99"/>
    <w:semiHidden/>
    <w:rsid w:val="00E12727"/>
    <w:rPr>
      <w:b/>
      <w:bCs/>
      <w:sz w:val="20"/>
      <w:szCs w:val="20"/>
    </w:rPr>
  </w:style>
  <w:style w:type="paragraph" w:styleId="Header">
    <w:name w:val="header"/>
    <w:basedOn w:val="Normal"/>
    <w:link w:val="HeaderChar"/>
    <w:uiPriority w:val="99"/>
    <w:unhideWhenUsed/>
    <w:rsid w:val="00E127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727"/>
  </w:style>
  <w:style w:type="paragraph" w:styleId="Footer">
    <w:name w:val="footer"/>
    <w:basedOn w:val="Normal"/>
    <w:link w:val="FooterChar"/>
    <w:uiPriority w:val="99"/>
    <w:unhideWhenUsed/>
    <w:rsid w:val="00E127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727"/>
  </w:style>
  <w:style w:type="character" w:styleId="Hyperlink">
    <w:name w:val="Hyperlink"/>
    <w:basedOn w:val="DefaultParagraphFont"/>
    <w:uiPriority w:val="99"/>
    <w:semiHidden/>
    <w:unhideWhenUsed/>
    <w:rsid w:val="00E12727"/>
    <w:rPr>
      <w:color w:val="0000FF"/>
      <w:u w:val="single"/>
    </w:rPr>
  </w:style>
  <w:style w:type="character" w:customStyle="1" w:styleId="z4p7tc">
    <w:name w:val="z4p7tc"/>
    <w:basedOn w:val="DefaultParagraphFont"/>
    <w:rsid w:val="00E12727"/>
  </w:style>
  <w:style w:type="character" w:customStyle="1" w:styleId="legc9b">
    <w:name w:val="legc9b"/>
    <w:basedOn w:val="DefaultParagraphFont"/>
    <w:rsid w:val="00E12727"/>
  </w:style>
  <w:style w:type="paragraph" w:styleId="Revision">
    <w:name w:val="Revision"/>
    <w:hidden/>
    <w:uiPriority w:val="99"/>
    <w:semiHidden/>
    <w:rsid w:val="00D04542"/>
    <w:pPr>
      <w:spacing w:after="0" w:line="240" w:lineRule="auto"/>
    </w:pPr>
  </w:style>
  <w:style w:type="table" w:styleId="TableGrid">
    <w:name w:val="Table Grid"/>
    <w:basedOn w:val="TableNormal"/>
    <w:uiPriority w:val="39"/>
    <w:rsid w:val="0019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30887">
      <w:bodyDiv w:val="1"/>
      <w:marLeft w:val="0"/>
      <w:marRight w:val="0"/>
      <w:marTop w:val="0"/>
      <w:marBottom w:val="0"/>
      <w:divBdr>
        <w:top w:val="none" w:sz="0" w:space="0" w:color="auto"/>
        <w:left w:val="none" w:sz="0" w:space="0" w:color="auto"/>
        <w:bottom w:val="none" w:sz="0" w:space="0" w:color="auto"/>
        <w:right w:val="none" w:sz="0" w:space="0" w:color="auto"/>
      </w:divBdr>
    </w:div>
    <w:div w:id="382405885">
      <w:bodyDiv w:val="1"/>
      <w:marLeft w:val="0"/>
      <w:marRight w:val="0"/>
      <w:marTop w:val="0"/>
      <w:marBottom w:val="0"/>
      <w:divBdr>
        <w:top w:val="none" w:sz="0" w:space="0" w:color="auto"/>
        <w:left w:val="none" w:sz="0" w:space="0" w:color="auto"/>
        <w:bottom w:val="none" w:sz="0" w:space="0" w:color="auto"/>
        <w:right w:val="none" w:sz="0" w:space="0" w:color="auto"/>
      </w:divBdr>
    </w:div>
    <w:div w:id="632443637">
      <w:bodyDiv w:val="1"/>
      <w:marLeft w:val="0"/>
      <w:marRight w:val="0"/>
      <w:marTop w:val="0"/>
      <w:marBottom w:val="0"/>
      <w:divBdr>
        <w:top w:val="none" w:sz="0" w:space="0" w:color="auto"/>
        <w:left w:val="none" w:sz="0" w:space="0" w:color="auto"/>
        <w:bottom w:val="none" w:sz="0" w:space="0" w:color="auto"/>
        <w:right w:val="none" w:sz="0" w:space="0" w:color="auto"/>
      </w:divBdr>
    </w:div>
    <w:div w:id="663626231">
      <w:bodyDiv w:val="1"/>
      <w:marLeft w:val="0"/>
      <w:marRight w:val="0"/>
      <w:marTop w:val="0"/>
      <w:marBottom w:val="0"/>
      <w:divBdr>
        <w:top w:val="none" w:sz="0" w:space="0" w:color="auto"/>
        <w:left w:val="none" w:sz="0" w:space="0" w:color="auto"/>
        <w:bottom w:val="none" w:sz="0" w:space="0" w:color="auto"/>
        <w:right w:val="none" w:sz="0" w:space="0" w:color="auto"/>
      </w:divBdr>
    </w:div>
    <w:div w:id="1081684035">
      <w:bodyDiv w:val="1"/>
      <w:marLeft w:val="0"/>
      <w:marRight w:val="0"/>
      <w:marTop w:val="0"/>
      <w:marBottom w:val="0"/>
      <w:divBdr>
        <w:top w:val="none" w:sz="0" w:space="0" w:color="auto"/>
        <w:left w:val="none" w:sz="0" w:space="0" w:color="auto"/>
        <w:bottom w:val="none" w:sz="0" w:space="0" w:color="auto"/>
        <w:right w:val="none" w:sz="0" w:space="0" w:color="auto"/>
      </w:divBdr>
    </w:div>
    <w:div w:id="1155955628">
      <w:bodyDiv w:val="1"/>
      <w:marLeft w:val="0"/>
      <w:marRight w:val="0"/>
      <w:marTop w:val="0"/>
      <w:marBottom w:val="0"/>
      <w:divBdr>
        <w:top w:val="none" w:sz="0" w:space="0" w:color="auto"/>
        <w:left w:val="none" w:sz="0" w:space="0" w:color="auto"/>
        <w:bottom w:val="none" w:sz="0" w:space="0" w:color="auto"/>
        <w:right w:val="none" w:sz="0" w:space="0" w:color="auto"/>
      </w:divBdr>
    </w:div>
    <w:div w:id="1513760052">
      <w:bodyDiv w:val="1"/>
      <w:marLeft w:val="0"/>
      <w:marRight w:val="0"/>
      <w:marTop w:val="0"/>
      <w:marBottom w:val="0"/>
      <w:divBdr>
        <w:top w:val="none" w:sz="0" w:space="0" w:color="auto"/>
        <w:left w:val="none" w:sz="0" w:space="0" w:color="auto"/>
        <w:bottom w:val="none" w:sz="0" w:space="0" w:color="auto"/>
        <w:right w:val="none" w:sz="0" w:space="0" w:color="auto"/>
      </w:divBdr>
    </w:div>
    <w:div w:id="1632707701">
      <w:bodyDiv w:val="1"/>
      <w:marLeft w:val="0"/>
      <w:marRight w:val="0"/>
      <w:marTop w:val="0"/>
      <w:marBottom w:val="0"/>
      <w:divBdr>
        <w:top w:val="none" w:sz="0" w:space="0" w:color="auto"/>
        <w:left w:val="none" w:sz="0" w:space="0" w:color="auto"/>
        <w:bottom w:val="none" w:sz="0" w:space="0" w:color="auto"/>
        <w:right w:val="none" w:sz="0" w:space="0" w:color="auto"/>
      </w:divBdr>
    </w:div>
    <w:div w:id="19536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30DCA-37D3-4957-B64E-D82D0F54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613</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ΝΚαραγιάννη</dc:creator>
  <cp:keywords/>
  <dc:description/>
  <cp:lastModifiedBy>Antria Georgiou</cp:lastModifiedBy>
  <cp:revision>31</cp:revision>
  <cp:lastPrinted>2022-11-15T05:53:00Z</cp:lastPrinted>
  <dcterms:created xsi:type="dcterms:W3CDTF">2022-11-02T10:59:00Z</dcterms:created>
  <dcterms:modified xsi:type="dcterms:W3CDTF">2022-11-15T11:02:00Z</dcterms:modified>
</cp:coreProperties>
</file>