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3E4DD4EF" w:rsidR="006E3664" w:rsidRPr="0063746C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63746C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63746C">
        <w:rPr>
          <w:rFonts w:ascii="Arial" w:hAnsi="Arial" w:cs="Arial"/>
          <w:b/>
          <w:bCs/>
          <w:sz w:val="24"/>
          <w:szCs w:val="24"/>
        </w:rPr>
        <w:t>για τ</w:t>
      </w:r>
      <w:r w:rsidRPr="0063746C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>
        <w:rPr>
          <w:rFonts w:ascii="Arial" w:hAnsi="Arial" w:cs="Arial"/>
          <w:b/>
          <w:bCs/>
          <w:sz w:val="24"/>
          <w:szCs w:val="24"/>
        </w:rPr>
        <w:t>ο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«Ο περί </w:t>
      </w:r>
      <w:r w:rsidR="00C54CBA">
        <w:rPr>
          <w:rFonts w:ascii="Arial" w:hAnsi="Arial" w:cs="Arial"/>
          <w:b/>
          <w:bCs/>
          <w:sz w:val="24"/>
          <w:szCs w:val="24"/>
        </w:rPr>
        <w:t xml:space="preserve">Εξουσιοδότησης Συνεργείων και Έκδοσης Καρτών Ταχογράφου </w:t>
      </w:r>
      <w:r w:rsidRPr="0063746C">
        <w:rPr>
          <w:rFonts w:ascii="Arial" w:hAnsi="Arial" w:cs="Arial"/>
          <w:b/>
          <w:bCs/>
          <w:sz w:val="24"/>
          <w:szCs w:val="24"/>
        </w:rPr>
        <w:t>(Τροποποιητικός)</w:t>
      </w:r>
      <w:r w:rsidR="004C6221" w:rsidRPr="004C62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46C">
        <w:rPr>
          <w:rFonts w:ascii="Arial" w:hAnsi="Arial" w:cs="Arial"/>
          <w:b/>
          <w:bCs/>
          <w:sz w:val="24"/>
          <w:szCs w:val="24"/>
        </w:rPr>
        <w:t>Νόμος του 2022»</w:t>
      </w:r>
    </w:p>
    <w:p w14:paraId="136E104D" w14:textId="687D6A3C" w:rsidR="00E12727" w:rsidRPr="0063746C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67B1EEE8" w:rsidR="00A17A3E" w:rsidRDefault="00E12727" w:rsidP="00A743A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63746C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54CBA">
        <w:rPr>
          <w:rFonts w:ascii="Arial" w:eastAsia="Simsun (Founder Extended)" w:hAnsi="Arial" w:cs="Arial"/>
          <w:bCs/>
          <w:sz w:val="24"/>
          <w:szCs w:val="24"/>
          <w:lang w:eastAsia="zh-CN"/>
        </w:rPr>
        <w:t>Μαρίνος Μουσιούττας</w:t>
      </w: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871BB">
        <w:rPr>
          <w:rFonts w:ascii="Arial" w:eastAsia="Simsun (Founder Extended)" w:hAnsi="Arial" w:cs="Arial"/>
          <w:bCs/>
          <w:sz w:val="24"/>
          <w:szCs w:val="24"/>
          <w:lang w:eastAsia="zh-CN"/>
        </w:rPr>
        <w:t>Βαλεντίνος Φακοντής</w:t>
      </w:r>
    </w:p>
    <w:p w14:paraId="00742368" w14:textId="33EEB567" w:rsidR="00E12727" w:rsidRPr="00316560" w:rsidRDefault="00A17A3E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4CBA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871BB">
        <w:rPr>
          <w:rFonts w:ascii="Arial" w:eastAsia="Simsun (Founder Extended)" w:hAnsi="Arial" w:cs="Arial"/>
          <w:bCs/>
          <w:sz w:val="24"/>
          <w:szCs w:val="24"/>
          <w:lang w:eastAsia="zh-CN"/>
        </w:rPr>
        <w:t>Χρίστος Ορφανίδης</w:t>
      </w:r>
    </w:p>
    <w:p w14:paraId="5C934340" w14:textId="4FDFF26F" w:rsidR="00C54CBA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4CBA">
        <w:rPr>
          <w:rFonts w:ascii="Arial" w:eastAsia="Simsun (Founder Extended)" w:hAnsi="Arial" w:cs="Arial"/>
          <w:bCs/>
          <w:sz w:val="24"/>
          <w:szCs w:val="24"/>
          <w:lang w:eastAsia="zh-CN"/>
        </w:rPr>
        <w:t>Φωτεινή Τσιρίδου</w:t>
      </w:r>
      <w:r w:rsidR="00C54CBA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871BB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</w:p>
    <w:p w14:paraId="384A4258" w14:textId="5D8E39D3" w:rsidR="00C54CBA" w:rsidRPr="007871BB" w:rsidRDefault="00C54CBA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Δημήτρης Δημητρίου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871BB">
        <w:rPr>
          <w:rFonts w:ascii="Arial" w:eastAsia="Simsun (Founder Extended)" w:hAnsi="Arial" w:cs="Arial"/>
          <w:bCs/>
          <w:sz w:val="24"/>
          <w:szCs w:val="24"/>
          <w:lang w:eastAsia="zh-CN"/>
        </w:rPr>
        <w:t>Ηλίας Μυριάνθους</w:t>
      </w:r>
    </w:p>
    <w:p w14:paraId="027F0090" w14:textId="34D8077C" w:rsidR="00E12727" w:rsidRDefault="00C54CBA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Πρόδρομος Αλαμπρίτης</w:t>
      </w:r>
      <w:r w:rsid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77888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  <w:r w:rsid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5EA3F53D" w14:textId="3E778734" w:rsidR="007871BB" w:rsidRPr="00316560" w:rsidRDefault="007871BB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 xml:space="preserve">Γιαννάκης </w:t>
      </w:r>
      <w:r w:rsidR="007E6C00">
        <w:rPr>
          <w:rFonts w:ascii="Arial" w:eastAsia="Simsun (Founder Extended)" w:hAnsi="Arial" w:cs="Arial"/>
          <w:bCs/>
          <w:sz w:val="24"/>
          <w:szCs w:val="24"/>
          <w:lang w:eastAsia="zh-CN"/>
        </w:rPr>
        <w:t>Γαβριήλ</w:t>
      </w:r>
    </w:p>
    <w:p w14:paraId="4152A613" w14:textId="0831BB70" w:rsidR="00516F92" w:rsidRPr="00C54CBA" w:rsidRDefault="00E12727" w:rsidP="00516F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7F154F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Pr="007F154F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C54CBA">
        <w:rPr>
          <w:rFonts w:ascii="Arial" w:hAnsi="Arial" w:cs="Arial"/>
          <w:sz w:val="24"/>
          <w:szCs w:val="24"/>
        </w:rPr>
        <w:t xml:space="preserve">δύο </w:t>
      </w:r>
      <w:r w:rsidRPr="007F154F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7B15B3">
        <w:rPr>
          <w:rFonts w:ascii="Arial" w:hAnsi="Arial" w:cs="Arial"/>
          <w:sz w:val="24"/>
          <w:szCs w:val="24"/>
        </w:rPr>
        <w:t xml:space="preserve">στις </w:t>
      </w:r>
      <w:r w:rsidR="00C54CBA">
        <w:rPr>
          <w:rFonts w:ascii="Arial" w:hAnsi="Arial" w:cs="Arial"/>
          <w:sz w:val="24"/>
          <w:szCs w:val="24"/>
        </w:rPr>
        <w:t>2 και 16 Μαρτίου 2023</w:t>
      </w:r>
      <w:r w:rsidRPr="007F154F">
        <w:rPr>
          <w:rFonts w:ascii="Arial" w:hAnsi="Arial" w:cs="Arial"/>
          <w:sz w:val="24"/>
          <w:szCs w:val="24"/>
        </w:rPr>
        <w:t xml:space="preserve">.  Στο πλαίσιο </w:t>
      </w:r>
      <w:r w:rsidR="00191AAE">
        <w:rPr>
          <w:rFonts w:ascii="Arial" w:hAnsi="Arial" w:cs="Arial"/>
          <w:sz w:val="24"/>
          <w:szCs w:val="24"/>
        </w:rPr>
        <w:t xml:space="preserve">της πρώτης συνεδρίας της επιτροπής </w:t>
      </w:r>
      <w:r w:rsidRPr="007F154F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145CFC">
        <w:rPr>
          <w:rFonts w:ascii="Arial" w:hAnsi="Arial" w:cs="Arial"/>
          <w:sz w:val="24"/>
          <w:szCs w:val="24"/>
        </w:rPr>
        <w:t>της</w:t>
      </w:r>
      <w:r w:rsidR="00516F9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516F92" w:rsidRPr="00516F92">
        <w:rPr>
          <w:rFonts w:ascii="Arial" w:hAnsi="Arial" w:cs="Arial"/>
          <w:iCs/>
          <w:color w:val="000000" w:themeColor="text1"/>
          <w:sz w:val="24"/>
          <w:szCs w:val="24"/>
        </w:rPr>
        <w:t xml:space="preserve">εκπρόσωποι </w:t>
      </w:r>
      <w:r w:rsidR="00C54CBA" w:rsidRPr="00C54CBA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του Υπουργείου Μεταφορών, Επικοινωνιών και Έργων, του Τμήματος Ηλεκτρομηχανολογικών Υπηρεσιών και του Τμήματος Οδικών Μεταφορών του ίδιου υπουργείου, </w:t>
      </w:r>
      <w:r w:rsidR="00C54CBA" w:rsidRPr="00C54CBA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Τμήματος Εργασιακών Σχέσεων του Υπουργείου Εργασίας και Κοινωνικών Ασφαλίσεων, του Τμήματος Τροχαίας Αρχηγείου της Αστυνομίας Κύπρου, </w:t>
      </w:r>
      <w:r w:rsidR="00C54CBA" w:rsidRPr="00C54CBA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της Νομικής Υπηρεσίας της Δημοκρατίας, </w:t>
      </w:r>
      <w:r w:rsidR="00AC6DE8">
        <w:rPr>
          <w:rFonts w:ascii="Arial" w:hAnsi="Arial" w:cs="Arial"/>
          <w:sz w:val="24"/>
          <w:szCs w:val="24"/>
          <w:lang w:eastAsia="zh-CN"/>
        </w:rPr>
        <w:t>της</w:t>
      </w:r>
      <w:r w:rsidR="007E6C00">
        <w:rPr>
          <w:rFonts w:ascii="Arial" w:hAnsi="Arial" w:cs="Arial"/>
          <w:sz w:val="24"/>
          <w:szCs w:val="24"/>
          <w:lang w:eastAsia="zh-CN"/>
        </w:rPr>
        <w:t xml:space="preserve"> Ομοσπονδίας Εργοδοτών και Βιομηχάνων Κύπρου</w:t>
      </w:r>
      <w:r w:rsidR="00C54CBA" w:rsidRPr="00C54CB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7E6C00">
        <w:rPr>
          <w:rFonts w:ascii="Arial" w:hAnsi="Arial" w:cs="Arial"/>
          <w:sz w:val="24"/>
          <w:szCs w:val="24"/>
          <w:lang w:eastAsia="zh-CN"/>
        </w:rPr>
        <w:t>(</w:t>
      </w:r>
      <w:r w:rsidR="00C54CBA" w:rsidRPr="00C54CBA">
        <w:rPr>
          <w:rFonts w:ascii="Arial" w:hAnsi="Arial" w:cs="Arial"/>
          <w:sz w:val="24"/>
          <w:szCs w:val="24"/>
          <w:lang w:eastAsia="zh-CN"/>
        </w:rPr>
        <w:t>ΟΕΒ</w:t>
      </w:r>
      <w:r w:rsidR="007E6C00">
        <w:rPr>
          <w:rFonts w:ascii="Arial" w:hAnsi="Arial" w:cs="Arial"/>
          <w:sz w:val="24"/>
          <w:szCs w:val="24"/>
          <w:lang w:eastAsia="zh-CN"/>
        </w:rPr>
        <w:t>)</w:t>
      </w:r>
      <w:r w:rsidR="00AC6DE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54CBA" w:rsidRPr="00C54CBA">
        <w:rPr>
          <w:rFonts w:ascii="Arial" w:hAnsi="Arial" w:cs="Arial"/>
          <w:sz w:val="24"/>
          <w:szCs w:val="24"/>
          <w:lang w:eastAsia="zh-CN"/>
        </w:rPr>
        <w:t>και των συνεργείων για ταχογράφους.</w:t>
      </w:r>
      <w:r w:rsidR="00C54CBA">
        <w:rPr>
          <w:rFonts w:ascii="Arial" w:hAnsi="Arial" w:cs="Arial"/>
          <w:bCs/>
          <w:iCs/>
          <w:sz w:val="24"/>
          <w:szCs w:val="24"/>
        </w:rPr>
        <w:t xml:space="preserve"> </w:t>
      </w:r>
      <w:r w:rsidR="00B8057E" w:rsidRPr="00B8057E">
        <w:rPr>
          <w:rFonts w:ascii="Arial" w:hAnsi="Arial" w:cs="Arial"/>
          <w:bCs/>
          <w:iCs/>
          <w:sz w:val="24"/>
          <w:szCs w:val="24"/>
        </w:rPr>
        <w:t xml:space="preserve"> </w:t>
      </w:r>
      <w:r w:rsidR="00C54CBA">
        <w:rPr>
          <w:rFonts w:ascii="Arial" w:eastAsia="Simsun (Founder Extended)" w:hAnsi="Arial" w:cs="Arial"/>
          <w:sz w:val="24"/>
          <w:szCs w:val="24"/>
          <w:lang w:eastAsia="zh-CN"/>
        </w:rPr>
        <w:t>Τ</w:t>
      </w:r>
      <w:r w:rsidR="00C54CBA" w:rsidRPr="00C54CBA">
        <w:rPr>
          <w:rFonts w:ascii="Arial" w:eastAsia="Simsun (Founder Extended)" w:hAnsi="Arial" w:cs="Arial"/>
          <w:sz w:val="24"/>
          <w:szCs w:val="24"/>
          <w:lang w:eastAsia="zh-CN"/>
        </w:rPr>
        <w:t>ο Τμήμα Επιθεώρησης Εργασίας του Υπουργείου Εργασίας και Κοινωνικών Ασφαλίσεων</w:t>
      </w:r>
      <w:r w:rsidR="007E6C0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54CBA" w:rsidRPr="00C54CBA">
        <w:rPr>
          <w:rFonts w:ascii="Arial" w:hAnsi="Arial" w:cs="Arial"/>
          <w:bCs/>
          <w:iCs/>
          <w:sz w:val="24"/>
          <w:szCs w:val="24"/>
        </w:rPr>
        <w:t xml:space="preserve"> </w:t>
      </w:r>
      <w:r w:rsidR="007E6C00">
        <w:rPr>
          <w:rFonts w:ascii="Arial" w:hAnsi="Arial" w:cs="Arial"/>
          <w:bCs/>
          <w:iCs/>
          <w:sz w:val="24"/>
          <w:szCs w:val="24"/>
        </w:rPr>
        <w:t>το Κυπριακό Εμπορικό και Βιομηχανικό Επιμελητήριο</w:t>
      </w:r>
      <w:r w:rsidR="00AC6DE8">
        <w:rPr>
          <w:rFonts w:ascii="Arial" w:hAnsi="Arial" w:cs="Arial"/>
          <w:bCs/>
          <w:iCs/>
          <w:sz w:val="24"/>
          <w:szCs w:val="24"/>
        </w:rPr>
        <w:t xml:space="preserve"> </w:t>
      </w:r>
      <w:r w:rsidR="007E6C00">
        <w:rPr>
          <w:rFonts w:ascii="Arial" w:hAnsi="Arial" w:cs="Arial"/>
          <w:bCs/>
          <w:iCs/>
          <w:sz w:val="24"/>
          <w:szCs w:val="24"/>
        </w:rPr>
        <w:t>(</w:t>
      </w:r>
      <w:r w:rsidR="00AC6DE8">
        <w:rPr>
          <w:rFonts w:ascii="Arial" w:hAnsi="Arial" w:cs="Arial"/>
          <w:bCs/>
          <w:iCs/>
          <w:sz w:val="24"/>
          <w:szCs w:val="24"/>
        </w:rPr>
        <w:t>ΚΕΒΕ</w:t>
      </w:r>
      <w:r w:rsidR="007E6C00">
        <w:rPr>
          <w:rFonts w:ascii="Arial" w:hAnsi="Arial" w:cs="Arial"/>
          <w:bCs/>
          <w:iCs/>
          <w:sz w:val="24"/>
          <w:szCs w:val="24"/>
        </w:rPr>
        <w:t>)</w:t>
      </w:r>
      <w:r w:rsidR="00AC6DE8">
        <w:rPr>
          <w:rFonts w:ascii="Arial" w:hAnsi="Arial" w:cs="Arial"/>
          <w:bCs/>
          <w:iCs/>
          <w:sz w:val="24"/>
          <w:szCs w:val="24"/>
        </w:rPr>
        <w:t xml:space="preserve"> και </w:t>
      </w:r>
      <w:r w:rsidR="007E6C00">
        <w:rPr>
          <w:rFonts w:ascii="Arial" w:hAnsi="Arial" w:cs="Arial"/>
          <w:bCs/>
          <w:iCs/>
          <w:sz w:val="24"/>
          <w:szCs w:val="24"/>
        </w:rPr>
        <w:t>η Παγκύπρια Οργάνωση Βιοτεχνών Επαγγελματιών Καταστηματαρχών (</w:t>
      </w:r>
      <w:r w:rsidR="00AC6DE8">
        <w:rPr>
          <w:rFonts w:ascii="Arial" w:hAnsi="Arial" w:cs="Arial"/>
          <w:bCs/>
          <w:iCs/>
          <w:sz w:val="24"/>
          <w:szCs w:val="24"/>
        </w:rPr>
        <w:t>ΠΟΒΕΚ</w:t>
      </w:r>
      <w:r w:rsidR="007E6C00">
        <w:rPr>
          <w:rFonts w:ascii="Arial" w:hAnsi="Arial" w:cs="Arial"/>
          <w:bCs/>
          <w:iCs/>
          <w:sz w:val="24"/>
          <w:szCs w:val="24"/>
        </w:rPr>
        <w:t>),</w:t>
      </w:r>
      <w:r w:rsidR="00AC6DE8">
        <w:rPr>
          <w:rFonts w:ascii="Arial" w:hAnsi="Arial" w:cs="Arial"/>
          <w:bCs/>
          <w:iCs/>
          <w:sz w:val="24"/>
          <w:szCs w:val="24"/>
        </w:rPr>
        <w:t xml:space="preserve"> </w:t>
      </w:r>
      <w:r w:rsidR="00C54CBA" w:rsidRPr="00C54CBA">
        <w:rPr>
          <w:rFonts w:ascii="Arial" w:hAnsi="Arial" w:cs="Arial"/>
          <w:bCs/>
          <w:iCs/>
          <w:sz w:val="24"/>
          <w:szCs w:val="24"/>
        </w:rPr>
        <w:t xml:space="preserve">παρ’ όλο που κλήθηκαν, δεν εκπροσωπήθηκαν </w:t>
      </w:r>
      <w:r w:rsidR="006F3B26">
        <w:rPr>
          <w:rFonts w:ascii="Arial" w:hAnsi="Arial" w:cs="Arial"/>
          <w:bCs/>
          <w:iCs/>
          <w:sz w:val="24"/>
          <w:szCs w:val="24"/>
        </w:rPr>
        <w:t>στη συνεδρία</w:t>
      </w:r>
      <w:r w:rsidR="00191AAE">
        <w:rPr>
          <w:rFonts w:ascii="Arial" w:hAnsi="Arial" w:cs="Arial"/>
          <w:bCs/>
          <w:iCs/>
          <w:sz w:val="24"/>
          <w:szCs w:val="24"/>
        </w:rPr>
        <w:t xml:space="preserve"> </w:t>
      </w:r>
      <w:r w:rsidR="00C54CBA" w:rsidRPr="00C54CBA">
        <w:rPr>
          <w:rFonts w:ascii="Arial" w:hAnsi="Arial" w:cs="Arial"/>
          <w:bCs/>
          <w:iCs/>
          <w:sz w:val="24"/>
          <w:szCs w:val="24"/>
        </w:rPr>
        <w:t>της επιτροπής.</w:t>
      </w:r>
    </w:p>
    <w:p w14:paraId="299BF729" w14:textId="5732E233" w:rsidR="00E12727" w:rsidRPr="0063746C" w:rsidRDefault="00E12727" w:rsidP="002B7C51">
      <w:pPr>
        <w:pStyle w:val="BodyText2"/>
        <w:rPr>
          <w:rFonts w:cs="Arial"/>
          <w:szCs w:val="24"/>
        </w:rPr>
      </w:pPr>
      <w:r w:rsidRPr="007F154F">
        <w:rPr>
          <w:rFonts w:cs="Arial"/>
          <w:szCs w:val="24"/>
        </w:rPr>
        <w:tab/>
      </w:r>
      <w:r w:rsidRPr="0063746C">
        <w:rPr>
          <w:rFonts w:eastAsia="Calibri" w:cs="Arial"/>
          <w:bCs/>
          <w:szCs w:val="24"/>
        </w:rPr>
        <w:t xml:space="preserve">Σκοπός του προτεινόμενου νόμου </w:t>
      </w:r>
      <w:r w:rsidRPr="0063746C">
        <w:rPr>
          <w:rFonts w:cs="Arial"/>
          <w:szCs w:val="24"/>
        </w:rPr>
        <w:t xml:space="preserve">είναι η τροποποίηση του περί </w:t>
      </w:r>
      <w:r w:rsidR="001762C1">
        <w:rPr>
          <w:rFonts w:cs="Arial"/>
          <w:szCs w:val="24"/>
        </w:rPr>
        <w:t>Εξουσιοδότησης Συνεργείων και Έκδοσης Καρτών Συσκευής Ελέγχου Νόμου</w:t>
      </w:r>
      <w:r w:rsidR="004C6221">
        <w:rPr>
          <w:rFonts w:cs="Arial"/>
          <w:szCs w:val="24"/>
        </w:rPr>
        <w:t>,</w:t>
      </w:r>
      <w:r w:rsidR="00187F93">
        <w:rPr>
          <w:rFonts w:cs="Arial"/>
          <w:szCs w:val="24"/>
        </w:rPr>
        <w:t xml:space="preserve"> </w:t>
      </w:r>
      <w:r w:rsidRPr="0063746C">
        <w:rPr>
          <w:rFonts w:cs="Arial"/>
          <w:szCs w:val="24"/>
        </w:rPr>
        <w:t xml:space="preserve">ώστε να επιτευχθεί </w:t>
      </w:r>
      <w:r w:rsidR="001762C1">
        <w:rPr>
          <w:rFonts w:cs="Arial"/>
          <w:szCs w:val="24"/>
        </w:rPr>
        <w:lastRenderedPageBreak/>
        <w:t xml:space="preserve">καλύτερη εφαρμογή </w:t>
      </w:r>
      <w:r w:rsidR="00915C63">
        <w:rPr>
          <w:rFonts w:cs="Arial"/>
          <w:szCs w:val="24"/>
        </w:rPr>
        <w:t>των</w:t>
      </w:r>
      <w:r w:rsidR="001762C1">
        <w:rPr>
          <w:rFonts w:cs="Arial"/>
          <w:szCs w:val="24"/>
        </w:rPr>
        <w:t xml:space="preserve"> διατάξεων </w:t>
      </w:r>
      <w:r w:rsidR="00915C63">
        <w:rPr>
          <w:rFonts w:cs="Arial"/>
          <w:szCs w:val="24"/>
        </w:rPr>
        <w:t xml:space="preserve">των άρθρων 4(2), 12 έως 13 και 22 έως 31 </w:t>
      </w:r>
      <w:r w:rsidR="001762C1">
        <w:rPr>
          <w:rFonts w:cs="Arial"/>
          <w:szCs w:val="24"/>
        </w:rPr>
        <w:t xml:space="preserve">της </w:t>
      </w:r>
      <w:r w:rsidR="00A016F2">
        <w:rPr>
          <w:rFonts w:cs="Arial"/>
          <w:szCs w:val="24"/>
        </w:rPr>
        <w:t>πράξη</w:t>
      </w:r>
      <w:r w:rsidR="001762C1">
        <w:rPr>
          <w:rFonts w:cs="Arial"/>
          <w:szCs w:val="24"/>
        </w:rPr>
        <w:t>ς</w:t>
      </w:r>
      <w:r w:rsidR="00A016F2">
        <w:rPr>
          <w:rFonts w:cs="Arial"/>
          <w:szCs w:val="24"/>
        </w:rPr>
        <w:t xml:space="preserve"> </w:t>
      </w:r>
      <w:r w:rsidRPr="0063746C">
        <w:rPr>
          <w:rFonts w:cs="Arial"/>
          <w:szCs w:val="24"/>
        </w:rPr>
        <w:t>της Ευρωπαϊκής Ένωσης</w:t>
      </w:r>
      <w:r w:rsidR="00A016F2">
        <w:rPr>
          <w:rFonts w:cs="Arial"/>
          <w:szCs w:val="24"/>
        </w:rPr>
        <w:t xml:space="preserve"> με τίτλο «</w:t>
      </w:r>
      <w:r w:rsidR="001762C1">
        <w:rPr>
          <w:rFonts w:cs="Arial"/>
          <w:szCs w:val="24"/>
        </w:rPr>
        <w:t>Κανονισμός (ΕΕ) αριθ. 165/2014 του Ευρωπαϊκού Κοινοβουλίου και του Συμβουλίου της 4</w:t>
      </w:r>
      <w:r w:rsidR="001762C1" w:rsidRPr="007E6C00">
        <w:rPr>
          <w:rFonts w:cs="Arial"/>
          <w:szCs w:val="24"/>
          <w:vertAlign w:val="superscript"/>
        </w:rPr>
        <w:t>ης</w:t>
      </w:r>
      <w:r w:rsidR="001762C1">
        <w:rPr>
          <w:rFonts w:cs="Arial"/>
          <w:szCs w:val="24"/>
        </w:rPr>
        <w:t xml:space="preserve"> Φεβρουαρίου 2014 για τους ταχογράφους στον τομέα των οδικών μεταφορών, ο οποίος καταργεί τον κανονισμό (ΕΟΚ) αριθ. 3821/85 του Συμβουλίου σχετικά με τη συσκευή ελέγχου στον τομέα των οδικών μεταφορών και </w:t>
      </w:r>
      <w:r w:rsidR="001762C1">
        <w:rPr>
          <w:rFonts w:cs="Arial"/>
          <w:bCs/>
          <w:szCs w:val="24"/>
        </w:rPr>
        <w:t>τροποποιεί τον κανονισμό (ΕΚ) αριθ. 561/2006 του Ευρωπαϊκού Κοινοβουλίου και του Συμβουλίου για την εναρμόνιση ορισμένων κοινωνικών διατάξεων στον τομέα των οδικών μεταφορών</w:t>
      </w:r>
      <w:r w:rsidR="00A016F2">
        <w:rPr>
          <w:rFonts w:cs="Arial"/>
          <w:bCs/>
          <w:szCs w:val="24"/>
        </w:rPr>
        <w:t>»</w:t>
      </w:r>
      <w:r w:rsidR="002F6D3B">
        <w:rPr>
          <w:rFonts w:cs="Arial"/>
          <w:bCs/>
          <w:szCs w:val="24"/>
        </w:rPr>
        <w:t>.</w:t>
      </w:r>
    </w:p>
    <w:p w14:paraId="45BE2E97" w14:textId="621A4B4E" w:rsidR="008E5A27" w:rsidRDefault="00E12727" w:rsidP="00975FB5">
      <w:pPr>
        <w:pStyle w:val="BodyText2"/>
        <w:rPr>
          <w:rFonts w:eastAsia="Calibri" w:cs="Arial"/>
          <w:bCs/>
          <w:szCs w:val="24"/>
        </w:rPr>
      </w:pPr>
      <w:r w:rsidRPr="0063746C">
        <w:rPr>
          <w:rFonts w:eastAsia="Calibri" w:cs="Arial"/>
          <w:bCs/>
          <w:szCs w:val="24"/>
        </w:rPr>
        <w:tab/>
      </w:r>
      <w:r w:rsidR="006F3B26">
        <w:rPr>
          <w:rFonts w:eastAsia="Calibri" w:cs="Arial"/>
          <w:bCs/>
          <w:szCs w:val="24"/>
        </w:rPr>
        <w:t>Ειδικότερα</w:t>
      </w:r>
      <w:r w:rsidR="007E6C00">
        <w:rPr>
          <w:rFonts w:eastAsia="Calibri" w:cs="Arial"/>
          <w:bCs/>
          <w:szCs w:val="24"/>
        </w:rPr>
        <w:t>,</w:t>
      </w:r>
      <w:r w:rsidR="006F3B26">
        <w:rPr>
          <w:rFonts w:eastAsia="Calibri" w:cs="Arial"/>
          <w:bCs/>
          <w:szCs w:val="24"/>
        </w:rPr>
        <w:t xml:space="preserve"> με το νομοσχέδιο προτείνονται τροποποιήσεις στη βασική νομοθεσία, ώστε με τις διατάξεις της να επιτυγχάνεται καλύτερη εφαρμογή </w:t>
      </w:r>
      <w:r w:rsidR="0071209E">
        <w:rPr>
          <w:rFonts w:eastAsia="Calibri" w:cs="Arial"/>
          <w:bCs/>
          <w:szCs w:val="24"/>
        </w:rPr>
        <w:t xml:space="preserve">των διατάξεων του </w:t>
      </w:r>
      <w:r w:rsidR="006F3B26">
        <w:rPr>
          <w:rFonts w:eastAsia="Calibri" w:cs="Arial"/>
          <w:bCs/>
          <w:szCs w:val="24"/>
        </w:rPr>
        <w:t>νέο</w:t>
      </w:r>
      <w:r w:rsidR="0071209E">
        <w:rPr>
          <w:rFonts w:eastAsia="Calibri" w:cs="Arial"/>
          <w:bCs/>
          <w:szCs w:val="24"/>
        </w:rPr>
        <w:t>υ</w:t>
      </w:r>
      <w:r w:rsidR="006F3B26">
        <w:rPr>
          <w:rFonts w:eastAsia="Calibri" w:cs="Arial"/>
          <w:bCs/>
          <w:szCs w:val="24"/>
        </w:rPr>
        <w:t xml:space="preserve"> Κανονισμ</w:t>
      </w:r>
      <w:r w:rsidR="0071209E">
        <w:rPr>
          <w:rFonts w:eastAsia="Calibri" w:cs="Arial"/>
          <w:bCs/>
          <w:szCs w:val="24"/>
        </w:rPr>
        <w:t>ού</w:t>
      </w:r>
      <w:r w:rsidR="006F3B26">
        <w:rPr>
          <w:rFonts w:eastAsia="Calibri" w:cs="Arial"/>
          <w:bCs/>
          <w:szCs w:val="24"/>
        </w:rPr>
        <w:t xml:space="preserve"> (ΕΕ) 165/2014</w:t>
      </w:r>
      <w:r w:rsidR="007E6C00">
        <w:rPr>
          <w:rFonts w:eastAsia="Calibri" w:cs="Arial"/>
          <w:bCs/>
          <w:szCs w:val="24"/>
        </w:rPr>
        <w:t>,</w:t>
      </w:r>
      <w:r w:rsidR="006F3B26">
        <w:rPr>
          <w:rFonts w:eastAsia="Calibri" w:cs="Arial"/>
          <w:bCs/>
          <w:szCs w:val="24"/>
        </w:rPr>
        <w:t xml:space="preserve"> που υιοθετεί ένα βελτιωμένο είδος συσκευής ταχογράφου, τον λεγόμενο </w:t>
      </w:r>
      <w:r w:rsidR="007E6C00">
        <w:rPr>
          <w:rFonts w:eastAsia="Calibri" w:cs="Arial"/>
          <w:bCs/>
          <w:szCs w:val="24"/>
        </w:rPr>
        <w:t>«</w:t>
      </w:r>
      <w:r w:rsidR="006F3B26">
        <w:rPr>
          <w:rFonts w:eastAsia="Calibri" w:cs="Arial"/>
          <w:bCs/>
          <w:szCs w:val="24"/>
        </w:rPr>
        <w:t>ευφυή ταχογράφο</w:t>
      </w:r>
      <w:r w:rsidR="007E6C00">
        <w:rPr>
          <w:rFonts w:eastAsia="Calibri" w:cs="Arial"/>
          <w:bCs/>
          <w:szCs w:val="24"/>
        </w:rPr>
        <w:t>»,</w:t>
      </w:r>
      <w:r w:rsidR="006F3B26">
        <w:rPr>
          <w:rFonts w:eastAsia="Calibri" w:cs="Arial"/>
          <w:bCs/>
          <w:szCs w:val="24"/>
        </w:rPr>
        <w:t xml:space="preserve"> και παράλληλα προτείνεται τροποποίηση του συνοπτικού τίτλου της βασικής νομοθεσίας, ώστε αυτός να συνάδει με το περιεχόμενο του νέου </w:t>
      </w:r>
      <w:r w:rsidR="007E6C00">
        <w:rPr>
          <w:rFonts w:eastAsia="Calibri" w:cs="Arial"/>
          <w:bCs/>
          <w:szCs w:val="24"/>
        </w:rPr>
        <w:t>κ</w:t>
      </w:r>
      <w:r w:rsidR="006F3B26">
        <w:rPr>
          <w:rFonts w:eastAsia="Calibri" w:cs="Arial"/>
          <w:bCs/>
          <w:szCs w:val="24"/>
        </w:rPr>
        <w:t xml:space="preserve">ανονισμού. </w:t>
      </w:r>
    </w:p>
    <w:p w14:paraId="63BF345A" w14:textId="6DFC6768" w:rsidR="008E5A27" w:rsidRDefault="00EC18AB" w:rsidP="00975FB5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ab/>
        <w:t>Σύμφωνα με τα στοιχεία που κατατέθηκαν ενώπιον της επιτροπής,</w:t>
      </w:r>
      <w:r w:rsidR="008E5A27">
        <w:rPr>
          <w:rFonts w:eastAsia="Calibri" w:cs="Arial"/>
          <w:bCs/>
          <w:szCs w:val="24"/>
        </w:rPr>
        <w:t xml:space="preserve"> σκοπός το</w:t>
      </w:r>
      <w:r w:rsidR="007B3090">
        <w:rPr>
          <w:rFonts w:eastAsia="Calibri" w:cs="Arial"/>
          <w:bCs/>
          <w:szCs w:val="24"/>
        </w:rPr>
        <w:t>υ</w:t>
      </w:r>
      <w:r w:rsidR="008E5A27">
        <w:rPr>
          <w:rFonts w:eastAsia="Calibri" w:cs="Arial"/>
          <w:bCs/>
          <w:szCs w:val="24"/>
        </w:rPr>
        <w:t xml:space="preserve"> </w:t>
      </w:r>
      <w:r w:rsidR="007E6C00">
        <w:rPr>
          <w:rFonts w:eastAsia="Calibri" w:cs="Arial"/>
          <w:bCs/>
          <w:szCs w:val="24"/>
        </w:rPr>
        <w:t>κ</w:t>
      </w:r>
      <w:r w:rsidR="008E5A27">
        <w:rPr>
          <w:rFonts w:eastAsia="Calibri" w:cs="Arial"/>
          <w:bCs/>
          <w:szCs w:val="24"/>
        </w:rPr>
        <w:t>ανονισμού είναι η εφαρμογή του ευφυ</w:t>
      </w:r>
      <w:r w:rsidR="007E6C00">
        <w:rPr>
          <w:rFonts w:eastAsia="Calibri" w:cs="Arial"/>
          <w:bCs/>
          <w:szCs w:val="24"/>
        </w:rPr>
        <w:t>ούς</w:t>
      </w:r>
      <w:r w:rsidR="008E5A27">
        <w:rPr>
          <w:rFonts w:eastAsia="Calibri" w:cs="Arial"/>
          <w:bCs/>
          <w:szCs w:val="24"/>
        </w:rPr>
        <w:t xml:space="preserve"> ταχογράφου, ο οποίος αποτελεί βελτίωση των υφιστάμενων συσκευών ταχογράφου, και η διασφάλιση με τον τρόπο αυτό ενός πιο ασφαλούς, αποτελεσματικού και αποδοτικού συστήματος καταγραφής δεδομένων και ελέγχου </w:t>
      </w:r>
      <w:r w:rsidR="00920744">
        <w:rPr>
          <w:rFonts w:eastAsia="Calibri" w:cs="Arial"/>
          <w:bCs/>
          <w:szCs w:val="24"/>
        </w:rPr>
        <w:t>των οδικών μεταφορών</w:t>
      </w:r>
      <w:r w:rsidR="008E5A27">
        <w:rPr>
          <w:rFonts w:eastAsia="Calibri" w:cs="Arial"/>
          <w:bCs/>
          <w:szCs w:val="24"/>
        </w:rPr>
        <w:t xml:space="preserve">. </w:t>
      </w:r>
    </w:p>
    <w:p w14:paraId="7F0C0911" w14:textId="12696AA8" w:rsidR="007F5320" w:rsidRDefault="007F5320" w:rsidP="00975FB5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ab/>
        <w:t>Σημειώνεται ότι</w:t>
      </w:r>
      <w:r w:rsidR="0028590B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σύμφωνα με τις διατάξεις του άρθρου 44 του </w:t>
      </w:r>
      <w:r w:rsidR="0028590B">
        <w:rPr>
          <w:rFonts w:eastAsia="Calibri" w:cs="Arial"/>
          <w:bCs/>
          <w:szCs w:val="24"/>
        </w:rPr>
        <w:t>κ</w:t>
      </w:r>
      <w:r>
        <w:rPr>
          <w:rFonts w:eastAsia="Calibri" w:cs="Arial"/>
          <w:bCs/>
          <w:szCs w:val="24"/>
        </w:rPr>
        <w:t>ανονισμού</w:t>
      </w:r>
      <w:r w:rsidR="0028590B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η Δημοκρατία </w:t>
      </w:r>
      <w:r w:rsidR="00920744">
        <w:rPr>
          <w:rFonts w:eastAsia="Calibri" w:cs="Arial"/>
          <w:bCs/>
          <w:szCs w:val="24"/>
        </w:rPr>
        <w:t>είχε</w:t>
      </w:r>
      <w:r>
        <w:rPr>
          <w:rFonts w:eastAsia="Calibri" w:cs="Arial"/>
          <w:bCs/>
          <w:szCs w:val="24"/>
        </w:rPr>
        <w:t xml:space="preserve"> υποχρέωση να κοινοποιήσει στην Ευρωπαϊκή Επιτροπή το κείμενο των νομοθετικών, κανονιστικών και διοικητικών διατάξεων </w:t>
      </w:r>
      <w:r w:rsidR="00920744">
        <w:rPr>
          <w:rFonts w:eastAsia="Calibri" w:cs="Arial"/>
          <w:bCs/>
          <w:szCs w:val="24"/>
        </w:rPr>
        <w:t xml:space="preserve">που θεσπίζονται </w:t>
      </w:r>
      <w:r>
        <w:rPr>
          <w:rFonts w:eastAsia="Calibri" w:cs="Arial"/>
          <w:bCs/>
          <w:szCs w:val="24"/>
        </w:rPr>
        <w:t xml:space="preserve">για την εφαρμογή των διατάξεων του </w:t>
      </w:r>
      <w:r w:rsidR="0028590B">
        <w:rPr>
          <w:rFonts w:eastAsia="Calibri" w:cs="Arial"/>
          <w:bCs/>
          <w:szCs w:val="24"/>
        </w:rPr>
        <w:t>κ</w:t>
      </w:r>
      <w:r>
        <w:rPr>
          <w:rFonts w:eastAsia="Calibri" w:cs="Arial"/>
          <w:bCs/>
          <w:szCs w:val="24"/>
        </w:rPr>
        <w:t xml:space="preserve">ανονισμού μέχρι τις 2 Μαρτίου 2015, </w:t>
      </w:r>
      <w:r w:rsidR="00920744">
        <w:rPr>
          <w:rFonts w:eastAsia="Calibri" w:cs="Arial"/>
          <w:bCs/>
          <w:szCs w:val="24"/>
        </w:rPr>
        <w:t>ωστόσο</w:t>
      </w:r>
      <w:r>
        <w:rPr>
          <w:rFonts w:eastAsia="Calibri" w:cs="Arial"/>
          <w:bCs/>
          <w:szCs w:val="24"/>
        </w:rPr>
        <w:t xml:space="preserve"> το νομοσχέδιο κατατέθηκε στη Βουλή των Αντιπροσώπων εκπρόθεσμα</w:t>
      </w:r>
      <w:r w:rsidR="0028590B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στις 20 Οκτωβρίου 2022. </w:t>
      </w:r>
    </w:p>
    <w:p w14:paraId="7A0C06C3" w14:textId="59A4F49E" w:rsidR="00DD4324" w:rsidRDefault="003634EB" w:rsidP="005F4894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lastRenderedPageBreak/>
        <w:tab/>
      </w:r>
      <w:r w:rsidR="00D7510D">
        <w:rPr>
          <w:rFonts w:eastAsia="Calibri" w:cs="Arial"/>
          <w:bCs/>
          <w:szCs w:val="24"/>
        </w:rPr>
        <w:t xml:space="preserve">Στο πλαίσιο της εξέτασης του νομοσχεδίου ενώπιον της επιτροπής </w:t>
      </w:r>
      <w:r w:rsidR="00DD4324">
        <w:rPr>
          <w:rFonts w:eastAsia="Calibri" w:cs="Arial"/>
          <w:bCs/>
          <w:szCs w:val="24"/>
        </w:rPr>
        <w:t xml:space="preserve">οι εκπρόσωποι του Τμήματος Ηλεκτρομηχανολογικών Υπηρεσιών του Υπουργείου Μεταφορών, Επικοινωνιών και Έργων ενημέρωσαν την επιτροπή ότι </w:t>
      </w:r>
      <w:r w:rsidR="005F4894">
        <w:rPr>
          <w:rFonts w:eastAsia="Calibri" w:cs="Arial"/>
          <w:bCs/>
          <w:szCs w:val="24"/>
        </w:rPr>
        <w:t xml:space="preserve">η Δημοκρατία δεν υπέστη συνέπειες από τη μη θέσπιση νομοθεσίας για την εφαρμογή των σχετικών διατάξεων του </w:t>
      </w:r>
      <w:r w:rsidR="0028590B">
        <w:rPr>
          <w:rFonts w:eastAsia="Calibri" w:cs="Arial"/>
          <w:bCs/>
          <w:szCs w:val="24"/>
        </w:rPr>
        <w:t>κ</w:t>
      </w:r>
      <w:r w:rsidR="005F4894">
        <w:rPr>
          <w:rFonts w:eastAsia="Calibri" w:cs="Arial"/>
          <w:bCs/>
          <w:szCs w:val="24"/>
        </w:rPr>
        <w:t>ανονισμού</w:t>
      </w:r>
      <w:r w:rsidR="0028590B">
        <w:rPr>
          <w:rFonts w:eastAsia="Calibri" w:cs="Arial"/>
          <w:bCs/>
          <w:szCs w:val="24"/>
        </w:rPr>
        <w:t>,</w:t>
      </w:r>
      <w:r w:rsidR="005F4894">
        <w:rPr>
          <w:rFonts w:eastAsia="Calibri" w:cs="Arial"/>
          <w:bCs/>
          <w:szCs w:val="24"/>
        </w:rPr>
        <w:t xml:space="preserve"> αφού </w:t>
      </w:r>
      <w:r w:rsidR="005F4894" w:rsidRPr="005F4894">
        <w:rPr>
          <w:rFonts w:eastAsia="Calibri" w:cs="Arial"/>
          <w:bCs/>
          <w:szCs w:val="24"/>
        </w:rPr>
        <w:t xml:space="preserve">τα </w:t>
      </w:r>
      <w:r w:rsidR="00920744">
        <w:rPr>
          <w:rFonts w:eastAsia="Calibri" w:cs="Arial"/>
          <w:bCs/>
          <w:szCs w:val="24"/>
        </w:rPr>
        <w:t>ουσιώδη</w:t>
      </w:r>
      <w:r w:rsidR="005F4894">
        <w:rPr>
          <w:rFonts w:eastAsia="Calibri" w:cs="Arial"/>
          <w:bCs/>
          <w:szCs w:val="24"/>
        </w:rPr>
        <w:t xml:space="preserve"> </w:t>
      </w:r>
      <w:r w:rsidR="005F4894" w:rsidRPr="005F4894">
        <w:rPr>
          <w:rFonts w:eastAsia="Calibri" w:cs="Arial"/>
          <w:bCs/>
          <w:szCs w:val="24"/>
        </w:rPr>
        <w:t xml:space="preserve">άρθρα του </w:t>
      </w:r>
      <w:r w:rsidR="0028590B">
        <w:rPr>
          <w:rFonts w:eastAsia="Calibri" w:cs="Arial"/>
          <w:bCs/>
          <w:szCs w:val="24"/>
        </w:rPr>
        <w:t>κ</w:t>
      </w:r>
      <w:r w:rsidR="005F4894" w:rsidRPr="005F4894">
        <w:rPr>
          <w:rFonts w:eastAsia="Calibri" w:cs="Arial"/>
          <w:bCs/>
          <w:szCs w:val="24"/>
        </w:rPr>
        <w:t xml:space="preserve">ανονισμού υιοθετήθηκαν </w:t>
      </w:r>
      <w:r w:rsidR="0028590B">
        <w:rPr>
          <w:rFonts w:eastAsia="Calibri" w:cs="Arial"/>
          <w:bCs/>
          <w:szCs w:val="24"/>
        </w:rPr>
        <w:t xml:space="preserve">μέσω </w:t>
      </w:r>
      <w:r w:rsidR="005F4894">
        <w:rPr>
          <w:rFonts w:eastAsia="Calibri" w:cs="Arial"/>
          <w:bCs/>
          <w:szCs w:val="24"/>
        </w:rPr>
        <w:t>άλλ</w:t>
      </w:r>
      <w:r w:rsidR="0028590B">
        <w:rPr>
          <w:rFonts w:eastAsia="Calibri" w:cs="Arial"/>
          <w:bCs/>
          <w:szCs w:val="24"/>
        </w:rPr>
        <w:t>ων</w:t>
      </w:r>
      <w:r w:rsidR="005F4894">
        <w:rPr>
          <w:rFonts w:eastAsia="Calibri" w:cs="Arial"/>
          <w:bCs/>
          <w:szCs w:val="24"/>
        </w:rPr>
        <w:t xml:space="preserve"> </w:t>
      </w:r>
      <w:r w:rsidR="00920744">
        <w:rPr>
          <w:rFonts w:eastAsia="Calibri" w:cs="Arial"/>
          <w:bCs/>
          <w:szCs w:val="24"/>
        </w:rPr>
        <w:t>νομοθεσ</w:t>
      </w:r>
      <w:r w:rsidR="0028590B">
        <w:rPr>
          <w:rFonts w:eastAsia="Calibri" w:cs="Arial"/>
          <w:bCs/>
          <w:szCs w:val="24"/>
        </w:rPr>
        <w:t>ιών</w:t>
      </w:r>
      <w:r w:rsidR="005F4894">
        <w:rPr>
          <w:rFonts w:eastAsia="Calibri" w:cs="Arial"/>
          <w:bCs/>
          <w:szCs w:val="24"/>
        </w:rPr>
        <w:t xml:space="preserve">. </w:t>
      </w:r>
    </w:p>
    <w:p w14:paraId="5FD61C27" w14:textId="28493D72" w:rsidR="00E12727" w:rsidRPr="00A17A3E" w:rsidRDefault="008903A1" w:rsidP="00920744">
      <w:pPr>
        <w:pStyle w:val="BodyText2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</w:r>
      <w:r w:rsidR="00E12727" w:rsidRPr="0063746C">
        <w:rPr>
          <w:rFonts w:eastAsia="Calibri" w:cs="Arial"/>
          <w:szCs w:val="24"/>
        </w:rPr>
        <w:t>Σημειώνεται ότι η επιτροπή</w:t>
      </w:r>
      <w:r w:rsidR="00C226B2">
        <w:rPr>
          <w:rFonts w:eastAsia="Calibri" w:cs="Arial"/>
          <w:szCs w:val="24"/>
        </w:rPr>
        <w:t xml:space="preserve"> στο πλαίσιο της μελέτης του νομοσχεδίου</w:t>
      </w:r>
      <w:r w:rsidR="00E12727" w:rsidRPr="0063746C">
        <w:rPr>
          <w:rFonts w:eastAsia="Calibri" w:cs="Arial"/>
          <w:szCs w:val="24"/>
        </w:rPr>
        <w:t xml:space="preserve"> </w:t>
      </w:r>
      <w:r w:rsidR="00920744">
        <w:rPr>
          <w:rFonts w:eastAsia="Calibri" w:cs="Arial"/>
          <w:szCs w:val="24"/>
        </w:rPr>
        <w:t xml:space="preserve">επέφερε </w:t>
      </w:r>
      <w:r w:rsidR="00E12727" w:rsidRPr="0063746C">
        <w:rPr>
          <w:rFonts w:eastAsia="Calibri" w:cs="Arial"/>
          <w:szCs w:val="24"/>
        </w:rPr>
        <w:t xml:space="preserve">στο κείμενο </w:t>
      </w:r>
      <w:r w:rsidR="00080689">
        <w:rPr>
          <w:rFonts w:eastAsia="Calibri" w:cs="Arial"/>
          <w:szCs w:val="24"/>
        </w:rPr>
        <w:t xml:space="preserve">αυτού </w:t>
      </w:r>
      <w:r w:rsidR="00920744">
        <w:rPr>
          <w:rFonts w:eastAsia="Calibri" w:cs="Arial"/>
          <w:szCs w:val="24"/>
        </w:rPr>
        <w:t>επιμέρους</w:t>
      </w:r>
      <w:r w:rsidR="00E12727" w:rsidRPr="0063746C">
        <w:rPr>
          <w:rFonts w:eastAsia="Calibri" w:cs="Arial"/>
          <w:szCs w:val="24"/>
        </w:rPr>
        <w:t xml:space="preserve"> τροποποιήσεις</w:t>
      </w:r>
      <w:r w:rsidR="0028590B">
        <w:rPr>
          <w:rFonts w:eastAsia="Calibri" w:cs="Arial"/>
          <w:szCs w:val="24"/>
        </w:rPr>
        <w:t>,</w:t>
      </w:r>
      <w:r w:rsidR="00E12727" w:rsidRPr="0063746C">
        <w:rPr>
          <w:rFonts w:eastAsia="Calibri" w:cs="Arial"/>
          <w:szCs w:val="24"/>
        </w:rPr>
        <w:t xml:space="preserve"> με σκοπό τη διασαφήνιση ορισμένων προνοιών </w:t>
      </w:r>
      <w:r w:rsidR="00E12727" w:rsidRPr="00A17A3E">
        <w:rPr>
          <w:rFonts w:eastAsia="Calibri" w:cs="Arial"/>
          <w:szCs w:val="24"/>
        </w:rPr>
        <w:t>του, καθώς και τη βελτίωσή του από νομοτεχνικής απόψεως.</w:t>
      </w:r>
    </w:p>
    <w:p w14:paraId="274503BC" w14:textId="24F5239E" w:rsidR="00704694" w:rsidRDefault="00E12727" w:rsidP="00704694">
      <w:pPr>
        <w:tabs>
          <w:tab w:val="left" w:pos="567"/>
          <w:tab w:val="left" w:pos="4961"/>
        </w:tabs>
        <w:spacing w:after="0" w:line="480" w:lineRule="auto"/>
        <w:jc w:val="both"/>
        <w:rPr>
          <w:rFonts w:cs="Arial"/>
          <w:bCs/>
          <w:szCs w:val="24"/>
        </w:rPr>
      </w:pPr>
      <w:r w:rsidRPr="00A17A3E">
        <w:rPr>
          <w:rFonts w:ascii="Arial" w:eastAsia="Calibri" w:hAnsi="Arial" w:cs="Arial"/>
          <w:sz w:val="24"/>
          <w:szCs w:val="24"/>
        </w:rPr>
        <w:tab/>
      </w:r>
      <w:r w:rsidR="00704694">
        <w:rPr>
          <w:rFonts w:ascii="Arial" w:hAnsi="Arial" w:cs="Arial"/>
          <w:sz w:val="24"/>
          <w:szCs w:val="24"/>
        </w:rPr>
        <w:t>Η Κοινοβουλευτική Επιτροπή Μεταφορών, Επικοινωνιών και Έργων</w:t>
      </w:r>
      <w:r w:rsidR="0028590B">
        <w:rPr>
          <w:rFonts w:ascii="Arial" w:hAnsi="Arial" w:cs="Arial"/>
          <w:sz w:val="24"/>
          <w:szCs w:val="24"/>
        </w:rPr>
        <w:t>,</w:t>
      </w:r>
      <w:r w:rsidR="00704694">
        <w:rPr>
          <w:rFonts w:ascii="Arial" w:hAnsi="Arial" w:cs="Arial"/>
          <w:sz w:val="24"/>
          <w:szCs w:val="24"/>
        </w:rPr>
        <w:t xml:space="preserve"> αφού έλαβε υπόψη όλα όσα </w:t>
      </w:r>
      <w:r w:rsidR="00704694">
        <w:rPr>
          <w:rFonts w:ascii="Arial" w:eastAsia="Calibri" w:hAnsi="Arial" w:cs="Arial"/>
          <w:sz w:val="24"/>
          <w:szCs w:val="24"/>
        </w:rPr>
        <w:t xml:space="preserve">τέθηκαν ενώπιόν της, κατά πλειοψηφία του </w:t>
      </w:r>
      <w:r w:rsidR="00704694">
        <w:rPr>
          <w:rFonts w:ascii="Arial" w:hAnsi="Arial" w:cs="Arial"/>
          <w:bCs/>
          <w:sz w:val="24"/>
          <w:szCs w:val="24"/>
        </w:rPr>
        <w:t>προέδρου</w:t>
      </w:r>
      <w:r w:rsidR="00704694">
        <w:rPr>
          <w:rFonts w:ascii="Arial" w:eastAsia="Calibri" w:hAnsi="Arial" w:cs="Arial"/>
          <w:sz w:val="24"/>
          <w:szCs w:val="24"/>
        </w:rPr>
        <w:t xml:space="preserve"> της βουλευτ</w:t>
      </w:r>
      <w:r w:rsidR="00600DE8">
        <w:rPr>
          <w:rFonts w:ascii="Arial" w:eastAsia="Calibri" w:hAnsi="Arial" w:cs="Arial"/>
          <w:sz w:val="24"/>
          <w:szCs w:val="24"/>
        </w:rPr>
        <w:t>ή</w:t>
      </w:r>
      <w:r w:rsidR="00704694">
        <w:rPr>
          <w:rFonts w:ascii="Arial" w:eastAsia="Calibri" w:hAnsi="Arial" w:cs="Arial"/>
          <w:sz w:val="24"/>
          <w:szCs w:val="24"/>
        </w:rPr>
        <w:t xml:space="preserve"> της Δημοκρατικής Παράταξης</w:t>
      </w:r>
      <w:r w:rsidR="0028590B">
        <w:rPr>
          <w:rFonts w:ascii="Arial" w:eastAsia="Calibri" w:hAnsi="Arial" w:cs="Arial"/>
          <w:sz w:val="24"/>
          <w:szCs w:val="24"/>
        </w:rPr>
        <w:t>-Συνεργασία Δημοκρατικών Δυνάμεων</w:t>
      </w:r>
      <w:r w:rsidR="00704694">
        <w:rPr>
          <w:rFonts w:ascii="Arial" w:eastAsia="Calibri" w:hAnsi="Arial" w:cs="Arial"/>
          <w:sz w:val="24"/>
          <w:szCs w:val="24"/>
        </w:rPr>
        <w:t xml:space="preserve"> </w:t>
      </w:r>
      <w:r w:rsidR="00600DE8">
        <w:rPr>
          <w:rFonts w:ascii="Arial" w:eastAsia="Calibri" w:hAnsi="Arial" w:cs="Arial"/>
          <w:sz w:val="24"/>
          <w:szCs w:val="24"/>
        </w:rPr>
        <w:t xml:space="preserve">και των μελών της βουλευτών </w:t>
      </w:r>
      <w:r w:rsidR="00704694">
        <w:rPr>
          <w:rFonts w:ascii="Arial" w:eastAsia="Calibri" w:hAnsi="Arial" w:cs="Arial"/>
          <w:sz w:val="24"/>
          <w:szCs w:val="24"/>
        </w:rPr>
        <w:t>των κοινοβουλευτικών ομάδων του Δημοκρατικού Συναγερμού και ΑΚΕΛ-Αριστερά-Νέες Δυνάμεις</w:t>
      </w:r>
      <w:r w:rsidR="00600DE8">
        <w:rPr>
          <w:rFonts w:ascii="Arial" w:eastAsia="Calibri" w:hAnsi="Arial" w:cs="Arial"/>
          <w:sz w:val="24"/>
          <w:szCs w:val="24"/>
        </w:rPr>
        <w:t>, καθώς και του μέλους της βουλευτή της ΕΔΕΚ Σοσιαλιστικό Κόμμα,</w:t>
      </w:r>
      <w:r w:rsidR="00704694">
        <w:rPr>
          <w:rFonts w:ascii="Arial" w:eastAsia="Calibri" w:hAnsi="Arial" w:cs="Arial"/>
          <w:sz w:val="24"/>
          <w:szCs w:val="24"/>
        </w:rPr>
        <w:t xml:space="preserve"> εισηγείται στη Βουλή την ψήφιση του νομοσχεδίου σε νόμο.</w:t>
      </w:r>
    </w:p>
    <w:p w14:paraId="5F330E63" w14:textId="77777777" w:rsidR="00704694" w:rsidRDefault="00704694" w:rsidP="0070469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Τα μέλη της επιτροπής βουλευτές της κοινοβουλευτικής ομάδας </w:t>
      </w:r>
      <w:r>
        <w:rPr>
          <w:rFonts w:ascii="Arial" w:eastAsia="Calibri" w:hAnsi="Arial" w:cs="Arial"/>
          <w:sz w:val="24"/>
          <w:szCs w:val="24"/>
        </w:rPr>
        <w:t>του Δημοκρατικού Κόμματος</w:t>
      </w:r>
      <w:r>
        <w:rPr>
          <w:rFonts w:ascii="Arial" w:hAnsi="Arial" w:cs="Arial"/>
          <w:bCs/>
          <w:sz w:val="24"/>
          <w:szCs w:val="24"/>
        </w:rPr>
        <w:t xml:space="preserve"> και του Κινήματος Οικολόγων-Συνεργασία Πολιτών επιφυλάχθηκαν να τοποθετηθούν επί του νομοσχεδίου κατά τη συζήτησή του στην ολομέλεια του σώματος.</w:t>
      </w:r>
    </w:p>
    <w:p w14:paraId="2BB6E7ED" w14:textId="44BBD8FC" w:rsidR="00AF2368" w:rsidRPr="00A17A3E" w:rsidRDefault="00AF2368" w:rsidP="002B7C5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34FFA36" w14:textId="2E3E8A4A" w:rsidR="000C3618" w:rsidRPr="000C3618" w:rsidRDefault="000C3618" w:rsidP="002B7C51">
      <w:pPr>
        <w:tabs>
          <w:tab w:val="left" w:pos="567"/>
          <w:tab w:val="left" w:pos="4961"/>
        </w:tabs>
        <w:spacing w:after="0"/>
        <w:rPr>
          <w:rFonts w:ascii="Arial" w:hAnsi="Arial" w:cs="Arial"/>
          <w:sz w:val="24"/>
          <w:szCs w:val="24"/>
        </w:rPr>
      </w:pPr>
    </w:p>
    <w:p w14:paraId="7F4198F4" w14:textId="1295BF1B" w:rsidR="000C3618" w:rsidRPr="000C3618" w:rsidRDefault="000C3618" w:rsidP="002B7C51">
      <w:pPr>
        <w:tabs>
          <w:tab w:val="left" w:pos="567"/>
          <w:tab w:val="left" w:pos="4961"/>
        </w:tabs>
        <w:spacing w:after="0"/>
        <w:rPr>
          <w:rFonts w:ascii="Arial" w:hAnsi="Arial" w:cs="Arial"/>
          <w:sz w:val="24"/>
          <w:szCs w:val="24"/>
        </w:rPr>
      </w:pPr>
    </w:p>
    <w:p w14:paraId="15D12908" w14:textId="10680F52" w:rsidR="000C3618" w:rsidRDefault="000C3618" w:rsidP="002B7C51">
      <w:pPr>
        <w:tabs>
          <w:tab w:val="left" w:pos="567"/>
          <w:tab w:val="left" w:pos="4961"/>
        </w:tabs>
        <w:spacing w:after="0"/>
        <w:rPr>
          <w:rFonts w:ascii="Arial" w:hAnsi="Arial" w:cs="Arial"/>
          <w:sz w:val="24"/>
          <w:szCs w:val="24"/>
        </w:rPr>
      </w:pPr>
    </w:p>
    <w:p w14:paraId="03207F54" w14:textId="77777777" w:rsidR="007B3090" w:rsidRPr="000C3618" w:rsidRDefault="007B3090" w:rsidP="002B7C51">
      <w:pPr>
        <w:tabs>
          <w:tab w:val="left" w:pos="567"/>
          <w:tab w:val="left" w:pos="4961"/>
        </w:tabs>
        <w:spacing w:after="0"/>
        <w:rPr>
          <w:rFonts w:ascii="Arial" w:hAnsi="Arial" w:cs="Arial"/>
          <w:sz w:val="24"/>
          <w:szCs w:val="24"/>
        </w:rPr>
      </w:pPr>
    </w:p>
    <w:p w14:paraId="4434782E" w14:textId="41D34228" w:rsidR="00E12727" w:rsidRPr="0063746C" w:rsidRDefault="0028590B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DD4324">
        <w:rPr>
          <w:rFonts w:ascii="Arial" w:hAnsi="Arial" w:cs="Arial"/>
          <w:sz w:val="24"/>
          <w:szCs w:val="24"/>
        </w:rPr>
        <w:t xml:space="preserve"> Μαρτίου 2023</w:t>
      </w:r>
    </w:p>
    <w:p w14:paraId="2BF3598C" w14:textId="145A6222" w:rsidR="00E12727" w:rsidRPr="0063746C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3746C">
        <w:rPr>
          <w:rFonts w:ascii="Arial" w:hAnsi="Arial" w:cs="Arial"/>
          <w:sz w:val="24"/>
          <w:szCs w:val="24"/>
        </w:rPr>
        <w:t>Αρ. Φακ.:  23.01.063.</w:t>
      </w:r>
      <w:r w:rsidR="00DD4324">
        <w:rPr>
          <w:rFonts w:ascii="Arial" w:hAnsi="Arial" w:cs="Arial"/>
          <w:sz w:val="24"/>
          <w:szCs w:val="24"/>
        </w:rPr>
        <w:t>175</w:t>
      </w:r>
      <w:r w:rsidRPr="0063746C">
        <w:rPr>
          <w:rFonts w:ascii="Arial" w:hAnsi="Arial" w:cs="Arial"/>
          <w:sz w:val="24"/>
          <w:szCs w:val="24"/>
        </w:rPr>
        <w:t>-2022</w:t>
      </w:r>
    </w:p>
    <w:p w14:paraId="43125992" w14:textId="20800B6C" w:rsidR="008B0F58" w:rsidRDefault="00D21BAB" w:rsidP="0028590B">
      <w:pPr>
        <w:widowControl w:val="0"/>
        <w:tabs>
          <w:tab w:val="left" w:pos="567"/>
          <w:tab w:val="left" w:pos="496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ΝΚ</w:t>
      </w:r>
    </w:p>
    <w:p w14:paraId="6B42EA1A" w14:textId="1ABD8085" w:rsidR="0028590B" w:rsidRDefault="0028590B" w:rsidP="0028590B">
      <w:pPr>
        <w:widowControl w:val="0"/>
        <w:tabs>
          <w:tab w:val="left" w:pos="567"/>
          <w:tab w:val="left" w:pos="496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ΑΓ</w:t>
      </w:r>
    </w:p>
    <w:p w14:paraId="72F83FFC" w14:textId="0525F584" w:rsidR="0028590B" w:rsidRDefault="0028590B" w:rsidP="0028590B">
      <w:pPr>
        <w:widowControl w:val="0"/>
        <w:tabs>
          <w:tab w:val="left" w:pos="567"/>
          <w:tab w:val="left" w:pos="496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ΑΛ</w:t>
      </w:r>
    </w:p>
    <w:p w14:paraId="1C487A8F" w14:textId="45CD1DF9" w:rsidR="0028590B" w:rsidRPr="00F026F7" w:rsidRDefault="0028590B" w:rsidP="0028590B">
      <w:pPr>
        <w:widowControl w:val="0"/>
        <w:tabs>
          <w:tab w:val="left" w:pos="567"/>
          <w:tab w:val="left" w:pos="496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ΧΧ</w:t>
      </w:r>
    </w:p>
    <w:sectPr w:rsidR="0028590B" w:rsidRPr="00F026F7" w:rsidSect="00891ED3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A4C" w14:textId="77777777" w:rsidR="00E911B8" w:rsidRDefault="00E911B8">
      <w:pPr>
        <w:spacing w:after="0" w:line="240" w:lineRule="auto"/>
      </w:pPr>
      <w:r>
        <w:separator/>
      </w:r>
    </w:p>
  </w:endnote>
  <w:endnote w:type="continuationSeparator" w:id="0">
    <w:p w14:paraId="10A0ADB8" w14:textId="77777777" w:rsidR="00E911B8" w:rsidRDefault="00E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EF9E" w14:textId="77777777" w:rsidR="00E911B8" w:rsidRDefault="00E911B8">
      <w:pPr>
        <w:spacing w:after="0" w:line="240" w:lineRule="auto"/>
      </w:pPr>
      <w:r>
        <w:separator/>
      </w:r>
    </w:p>
  </w:footnote>
  <w:footnote w:type="continuationSeparator" w:id="0">
    <w:p w14:paraId="582CC6FB" w14:textId="77777777" w:rsidR="00E911B8" w:rsidRDefault="00E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FF6D87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6"/>
  </w:num>
  <w:num w:numId="5" w16cid:durableId="2119717426">
    <w:abstractNumId w:val="0"/>
  </w:num>
  <w:num w:numId="6" w16cid:durableId="1969046937">
    <w:abstractNumId w:val="4"/>
  </w:num>
  <w:num w:numId="7" w16cid:durableId="93551841">
    <w:abstractNumId w:val="3"/>
  </w:num>
  <w:num w:numId="8" w16cid:durableId="696005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2763"/>
    <w:rsid w:val="00013643"/>
    <w:rsid w:val="00035005"/>
    <w:rsid w:val="00053E64"/>
    <w:rsid w:val="00063621"/>
    <w:rsid w:val="00070CEA"/>
    <w:rsid w:val="000801EB"/>
    <w:rsid w:val="00080689"/>
    <w:rsid w:val="000C3618"/>
    <w:rsid w:val="000C73EE"/>
    <w:rsid w:val="000D2444"/>
    <w:rsid w:val="000E10E7"/>
    <w:rsid w:val="000E506B"/>
    <w:rsid w:val="00132B2B"/>
    <w:rsid w:val="00145CFC"/>
    <w:rsid w:val="00146D6B"/>
    <w:rsid w:val="00152065"/>
    <w:rsid w:val="00156620"/>
    <w:rsid w:val="001762C1"/>
    <w:rsid w:val="00187F93"/>
    <w:rsid w:val="0019102F"/>
    <w:rsid w:val="00191722"/>
    <w:rsid w:val="00191AAE"/>
    <w:rsid w:val="001A1D0A"/>
    <w:rsid w:val="001B59C2"/>
    <w:rsid w:val="001E0655"/>
    <w:rsid w:val="00201CAE"/>
    <w:rsid w:val="00211895"/>
    <w:rsid w:val="00226930"/>
    <w:rsid w:val="00243CD4"/>
    <w:rsid w:val="00244A0B"/>
    <w:rsid w:val="0028010D"/>
    <w:rsid w:val="00284358"/>
    <w:rsid w:val="0028590B"/>
    <w:rsid w:val="002B18F6"/>
    <w:rsid w:val="002B5B2F"/>
    <w:rsid w:val="002B7C51"/>
    <w:rsid w:val="002C6256"/>
    <w:rsid w:val="002E5A9B"/>
    <w:rsid w:val="002E6B0A"/>
    <w:rsid w:val="002F6D3B"/>
    <w:rsid w:val="00303B9B"/>
    <w:rsid w:val="00315E98"/>
    <w:rsid w:val="00316560"/>
    <w:rsid w:val="003308B8"/>
    <w:rsid w:val="00351FC7"/>
    <w:rsid w:val="003634EB"/>
    <w:rsid w:val="00366022"/>
    <w:rsid w:val="003B1A20"/>
    <w:rsid w:val="003B5CD5"/>
    <w:rsid w:val="003B695E"/>
    <w:rsid w:val="003C1E4A"/>
    <w:rsid w:val="003C6142"/>
    <w:rsid w:val="00407A73"/>
    <w:rsid w:val="00416BBF"/>
    <w:rsid w:val="004450C7"/>
    <w:rsid w:val="0045648A"/>
    <w:rsid w:val="004762F7"/>
    <w:rsid w:val="00477B29"/>
    <w:rsid w:val="004C6221"/>
    <w:rsid w:val="004E0287"/>
    <w:rsid w:val="005028EF"/>
    <w:rsid w:val="00503630"/>
    <w:rsid w:val="005166E0"/>
    <w:rsid w:val="00516F92"/>
    <w:rsid w:val="005216D9"/>
    <w:rsid w:val="00532094"/>
    <w:rsid w:val="00540A8A"/>
    <w:rsid w:val="005549A1"/>
    <w:rsid w:val="005841A6"/>
    <w:rsid w:val="00590B6D"/>
    <w:rsid w:val="00596330"/>
    <w:rsid w:val="005B3820"/>
    <w:rsid w:val="005E5E82"/>
    <w:rsid w:val="005F4894"/>
    <w:rsid w:val="00600DE8"/>
    <w:rsid w:val="00607417"/>
    <w:rsid w:val="006162BB"/>
    <w:rsid w:val="00630620"/>
    <w:rsid w:val="00630F4E"/>
    <w:rsid w:val="00634471"/>
    <w:rsid w:val="0063746C"/>
    <w:rsid w:val="00644B90"/>
    <w:rsid w:val="00673BFD"/>
    <w:rsid w:val="00696D5B"/>
    <w:rsid w:val="006B42E6"/>
    <w:rsid w:val="006B6EDD"/>
    <w:rsid w:val="006D5F74"/>
    <w:rsid w:val="006D67CA"/>
    <w:rsid w:val="006E04ED"/>
    <w:rsid w:val="006E2FDD"/>
    <w:rsid w:val="006E3664"/>
    <w:rsid w:val="006F3B26"/>
    <w:rsid w:val="0070292E"/>
    <w:rsid w:val="0070458F"/>
    <w:rsid w:val="00704694"/>
    <w:rsid w:val="0071209E"/>
    <w:rsid w:val="00722598"/>
    <w:rsid w:val="007279C3"/>
    <w:rsid w:val="00742F08"/>
    <w:rsid w:val="00746632"/>
    <w:rsid w:val="00773589"/>
    <w:rsid w:val="007871BB"/>
    <w:rsid w:val="0079300E"/>
    <w:rsid w:val="007A1770"/>
    <w:rsid w:val="007A1818"/>
    <w:rsid w:val="007A27E3"/>
    <w:rsid w:val="007B03DF"/>
    <w:rsid w:val="007B1148"/>
    <w:rsid w:val="007B142D"/>
    <w:rsid w:val="007B15B3"/>
    <w:rsid w:val="007B3090"/>
    <w:rsid w:val="007C478B"/>
    <w:rsid w:val="007E04EB"/>
    <w:rsid w:val="007E6C00"/>
    <w:rsid w:val="007F154F"/>
    <w:rsid w:val="007F5320"/>
    <w:rsid w:val="00803D95"/>
    <w:rsid w:val="008042B2"/>
    <w:rsid w:val="0080770F"/>
    <w:rsid w:val="00816819"/>
    <w:rsid w:val="00821C21"/>
    <w:rsid w:val="008260A0"/>
    <w:rsid w:val="00834B79"/>
    <w:rsid w:val="00860BE2"/>
    <w:rsid w:val="0086449A"/>
    <w:rsid w:val="00872079"/>
    <w:rsid w:val="00883E21"/>
    <w:rsid w:val="008903A1"/>
    <w:rsid w:val="00891ED3"/>
    <w:rsid w:val="00892466"/>
    <w:rsid w:val="008B0F58"/>
    <w:rsid w:val="008C77A3"/>
    <w:rsid w:val="008D476C"/>
    <w:rsid w:val="008E5A27"/>
    <w:rsid w:val="008E6C24"/>
    <w:rsid w:val="008E6DF8"/>
    <w:rsid w:val="008E7872"/>
    <w:rsid w:val="00913167"/>
    <w:rsid w:val="00915C63"/>
    <w:rsid w:val="00920744"/>
    <w:rsid w:val="009430AD"/>
    <w:rsid w:val="00963BEA"/>
    <w:rsid w:val="00967864"/>
    <w:rsid w:val="00970350"/>
    <w:rsid w:val="00970953"/>
    <w:rsid w:val="00974848"/>
    <w:rsid w:val="00975FB5"/>
    <w:rsid w:val="00976840"/>
    <w:rsid w:val="0097698B"/>
    <w:rsid w:val="00981ECD"/>
    <w:rsid w:val="00992FD7"/>
    <w:rsid w:val="00994B65"/>
    <w:rsid w:val="009951D9"/>
    <w:rsid w:val="009B1CD6"/>
    <w:rsid w:val="009B3367"/>
    <w:rsid w:val="009F6170"/>
    <w:rsid w:val="00A016F2"/>
    <w:rsid w:val="00A12C9D"/>
    <w:rsid w:val="00A17A3E"/>
    <w:rsid w:val="00A26A2D"/>
    <w:rsid w:val="00A27E20"/>
    <w:rsid w:val="00A6000E"/>
    <w:rsid w:val="00A743AD"/>
    <w:rsid w:val="00A83225"/>
    <w:rsid w:val="00AA5FAD"/>
    <w:rsid w:val="00AA7764"/>
    <w:rsid w:val="00AC6DE8"/>
    <w:rsid w:val="00AD3741"/>
    <w:rsid w:val="00AE191C"/>
    <w:rsid w:val="00AE54D8"/>
    <w:rsid w:val="00AF2368"/>
    <w:rsid w:val="00B015B5"/>
    <w:rsid w:val="00B13796"/>
    <w:rsid w:val="00B227DC"/>
    <w:rsid w:val="00B2478E"/>
    <w:rsid w:val="00B51170"/>
    <w:rsid w:val="00B65806"/>
    <w:rsid w:val="00B8057E"/>
    <w:rsid w:val="00B84569"/>
    <w:rsid w:val="00B96129"/>
    <w:rsid w:val="00B973F2"/>
    <w:rsid w:val="00BC3A3E"/>
    <w:rsid w:val="00BD034D"/>
    <w:rsid w:val="00BE5018"/>
    <w:rsid w:val="00C226B2"/>
    <w:rsid w:val="00C53C45"/>
    <w:rsid w:val="00C54CBA"/>
    <w:rsid w:val="00C7678F"/>
    <w:rsid w:val="00C77888"/>
    <w:rsid w:val="00C946E2"/>
    <w:rsid w:val="00C972B2"/>
    <w:rsid w:val="00CB1BC7"/>
    <w:rsid w:val="00CD07DB"/>
    <w:rsid w:val="00CF015B"/>
    <w:rsid w:val="00CF5D3E"/>
    <w:rsid w:val="00D04542"/>
    <w:rsid w:val="00D21BAB"/>
    <w:rsid w:val="00D2734A"/>
    <w:rsid w:val="00D32D85"/>
    <w:rsid w:val="00D3675B"/>
    <w:rsid w:val="00D42B53"/>
    <w:rsid w:val="00D43BCE"/>
    <w:rsid w:val="00D54042"/>
    <w:rsid w:val="00D54F96"/>
    <w:rsid w:val="00D61FBE"/>
    <w:rsid w:val="00D7510D"/>
    <w:rsid w:val="00D765D6"/>
    <w:rsid w:val="00D83173"/>
    <w:rsid w:val="00D9372F"/>
    <w:rsid w:val="00DA4802"/>
    <w:rsid w:val="00DD0A7E"/>
    <w:rsid w:val="00DD4324"/>
    <w:rsid w:val="00DF5917"/>
    <w:rsid w:val="00E12727"/>
    <w:rsid w:val="00E1541F"/>
    <w:rsid w:val="00E33DD4"/>
    <w:rsid w:val="00E373F5"/>
    <w:rsid w:val="00E40875"/>
    <w:rsid w:val="00E50B3D"/>
    <w:rsid w:val="00E51998"/>
    <w:rsid w:val="00E562EA"/>
    <w:rsid w:val="00E71251"/>
    <w:rsid w:val="00E82555"/>
    <w:rsid w:val="00E911B8"/>
    <w:rsid w:val="00E92EAE"/>
    <w:rsid w:val="00EB25E8"/>
    <w:rsid w:val="00EB5229"/>
    <w:rsid w:val="00EC18AB"/>
    <w:rsid w:val="00EC253E"/>
    <w:rsid w:val="00EC3A53"/>
    <w:rsid w:val="00ED2CD0"/>
    <w:rsid w:val="00EE60EB"/>
    <w:rsid w:val="00F009DF"/>
    <w:rsid w:val="00F026F7"/>
    <w:rsid w:val="00F03567"/>
    <w:rsid w:val="00F16844"/>
    <w:rsid w:val="00F253C2"/>
    <w:rsid w:val="00F40806"/>
    <w:rsid w:val="00F56141"/>
    <w:rsid w:val="00F64643"/>
    <w:rsid w:val="00F7611D"/>
    <w:rsid w:val="00F84CB2"/>
    <w:rsid w:val="00F91284"/>
    <w:rsid w:val="00FA522D"/>
    <w:rsid w:val="00FB0B4F"/>
    <w:rsid w:val="00FB31AD"/>
    <w:rsid w:val="00FC24EE"/>
    <w:rsid w:val="00FD0313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F8A77-8C58-45B4-9924-C50F709F4F2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2b5ee4-1aaa-4de9-a9c3-9bb5dd66a51d"/>
    <ds:schemaRef ds:uri="4e7d1edd-4c3f-49ab-b568-1d39293129b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Antria Georgiou</cp:lastModifiedBy>
  <cp:revision>3</cp:revision>
  <cp:lastPrinted>2023-03-17T10:59:00Z</cp:lastPrinted>
  <dcterms:created xsi:type="dcterms:W3CDTF">2023-03-28T06:20:00Z</dcterms:created>
  <dcterms:modified xsi:type="dcterms:W3CDTF">2023-03-28T06:37:00Z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