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12629" w14:textId="1A9780A4" w:rsidR="001216D1" w:rsidRPr="00F640CA" w:rsidRDefault="00412A24" w:rsidP="00841CB2">
      <w:pPr>
        <w:spacing w:line="360" w:lineRule="auto"/>
        <w:jc w:val="center"/>
        <w:rPr>
          <w:rFonts w:ascii="Arial" w:hAnsi="Arial" w:cs="Arial"/>
          <w:bCs/>
          <w:lang w:val="el-GR"/>
        </w:rPr>
      </w:pPr>
      <w:r w:rsidRPr="00F640CA">
        <w:rPr>
          <w:rFonts w:ascii="Arial" w:hAnsi="Arial" w:cs="Arial"/>
          <w:bCs/>
          <w:lang w:val="el-GR"/>
        </w:rPr>
        <w:t>ΝΟΜΟ</w:t>
      </w:r>
      <w:r w:rsidR="002F0708">
        <w:rPr>
          <w:rFonts w:ascii="Arial" w:hAnsi="Arial" w:cs="Arial"/>
          <w:bCs/>
          <w:lang w:val="el-GR"/>
        </w:rPr>
        <w:t>Σ</w:t>
      </w:r>
      <w:r w:rsidRPr="00F640CA">
        <w:rPr>
          <w:rFonts w:ascii="Arial" w:hAnsi="Arial" w:cs="Arial"/>
          <w:bCs/>
          <w:lang w:val="el-GR"/>
        </w:rPr>
        <w:t xml:space="preserve"> ΠΟΥ ΤΡΟΠΟΠΟΙΕΙ ΤΟΥΣ </w:t>
      </w:r>
      <w:r w:rsidR="00A1242A" w:rsidRPr="00F640CA">
        <w:rPr>
          <w:rFonts w:ascii="Arial" w:hAnsi="Arial" w:cs="Arial"/>
          <w:bCs/>
          <w:lang w:val="el-GR"/>
        </w:rPr>
        <w:t xml:space="preserve">ΠΕΡΙ ΕΞΩΔΙΚΟΥ ΡΥΘΜΙΣΕΩΣ ΑΔΙΚΗΜΑΤΩΝ </w:t>
      </w:r>
      <w:r w:rsidRPr="00F640CA">
        <w:rPr>
          <w:rFonts w:ascii="Arial" w:hAnsi="Arial" w:cs="Arial"/>
          <w:bCs/>
          <w:lang w:val="el-GR"/>
        </w:rPr>
        <w:t>ΝΟΜΟΥΣ</w:t>
      </w:r>
      <w:r w:rsidR="00A1242A" w:rsidRPr="00F640CA">
        <w:rPr>
          <w:rFonts w:ascii="Arial" w:hAnsi="Arial" w:cs="Arial"/>
          <w:bCs/>
          <w:lang w:val="el-GR"/>
        </w:rPr>
        <w:t xml:space="preserve"> ΤΟΥ </w:t>
      </w:r>
      <w:r w:rsidRPr="00F640CA">
        <w:rPr>
          <w:rFonts w:ascii="Arial" w:hAnsi="Arial" w:cs="Arial"/>
          <w:bCs/>
          <w:lang w:val="el-GR"/>
        </w:rPr>
        <w:t>1997 ΕΩΣ (</w:t>
      </w:r>
      <w:proofErr w:type="spellStart"/>
      <w:r w:rsidRPr="00F640CA">
        <w:rPr>
          <w:rFonts w:ascii="Arial" w:hAnsi="Arial" w:cs="Arial"/>
          <w:bCs/>
          <w:lang w:val="el-GR"/>
        </w:rPr>
        <w:t>Αρ</w:t>
      </w:r>
      <w:proofErr w:type="spellEnd"/>
      <w:r w:rsidRPr="00F640CA">
        <w:rPr>
          <w:rFonts w:ascii="Arial" w:hAnsi="Arial" w:cs="Arial"/>
          <w:bCs/>
          <w:lang w:val="el-GR"/>
        </w:rPr>
        <w:t>.</w:t>
      </w:r>
      <w:r w:rsidR="00C61178">
        <w:rPr>
          <w:rFonts w:ascii="Arial" w:hAnsi="Arial" w:cs="Arial"/>
          <w:bCs/>
          <w:lang w:val="el-GR"/>
        </w:rPr>
        <w:t xml:space="preserve"> </w:t>
      </w:r>
      <w:r w:rsidRPr="00F640CA">
        <w:rPr>
          <w:rFonts w:ascii="Arial" w:hAnsi="Arial" w:cs="Arial"/>
          <w:bCs/>
          <w:lang w:val="el-GR"/>
        </w:rPr>
        <w:t xml:space="preserve">2) ΤΟΥ 2022. </w:t>
      </w:r>
    </w:p>
    <w:p w14:paraId="3DA1E4F0" w14:textId="77777777" w:rsidR="001216D1" w:rsidRPr="00F640CA" w:rsidRDefault="001216D1" w:rsidP="00841CB2">
      <w:pPr>
        <w:spacing w:line="360" w:lineRule="auto"/>
        <w:jc w:val="center"/>
        <w:rPr>
          <w:rFonts w:ascii="Arial" w:hAnsi="Arial" w:cs="Arial"/>
          <w:lang w:val="el-GR"/>
        </w:rPr>
      </w:pPr>
    </w:p>
    <w:tbl>
      <w:tblPr>
        <w:tblW w:w="9813" w:type="dxa"/>
        <w:tblInd w:w="-98" w:type="dxa"/>
        <w:tblLayout w:type="fixed"/>
        <w:tblLook w:val="01E0" w:firstRow="1" w:lastRow="1" w:firstColumn="1" w:lastColumn="1" w:noHBand="0" w:noVBand="0"/>
      </w:tblPr>
      <w:tblGrid>
        <w:gridCol w:w="2191"/>
        <w:gridCol w:w="7622"/>
      </w:tblGrid>
      <w:tr w:rsidR="002F0708" w:rsidRPr="00334855" w14:paraId="03208D57" w14:textId="77777777" w:rsidTr="000433AD">
        <w:tc>
          <w:tcPr>
            <w:tcW w:w="2191" w:type="dxa"/>
          </w:tcPr>
          <w:p w14:paraId="59E26852" w14:textId="77777777" w:rsidR="002F0708" w:rsidRPr="00412A24" w:rsidRDefault="002F0708" w:rsidP="000433AD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622" w:type="dxa"/>
          </w:tcPr>
          <w:p w14:paraId="5DC90062" w14:textId="15F453D8" w:rsidR="002F0708" w:rsidRPr="00412A24" w:rsidRDefault="0066366B" w:rsidP="0066366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ab/>
            </w:r>
            <w:r w:rsidR="002F0708">
              <w:rPr>
                <w:rFonts w:ascii="Arial" w:hAnsi="Arial" w:cs="Arial"/>
                <w:lang w:val="el-GR"/>
              </w:rPr>
              <w:t>Η Βουλή των Αντιπροσώπων ψηφίζει ως ακολούθως:</w:t>
            </w:r>
          </w:p>
        </w:tc>
      </w:tr>
      <w:tr w:rsidR="002F0708" w:rsidRPr="00334855" w14:paraId="32C350B7" w14:textId="77777777" w:rsidTr="000433AD">
        <w:tc>
          <w:tcPr>
            <w:tcW w:w="2191" w:type="dxa"/>
          </w:tcPr>
          <w:p w14:paraId="642C512F" w14:textId="77777777" w:rsidR="002F0708" w:rsidRPr="00412A24" w:rsidRDefault="002F0708" w:rsidP="000433AD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622" w:type="dxa"/>
          </w:tcPr>
          <w:p w14:paraId="13335151" w14:textId="77777777" w:rsidR="002F0708" w:rsidRDefault="002F0708" w:rsidP="00E47E0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153A02" w:rsidRPr="00334855" w14:paraId="7C08B92D" w14:textId="77777777" w:rsidTr="000433AD">
        <w:tc>
          <w:tcPr>
            <w:tcW w:w="2191" w:type="dxa"/>
          </w:tcPr>
          <w:p w14:paraId="06D89033" w14:textId="77777777" w:rsidR="000433AD" w:rsidRDefault="00AA6D18" w:rsidP="000433AD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 xml:space="preserve">Συνοπτικός </w:t>
            </w:r>
          </w:p>
          <w:p w14:paraId="3D20B32B" w14:textId="77777777" w:rsidR="00AA6D18" w:rsidRPr="00412A24" w:rsidRDefault="00AA6D18" w:rsidP="000433AD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τίτλος.</w:t>
            </w:r>
          </w:p>
          <w:p w14:paraId="2A864CC4" w14:textId="77777777" w:rsidR="004543F1" w:rsidRPr="00412A24" w:rsidRDefault="004543F1" w:rsidP="000433A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47(Ι) του 1997</w:t>
            </w:r>
          </w:p>
          <w:p w14:paraId="7D3BD45D" w14:textId="77777777" w:rsidR="004538C8" w:rsidRPr="00412A24" w:rsidRDefault="00791792" w:rsidP="000433A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82(Ι) του 2000</w:t>
            </w:r>
          </w:p>
          <w:p w14:paraId="7B4EF9D4" w14:textId="77777777" w:rsidR="004538C8" w:rsidRPr="00412A24" w:rsidRDefault="00791792" w:rsidP="000433A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52(Ι) του 2002</w:t>
            </w:r>
          </w:p>
          <w:p w14:paraId="1FD33892" w14:textId="77777777" w:rsidR="004538C8" w:rsidRPr="00412A24" w:rsidRDefault="004538C8" w:rsidP="000433A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27(Ι) του 2006</w:t>
            </w:r>
          </w:p>
          <w:p w14:paraId="052E0AF1" w14:textId="77777777" w:rsidR="004538C8" w:rsidRPr="00412A24" w:rsidRDefault="00791792" w:rsidP="000433A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96(Ι)</w:t>
            </w:r>
            <w:r w:rsidR="004538C8" w:rsidRPr="00412A24">
              <w:rPr>
                <w:rFonts w:ascii="Arial" w:hAnsi="Arial" w:cs="Arial"/>
                <w:lang w:val="el-GR"/>
              </w:rPr>
              <w:t xml:space="preserve"> του 2010</w:t>
            </w:r>
          </w:p>
          <w:p w14:paraId="5266611E" w14:textId="77777777" w:rsidR="004538C8" w:rsidRPr="00412A24" w:rsidRDefault="004538C8" w:rsidP="000433A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127(Ι) του 2010</w:t>
            </w:r>
          </w:p>
          <w:p w14:paraId="3CA8A420" w14:textId="77777777" w:rsidR="004538C8" w:rsidRPr="00412A24" w:rsidRDefault="00791792" w:rsidP="000433A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90(</w:t>
            </w:r>
            <w:r w:rsidR="004538C8" w:rsidRPr="00412A24">
              <w:rPr>
                <w:rFonts w:ascii="Arial" w:hAnsi="Arial" w:cs="Arial"/>
                <w:lang w:val="el-GR"/>
              </w:rPr>
              <w:t>Ι) του 2012</w:t>
            </w:r>
          </w:p>
          <w:p w14:paraId="2CAD2C81" w14:textId="77777777" w:rsidR="004538C8" w:rsidRPr="00412A24" w:rsidRDefault="004538C8" w:rsidP="000433A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99(Ι) του 2012</w:t>
            </w:r>
          </w:p>
          <w:p w14:paraId="0A911247" w14:textId="77777777" w:rsidR="004538C8" w:rsidRPr="00412A24" w:rsidRDefault="004538C8" w:rsidP="000433A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124(Ι) του 2013</w:t>
            </w:r>
          </w:p>
          <w:p w14:paraId="7A76F738" w14:textId="77777777" w:rsidR="004538C8" w:rsidRPr="00412A24" w:rsidRDefault="004538C8" w:rsidP="000433A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74(Ι) του 2015</w:t>
            </w:r>
          </w:p>
          <w:p w14:paraId="40F71FD9" w14:textId="77777777" w:rsidR="004538C8" w:rsidRPr="00412A24" w:rsidRDefault="004538C8" w:rsidP="000433A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44(Ι) του 2016</w:t>
            </w:r>
          </w:p>
          <w:p w14:paraId="638D8F16" w14:textId="77777777" w:rsidR="004538C8" w:rsidRPr="00412A24" w:rsidRDefault="004538C8" w:rsidP="000433A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20(Ι) του 2017</w:t>
            </w:r>
          </w:p>
          <w:p w14:paraId="48B7353B" w14:textId="77777777" w:rsidR="004538C8" w:rsidRPr="00412A24" w:rsidRDefault="004538C8" w:rsidP="000433A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135(Ι) του 2018</w:t>
            </w:r>
          </w:p>
          <w:p w14:paraId="3781E409" w14:textId="77777777" w:rsidR="004538C8" w:rsidRPr="00412A24" w:rsidRDefault="004538C8" w:rsidP="000433A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32(I) του 2020</w:t>
            </w:r>
          </w:p>
          <w:p w14:paraId="0D1611AD" w14:textId="77777777" w:rsidR="004538C8" w:rsidRPr="00412A24" w:rsidRDefault="004538C8" w:rsidP="000433A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35(Ι) του 2020</w:t>
            </w:r>
          </w:p>
          <w:p w14:paraId="22B0DC9C" w14:textId="77777777" w:rsidR="004538C8" w:rsidRPr="00412A24" w:rsidRDefault="004538C8" w:rsidP="000433A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71(Ι) του 2020</w:t>
            </w:r>
          </w:p>
          <w:p w14:paraId="760C2070" w14:textId="77777777" w:rsidR="004538C8" w:rsidRPr="00412A24" w:rsidRDefault="004538C8" w:rsidP="000433A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85(Ι) του 2020</w:t>
            </w:r>
          </w:p>
          <w:p w14:paraId="4A456BBD" w14:textId="77777777" w:rsidR="004538C8" w:rsidRPr="00412A24" w:rsidRDefault="004538C8" w:rsidP="000433A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132(Ι) του 2020</w:t>
            </w:r>
          </w:p>
          <w:p w14:paraId="6442FFA9" w14:textId="77777777" w:rsidR="006C016D" w:rsidRPr="00412A24" w:rsidRDefault="00791792" w:rsidP="000433A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133(Ι) του 2020</w:t>
            </w:r>
          </w:p>
          <w:p w14:paraId="7956D39A" w14:textId="77777777" w:rsidR="00412A24" w:rsidRDefault="006C016D" w:rsidP="000433A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139(Ι) του 2021</w:t>
            </w:r>
          </w:p>
          <w:p w14:paraId="1300B9A7" w14:textId="77777777" w:rsidR="00412A24" w:rsidRDefault="00412A24" w:rsidP="000433AD">
            <w:pPr>
              <w:spacing w:line="360" w:lineRule="auto"/>
              <w:ind w:right="113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137(Ι) του 2022</w:t>
            </w:r>
          </w:p>
          <w:p w14:paraId="1DDEF524" w14:textId="77777777" w:rsidR="004538C8" w:rsidRPr="00412A24" w:rsidRDefault="00412A24" w:rsidP="000433AD">
            <w:pPr>
              <w:spacing w:line="360" w:lineRule="auto"/>
              <w:ind w:right="57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138(Ι) του 2022</w:t>
            </w:r>
            <w:r w:rsidR="00791792" w:rsidRPr="00412A24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622" w:type="dxa"/>
          </w:tcPr>
          <w:p w14:paraId="0D6F25C5" w14:textId="02AC647F" w:rsidR="00153A02" w:rsidRPr="00412A24" w:rsidRDefault="006B6A85" w:rsidP="00E47E0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1.</w:t>
            </w:r>
            <w:r w:rsidR="000433AD">
              <w:rPr>
                <w:rFonts w:ascii="Arial" w:hAnsi="Arial" w:cs="Arial"/>
                <w:lang w:val="el-GR"/>
              </w:rPr>
              <w:tab/>
            </w:r>
            <w:r w:rsidRPr="00412A24">
              <w:rPr>
                <w:rFonts w:ascii="Arial" w:hAnsi="Arial" w:cs="Arial"/>
                <w:lang w:val="el-GR"/>
              </w:rPr>
              <w:t>Ο</w:t>
            </w:r>
            <w:r w:rsidR="00102EDB" w:rsidRPr="00412A24">
              <w:rPr>
                <w:rFonts w:ascii="Arial" w:hAnsi="Arial" w:cs="Arial"/>
                <w:lang w:val="el-GR"/>
              </w:rPr>
              <w:t xml:space="preserve"> παρών Νόμος θα αναφέρεται ως ο περί Εξωδίκου Ρυθμίσεως Αδικημάτων </w:t>
            </w:r>
            <w:r w:rsidRPr="00412A24">
              <w:rPr>
                <w:rFonts w:ascii="Arial" w:hAnsi="Arial" w:cs="Arial"/>
                <w:lang w:val="el-GR"/>
              </w:rPr>
              <w:t>(Τροποποιητικ</w:t>
            </w:r>
            <w:r w:rsidR="004543F1" w:rsidRPr="00412A24">
              <w:rPr>
                <w:rFonts w:ascii="Arial" w:hAnsi="Arial" w:cs="Arial"/>
                <w:lang w:val="el-GR"/>
              </w:rPr>
              <w:t>ός</w:t>
            </w:r>
            <w:r w:rsidRPr="00412A24">
              <w:rPr>
                <w:rFonts w:ascii="Arial" w:hAnsi="Arial" w:cs="Arial"/>
                <w:lang w:val="el-GR"/>
              </w:rPr>
              <w:t>)</w:t>
            </w:r>
            <w:r w:rsidR="00A1242A" w:rsidRPr="00412A24">
              <w:rPr>
                <w:rFonts w:ascii="Arial" w:hAnsi="Arial" w:cs="Arial"/>
                <w:lang w:val="el-GR"/>
              </w:rPr>
              <w:t xml:space="preserve"> </w:t>
            </w:r>
            <w:r w:rsidR="00412A24">
              <w:rPr>
                <w:rFonts w:ascii="Arial" w:hAnsi="Arial" w:cs="Arial"/>
                <w:lang w:val="el-GR"/>
              </w:rPr>
              <w:t>(</w:t>
            </w:r>
            <w:proofErr w:type="spellStart"/>
            <w:r w:rsidR="00412A24">
              <w:rPr>
                <w:rFonts w:ascii="Arial" w:hAnsi="Arial" w:cs="Arial"/>
                <w:lang w:val="el-GR"/>
              </w:rPr>
              <w:t>Αρ</w:t>
            </w:r>
            <w:proofErr w:type="spellEnd"/>
            <w:r w:rsidR="00412A24">
              <w:rPr>
                <w:rFonts w:ascii="Arial" w:hAnsi="Arial" w:cs="Arial"/>
                <w:lang w:val="el-GR"/>
              </w:rPr>
              <w:t>.</w:t>
            </w:r>
            <w:r w:rsidR="00C61178">
              <w:rPr>
                <w:rFonts w:ascii="Arial" w:hAnsi="Arial" w:cs="Arial"/>
                <w:lang w:val="el-GR"/>
              </w:rPr>
              <w:t xml:space="preserve"> </w:t>
            </w:r>
            <w:r w:rsidR="00334855">
              <w:rPr>
                <w:rFonts w:ascii="Arial" w:hAnsi="Arial" w:cs="Arial"/>
                <w:lang w:val="el-GR"/>
              </w:rPr>
              <w:t>3</w:t>
            </w:r>
            <w:bookmarkStart w:id="0" w:name="_GoBack"/>
            <w:bookmarkEnd w:id="0"/>
            <w:r w:rsidR="00412A24">
              <w:rPr>
                <w:rFonts w:ascii="Arial" w:hAnsi="Arial" w:cs="Arial"/>
                <w:lang w:val="el-GR"/>
              </w:rPr>
              <w:t xml:space="preserve">) </w:t>
            </w:r>
            <w:r w:rsidR="004543F1" w:rsidRPr="00412A24">
              <w:rPr>
                <w:rFonts w:ascii="Arial" w:hAnsi="Arial" w:cs="Arial"/>
                <w:lang w:val="el-GR"/>
              </w:rPr>
              <w:t>Νόμος</w:t>
            </w:r>
            <w:r w:rsidRPr="00412A24">
              <w:rPr>
                <w:rFonts w:ascii="Arial" w:hAnsi="Arial" w:cs="Arial"/>
                <w:lang w:val="el-GR"/>
              </w:rPr>
              <w:t xml:space="preserve"> του </w:t>
            </w:r>
            <w:r w:rsidR="00805429" w:rsidRPr="00412A24">
              <w:rPr>
                <w:rFonts w:ascii="Arial" w:hAnsi="Arial" w:cs="Arial"/>
                <w:lang w:val="el-GR"/>
              </w:rPr>
              <w:t>202</w:t>
            </w:r>
            <w:r w:rsidR="0082301B" w:rsidRPr="00412A24">
              <w:rPr>
                <w:rFonts w:ascii="Arial" w:hAnsi="Arial" w:cs="Arial"/>
                <w:lang w:val="el-GR"/>
              </w:rPr>
              <w:t>2</w:t>
            </w:r>
            <w:r w:rsidR="00805429" w:rsidRPr="00412A24">
              <w:rPr>
                <w:rFonts w:ascii="Arial" w:hAnsi="Arial" w:cs="Arial"/>
                <w:lang w:val="el-GR"/>
              </w:rPr>
              <w:t xml:space="preserve"> </w:t>
            </w:r>
            <w:r w:rsidRPr="00412A24">
              <w:rPr>
                <w:rFonts w:ascii="Arial" w:hAnsi="Arial" w:cs="Arial"/>
                <w:lang w:val="el-GR"/>
              </w:rPr>
              <w:t>και θα διαβάζ</w:t>
            </w:r>
            <w:r w:rsidR="00A1242A" w:rsidRPr="00412A24">
              <w:rPr>
                <w:rFonts w:ascii="Arial" w:hAnsi="Arial" w:cs="Arial"/>
                <w:lang w:val="el-GR"/>
              </w:rPr>
              <w:t>ε</w:t>
            </w:r>
            <w:r w:rsidRPr="00412A24">
              <w:rPr>
                <w:rFonts w:ascii="Arial" w:hAnsi="Arial" w:cs="Arial"/>
                <w:lang w:val="el-GR"/>
              </w:rPr>
              <w:t xml:space="preserve">ται μαζί με τους </w:t>
            </w:r>
            <w:r w:rsidR="004543F1" w:rsidRPr="00412A24">
              <w:rPr>
                <w:rFonts w:ascii="Arial" w:hAnsi="Arial" w:cs="Arial"/>
                <w:lang w:val="el-GR"/>
              </w:rPr>
              <w:t>περί Εξωδίκου Ρυθμίσεως Αδικημάτων Νόμους του 1997</w:t>
            </w:r>
            <w:r w:rsidRPr="00412A24">
              <w:rPr>
                <w:rFonts w:ascii="Arial" w:hAnsi="Arial" w:cs="Arial"/>
                <w:lang w:val="el-GR"/>
              </w:rPr>
              <w:t xml:space="preserve"> </w:t>
            </w:r>
            <w:r w:rsidR="004543F1" w:rsidRPr="00412A24">
              <w:rPr>
                <w:rFonts w:ascii="Arial" w:hAnsi="Arial" w:cs="Arial"/>
                <w:lang w:val="el-GR"/>
              </w:rPr>
              <w:t>έως</w:t>
            </w:r>
            <w:r w:rsidRPr="00412A24">
              <w:rPr>
                <w:rFonts w:ascii="Arial" w:hAnsi="Arial" w:cs="Arial"/>
                <w:lang w:val="el-GR"/>
              </w:rPr>
              <w:t xml:space="preserve"> </w:t>
            </w:r>
            <w:r w:rsidR="00412A24">
              <w:rPr>
                <w:rFonts w:ascii="Arial" w:hAnsi="Arial" w:cs="Arial"/>
                <w:lang w:val="el-GR"/>
              </w:rPr>
              <w:t>(</w:t>
            </w:r>
            <w:proofErr w:type="spellStart"/>
            <w:r w:rsidR="00412A24">
              <w:rPr>
                <w:rFonts w:ascii="Arial" w:hAnsi="Arial" w:cs="Arial"/>
                <w:lang w:val="el-GR"/>
              </w:rPr>
              <w:t>Αρ</w:t>
            </w:r>
            <w:proofErr w:type="spellEnd"/>
            <w:r w:rsidR="00412A24">
              <w:rPr>
                <w:rFonts w:ascii="Arial" w:hAnsi="Arial" w:cs="Arial"/>
                <w:lang w:val="el-GR"/>
              </w:rPr>
              <w:t>.</w:t>
            </w:r>
            <w:r w:rsidR="00C61178">
              <w:rPr>
                <w:rFonts w:ascii="Arial" w:hAnsi="Arial" w:cs="Arial"/>
                <w:lang w:val="el-GR"/>
              </w:rPr>
              <w:t xml:space="preserve"> </w:t>
            </w:r>
            <w:r w:rsidR="00412A24">
              <w:rPr>
                <w:rFonts w:ascii="Arial" w:hAnsi="Arial" w:cs="Arial"/>
                <w:lang w:val="el-GR"/>
              </w:rPr>
              <w:t>2) του</w:t>
            </w:r>
            <w:r w:rsidR="004543F1" w:rsidRPr="00412A24">
              <w:rPr>
                <w:rFonts w:ascii="Arial" w:hAnsi="Arial" w:cs="Arial"/>
                <w:lang w:val="el-GR"/>
              </w:rPr>
              <w:t xml:space="preserve"> </w:t>
            </w:r>
            <w:r w:rsidR="00805429" w:rsidRPr="00412A24">
              <w:rPr>
                <w:rFonts w:ascii="Arial" w:hAnsi="Arial" w:cs="Arial"/>
                <w:lang w:val="el-GR"/>
              </w:rPr>
              <w:t>202</w:t>
            </w:r>
            <w:r w:rsidR="00412A24">
              <w:rPr>
                <w:rFonts w:ascii="Arial" w:hAnsi="Arial" w:cs="Arial"/>
                <w:lang w:val="el-GR"/>
              </w:rPr>
              <w:t>2</w:t>
            </w:r>
            <w:r w:rsidR="00805429" w:rsidRPr="00412A24">
              <w:rPr>
                <w:rFonts w:ascii="Arial" w:hAnsi="Arial" w:cs="Arial"/>
                <w:lang w:val="el-GR"/>
              </w:rPr>
              <w:t xml:space="preserve"> </w:t>
            </w:r>
            <w:r w:rsidRPr="00412A24">
              <w:rPr>
                <w:rFonts w:ascii="Arial" w:hAnsi="Arial" w:cs="Arial"/>
                <w:lang w:val="el-GR"/>
              </w:rPr>
              <w:t>(που στο εξής θα αναφέρονται ως «ο</w:t>
            </w:r>
            <w:r w:rsidR="004543F1" w:rsidRPr="00412A24">
              <w:rPr>
                <w:rFonts w:ascii="Arial" w:hAnsi="Arial" w:cs="Arial"/>
                <w:lang w:val="el-GR"/>
              </w:rPr>
              <w:t xml:space="preserve"> βασικός</w:t>
            </w:r>
            <w:r w:rsidRPr="00412A24">
              <w:rPr>
                <w:rFonts w:ascii="Arial" w:hAnsi="Arial" w:cs="Arial"/>
                <w:lang w:val="el-GR"/>
              </w:rPr>
              <w:t xml:space="preserve"> </w:t>
            </w:r>
            <w:r w:rsidR="004543F1" w:rsidRPr="00412A24">
              <w:rPr>
                <w:rFonts w:ascii="Arial" w:hAnsi="Arial" w:cs="Arial"/>
                <w:lang w:val="el-GR"/>
              </w:rPr>
              <w:t>νόμος</w:t>
            </w:r>
            <w:r w:rsidRPr="00412A24">
              <w:rPr>
                <w:rFonts w:ascii="Arial" w:hAnsi="Arial" w:cs="Arial"/>
                <w:lang w:val="el-GR"/>
              </w:rPr>
              <w:t>») και ο βασικ</w:t>
            </w:r>
            <w:r w:rsidR="004543F1" w:rsidRPr="00412A24">
              <w:rPr>
                <w:rFonts w:ascii="Arial" w:hAnsi="Arial" w:cs="Arial"/>
                <w:lang w:val="el-GR"/>
              </w:rPr>
              <w:t>ός</w:t>
            </w:r>
            <w:r w:rsidRPr="00412A24">
              <w:rPr>
                <w:rFonts w:ascii="Arial" w:hAnsi="Arial" w:cs="Arial"/>
                <w:lang w:val="el-GR"/>
              </w:rPr>
              <w:t xml:space="preserve"> </w:t>
            </w:r>
            <w:r w:rsidR="004543F1" w:rsidRPr="00412A24">
              <w:rPr>
                <w:rFonts w:ascii="Arial" w:hAnsi="Arial" w:cs="Arial"/>
                <w:lang w:val="el-GR"/>
              </w:rPr>
              <w:t>νόμος</w:t>
            </w:r>
            <w:r w:rsidRPr="00412A24">
              <w:rPr>
                <w:rFonts w:ascii="Arial" w:hAnsi="Arial" w:cs="Arial"/>
                <w:lang w:val="el-GR"/>
              </w:rPr>
              <w:t xml:space="preserve"> και ο παρ</w:t>
            </w:r>
            <w:r w:rsidR="004543F1" w:rsidRPr="00412A24">
              <w:rPr>
                <w:rFonts w:ascii="Arial" w:hAnsi="Arial" w:cs="Arial"/>
                <w:lang w:val="el-GR"/>
              </w:rPr>
              <w:t>ών</w:t>
            </w:r>
            <w:r w:rsidRPr="00412A24">
              <w:rPr>
                <w:rFonts w:ascii="Arial" w:hAnsi="Arial" w:cs="Arial"/>
                <w:lang w:val="el-GR"/>
              </w:rPr>
              <w:t xml:space="preserve"> </w:t>
            </w:r>
            <w:r w:rsidR="004543F1" w:rsidRPr="00412A24">
              <w:rPr>
                <w:rFonts w:ascii="Arial" w:hAnsi="Arial" w:cs="Arial"/>
                <w:lang w:val="el-GR"/>
              </w:rPr>
              <w:t>Νόμος</w:t>
            </w:r>
            <w:r w:rsidRPr="00412A24">
              <w:rPr>
                <w:rFonts w:ascii="Arial" w:hAnsi="Arial" w:cs="Arial"/>
                <w:lang w:val="el-GR"/>
              </w:rPr>
              <w:t xml:space="preserve"> θα αναφέρονται μαζί ως οι </w:t>
            </w:r>
            <w:r w:rsidR="004543F1" w:rsidRPr="00412A24">
              <w:rPr>
                <w:rFonts w:ascii="Arial" w:hAnsi="Arial" w:cs="Arial"/>
                <w:lang w:val="el-GR"/>
              </w:rPr>
              <w:t>περί Εξωδίκου Ρυθμίσεως Αδικημάτων Νόμοι του 1997 έως</w:t>
            </w:r>
            <w:r w:rsidR="00412A24">
              <w:rPr>
                <w:rFonts w:ascii="Arial" w:hAnsi="Arial" w:cs="Arial"/>
                <w:lang w:val="el-GR"/>
              </w:rPr>
              <w:t xml:space="preserve"> (</w:t>
            </w:r>
            <w:proofErr w:type="spellStart"/>
            <w:r w:rsidR="00412A24">
              <w:rPr>
                <w:rFonts w:ascii="Arial" w:hAnsi="Arial" w:cs="Arial"/>
                <w:lang w:val="el-GR"/>
              </w:rPr>
              <w:t>Αρ</w:t>
            </w:r>
            <w:proofErr w:type="spellEnd"/>
            <w:r w:rsidR="00412A24">
              <w:rPr>
                <w:rFonts w:ascii="Arial" w:hAnsi="Arial" w:cs="Arial"/>
                <w:lang w:val="el-GR"/>
              </w:rPr>
              <w:t>.</w:t>
            </w:r>
            <w:r w:rsidR="00C61178">
              <w:rPr>
                <w:rFonts w:ascii="Arial" w:hAnsi="Arial" w:cs="Arial"/>
                <w:lang w:val="el-GR"/>
              </w:rPr>
              <w:t xml:space="preserve"> </w:t>
            </w:r>
            <w:r w:rsidR="00412A24">
              <w:rPr>
                <w:rFonts w:ascii="Arial" w:hAnsi="Arial" w:cs="Arial"/>
                <w:lang w:val="el-GR"/>
              </w:rPr>
              <w:t>3) του</w:t>
            </w:r>
            <w:r w:rsidRPr="00412A24">
              <w:rPr>
                <w:rFonts w:ascii="Arial" w:hAnsi="Arial" w:cs="Arial"/>
                <w:lang w:val="el-GR"/>
              </w:rPr>
              <w:t xml:space="preserve"> 20</w:t>
            </w:r>
            <w:r w:rsidR="00841CB2" w:rsidRPr="00412A24">
              <w:rPr>
                <w:rFonts w:ascii="Arial" w:hAnsi="Arial" w:cs="Arial"/>
                <w:lang w:val="el-GR"/>
              </w:rPr>
              <w:t>2</w:t>
            </w:r>
            <w:r w:rsidR="0082301B" w:rsidRPr="00412A24">
              <w:rPr>
                <w:rFonts w:ascii="Arial" w:hAnsi="Arial" w:cs="Arial"/>
                <w:lang w:val="el-GR"/>
              </w:rPr>
              <w:t>2</w:t>
            </w:r>
            <w:r w:rsidRPr="00412A24">
              <w:rPr>
                <w:rFonts w:ascii="Arial" w:hAnsi="Arial" w:cs="Arial"/>
                <w:lang w:val="el-GR"/>
              </w:rPr>
              <w:t>.</w:t>
            </w:r>
          </w:p>
        </w:tc>
      </w:tr>
      <w:tr w:rsidR="000433AD" w:rsidRPr="00334855" w14:paraId="4C796ED9" w14:textId="77777777" w:rsidTr="000433AD">
        <w:tc>
          <w:tcPr>
            <w:tcW w:w="2191" w:type="dxa"/>
          </w:tcPr>
          <w:p w14:paraId="75B4DF8B" w14:textId="77777777" w:rsidR="000433AD" w:rsidRPr="00412A24" w:rsidRDefault="000433AD" w:rsidP="000433AD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622" w:type="dxa"/>
          </w:tcPr>
          <w:p w14:paraId="36F0BC6D" w14:textId="77777777" w:rsidR="000433AD" w:rsidRPr="00412A24" w:rsidRDefault="000433AD" w:rsidP="00E47E0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841CB2" w:rsidRPr="00334855" w14:paraId="738CFC3B" w14:textId="77777777" w:rsidTr="000433AD">
        <w:tc>
          <w:tcPr>
            <w:tcW w:w="2191" w:type="dxa"/>
          </w:tcPr>
          <w:p w14:paraId="699E5F15" w14:textId="77777777" w:rsidR="000433AD" w:rsidRDefault="005A2073" w:rsidP="000433AD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 xml:space="preserve">Τροποποίηση </w:t>
            </w:r>
          </w:p>
          <w:p w14:paraId="7BB2AA2D" w14:textId="77777777" w:rsidR="000433AD" w:rsidRDefault="005A2073" w:rsidP="000433AD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 xml:space="preserve">του </w:t>
            </w:r>
            <w:r w:rsidR="00791792" w:rsidRPr="00412A24">
              <w:rPr>
                <w:rFonts w:ascii="Arial" w:hAnsi="Arial" w:cs="Arial"/>
                <w:lang w:val="el-GR"/>
              </w:rPr>
              <w:t>Πίνακα Ι</w:t>
            </w:r>
            <w:r w:rsidR="004538C8" w:rsidRPr="00412A24">
              <w:rPr>
                <w:rFonts w:ascii="Arial" w:hAnsi="Arial" w:cs="Arial"/>
                <w:lang w:val="el-GR"/>
              </w:rPr>
              <w:t xml:space="preserve"> </w:t>
            </w:r>
          </w:p>
          <w:p w14:paraId="103782BA" w14:textId="77777777" w:rsidR="000433AD" w:rsidRDefault="004538C8" w:rsidP="000433AD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 xml:space="preserve">του βασικού </w:t>
            </w:r>
          </w:p>
          <w:p w14:paraId="3C9ECF25" w14:textId="77777777" w:rsidR="00841CB2" w:rsidRPr="00412A24" w:rsidRDefault="004538C8" w:rsidP="000433AD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νόμου</w:t>
            </w:r>
            <w:r w:rsidR="005A2073" w:rsidRPr="00412A24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622" w:type="dxa"/>
          </w:tcPr>
          <w:p w14:paraId="337D9369" w14:textId="6E15F149" w:rsidR="00F3397F" w:rsidRPr="00412A24" w:rsidRDefault="005A2073" w:rsidP="000433AD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2.</w:t>
            </w:r>
            <w:r w:rsidR="000433AD">
              <w:rPr>
                <w:rFonts w:ascii="Arial" w:hAnsi="Arial" w:cs="Arial"/>
                <w:lang w:val="el-GR"/>
              </w:rPr>
              <w:tab/>
            </w:r>
            <w:r w:rsidR="009607CA" w:rsidRPr="00412A24">
              <w:rPr>
                <w:rFonts w:ascii="Arial" w:hAnsi="Arial" w:cs="Arial"/>
                <w:lang w:val="el-GR"/>
              </w:rPr>
              <w:t xml:space="preserve">Ο Πίνακας Ι του βασικού νόμου </w:t>
            </w:r>
            <w:r w:rsidRPr="00412A24">
              <w:rPr>
                <w:rFonts w:ascii="Arial" w:hAnsi="Arial" w:cs="Arial"/>
                <w:lang w:val="el-GR"/>
              </w:rPr>
              <w:t>τροποποιείται</w:t>
            </w:r>
            <w:r w:rsidR="000279D5" w:rsidRPr="00412A24">
              <w:rPr>
                <w:rFonts w:ascii="Arial" w:hAnsi="Arial" w:cs="Arial"/>
                <w:lang w:val="el-GR"/>
              </w:rPr>
              <w:t xml:space="preserve"> με</w:t>
            </w:r>
            <w:r w:rsidRPr="00412A24">
              <w:rPr>
                <w:rFonts w:ascii="Arial" w:hAnsi="Arial" w:cs="Arial"/>
                <w:lang w:val="el-GR"/>
              </w:rPr>
              <w:t xml:space="preserve"> </w:t>
            </w:r>
            <w:r w:rsidR="000279D5" w:rsidRPr="00412A24">
              <w:rPr>
                <w:rFonts w:ascii="Arial" w:hAnsi="Arial" w:cs="Arial"/>
                <w:lang w:val="el-GR"/>
              </w:rPr>
              <w:t xml:space="preserve">την </w:t>
            </w:r>
            <w:r w:rsidR="00F3397F" w:rsidRPr="00412A24">
              <w:rPr>
                <w:rFonts w:ascii="Arial" w:hAnsi="Arial" w:cs="Arial"/>
                <w:lang w:val="el-GR"/>
              </w:rPr>
              <w:t>προσθήκη</w:t>
            </w:r>
            <w:r w:rsidR="002F0708">
              <w:rPr>
                <w:rFonts w:ascii="Arial" w:hAnsi="Arial" w:cs="Arial"/>
                <w:lang w:val="el-GR"/>
              </w:rPr>
              <w:t>,</w:t>
            </w:r>
            <w:r w:rsidR="00F3397F" w:rsidRPr="00412A24">
              <w:rPr>
                <w:rFonts w:ascii="Arial" w:hAnsi="Arial" w:cs="Arial"/>
                <w:lang w:val="el-GR"/>
              </w:rPr>
              <w:t xml:space="preserve"> αμέσως μετά </w:t>
            </w:r>
            <w:r w:rsidR="00412A24">
              <w:rPr>
                <w:rFonts w:ascii="Arial" w:hAnsi="Arial" w:cs="Arial"/>
                <w:lang w:val="el-GR"/>
              </w:rPr>
              <w:t xml:space="preserve">το αδίκημα με </w:t>
            </w:r>
            <w:r w:rsidR="002F0708">
              <w:rPr>
                <w:rFonts w:ascii="Arial" w:hAnsi="Arial" w:cs="Arial"/>
                <w:lang w:val="el-GR"/>
              </w:rPr>
              <w:t>αύξοντα</w:t>
            </w:r>
            <w:r w:rsidR="00412A24">
              <w:rPr>
                <w:rFonts w:ascii="Arial" w:hAnsi="Arial" w:cs="Arial"/>
                <w:lang w:val="el-GR"/>
              </w:rPr>
              <w:t xml:space="preserve"> αριθμό 33, του ακόλουθου νέου αδικήματος</w:t>
            </w:r>
            <w:r w:rsidR="000279D5" w:rsidRPr="00412A24">
              <w:rPr>
                <w:rFonts w:ascii="Arial" w:hAnsi="Arial" w:cs="Arial"/>
                <w:lang w:val="el-GR"/>
              </w:rPr>
              <w:t>:</w:t>
            </w:r>
          </w:p>
        </w:tc>
      </w:tr>
    </w:tbl>
    <w:p w14:paraId="4A78F4C4" w14:textId="77777777" w:rsidR="0066366B" w:rsidRPr="00334855" w:rsidRDefault="0066366B">
      <w:pPr>
        <w:rPr>
          <w:lang w:val="el-GR"/>
        </w:rPr>
      </w:pPr>
    </w:p>
    <w:tbl>
      <w:tblPr>
        <w:tblW w:w="9813" w:type="dxa"/>
        <w:tblInd w:w="-98" w:type="dxa"/>
        <w:tblLayout w:type="fixed"/>
        <w:tblLook w:val="01E0" w:firstRow="1" w:lastRow="1" w:firstColumn="1" w:lastColumn="1" w:noHBand="0" w:noVBand="0"/>
      </w:tblPr>
      <w:tblGrid>
        <w:gridCol w:w="2191"/>
        <w:gridCol w:w="742"/>
        <w:gridCol w:w="2410"/>
        <w:gridCol w:w="2552"/>
        <w:gridCol w:w="1134"/>
        <w:gridCol w:w="784"/>
      </w:tblGrid>
      <w:tr w:rsidR="000433AD" w:rsidRPr="00334855" w14:paraId="704BEA7E" w14:textId="77777777" w:rsidTr="000433AD">
        <w:tc>
          <w:tcPr>
            <w:tcW w:w="2191" w:type="dxa"/>
          </w:tcPr>
          <w:p w14:paraId="02B56284" w14:textId="77777777" w:rsidR="000433AD" w:rsidRPr="00412A24" w:rsidRDefault="000433AD" w:rsidP="000433AD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622" w:type="dxa"/>
            <w:gridSpan w:val="5"/>
          </w:tcPr>
          <w:p w14:paraId="039117D5" w14:textId="77777777" w:rsidR="000433AD" w:rsidRPr="00412A24" w:rsidRDefault="000433AD" w:rsidP="000433AD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66366B" w:rsidRPr="0066366B" w14:paraId="72BD96C7" w14:textId="77777777" w:rsidTr="001E2C8B">
        <w:tc>
          <w:tcPr>
            <w:tcW w:w="2191" w:type="dxa"/>
          </w:tcPr>
          <w:p w14:paraId="66F3486C" w14:textId="77777777" w:rsidR="0066366B" w:rsidRPr="00412A24" w:rsidRDefault="0066366B" w:rsidP="000433AD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742" w:type="dxa"/>
          </w:tcPr>
          <w:p w14:paraId="1F9A7A75" w14:textId="7D98F6A2" w:rsidR="0066366B" w:rsidRPr="00412A24" w:rsidRDefault="0066366B" w:rsidP="000433AD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«34</w:t>
            </w:r>
          </w:p>
        </w:tc>
        <w:tc>
          <w:tcPr>
            <w:tcW w:w="2410" w:type="dxa"/>
          </w:tcPr>
          <w:p w14:paraId="04589F24" w14:textId="7028C2C8" w:rsidR="0066366B" w:rsidRPr="00412A24" w:rsidRDefault="0066366B" w:rsidP="0066366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Πρόσωπο το οποίο κατά τη χρήση Συσκευής Προσωπικής Κινητικότητας, δε φέρει κατάλληλα φωσφορίζοντα διακριτικά.</w:t>
            </w:r>
          </w:p>
        </w:tc>
        <w:tc>
          <w:tcPr>
            <w:tcW w:w="2552" w:type="dxa"/>
          </w:tcPr>
          <w:p w14:paraId="58944250" w14:textId="77777777" w:rsidR="0066366B" w:rsidRPr="00412A24" w:rsidRDefault="0066366B" w:rsidP="0066366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 xml:space="preserve">Οι περί </w:t>
            </w:r>
            <w:r>
              <w:rPr>
                <w:rFonts w:ascii="Arial" w:hAnsi="Arial" w:cs="Arial"/>
                <w:lang w:val="el-GR"/>
              </w:rPr>
              <w:t xml:space="preserve">της </w:t>
            </w:r>
            <w:r w:rsidRPr="00412A24">
              <w:rPr>
                <w:rFonts w:ascii="Arial" w:hAnsi="Arial" w:cs="Arial"/>
                <w:lang w:val="el-GR"/>
              </w:rPr>
              <w:t>Ρύθμισης της</w:t>
            </w:r>
          </w:p>
          <w:p w14:paraId="4AC0DCAA" w14:textId="77777777" w:rsidR="0066366B" w:rsidRPr="00412A24" w:rsidRDefault="0066366B" w:rsidP="0066366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Διακίνησης Ποδηλάτων</w:t>
            </w:r>
          </w:p>
          <w:p w14:paraId="63DE4B49" w14:textId="77777777" w:rsidR="0066366B" w:rsidRPr="00412A24" w:rsidRDefault="0066366B" w:rsidP="0066366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και άλλων Συσκευών</w:t>
            </w:r>
          </w:p>
          <w:p w14:paraId="61FB0E14" w14:textId="77777777" w:rsidR="0066366B" w:rsidRPr="00412A24" w:rsidRDefault="0066366B" w:rsidP="0066366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Προσωπικής</w:t>
            </w:r>
          </w:p>
          <w:p w14:paraId="7757F7F1" w14:textId="77777777" w:rsidR="0066366B" w:rsidRPr="00412A24" w:rsidRDefault="0066366B" w:rsidP="0066366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Κινητικότητας Νόμοι του</w:t>
            </w:r>
          </w:p>
          <w:p w14:paraId="04CFE139" w14:textId="412ECC00" w:rsidR="0066366B" w:rsidRPr="00412A24" w:rsidRDefault="0066366B" w:rsidP="0066366B">
            <w:pPr>
              <w:tabs>
                <w:tab w:val="left" w:pos="567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2018 έως (</w:t>
            </w:r>
            <w:proofErr w:type="spellStart"/>
            <w:r w:rsidRPr="00412A24">
              <w:rPr>
                <w:rFonts w:ascii="Arial" w:hAnsi="Arial" w:cs="Arial"/>
                <w:lang w:val="el-GR"/>
              </w:rPr>
              <w:t>Αρ</w:t>
            </w:r>
            <w:proofErr w:type="spellEnd"/>
            <w:r w:rsidRPr="00412A24">
              <w:rPr>
                <w:rFonts w:ascii="Arial" w:hAnsi="Arial" w:cs="Arial"/>
                <w:lang w:val="el-GR"/>
              </w:rPr>
              <w:t>.</w:t>
            </w:r>
            <w:r w:rsidR="00C61178">
              <w:rPr>
                <w:rFonts w:ascii="Arial" w:hAnsi="Arial" w:cs="Arial"/>
                <w:lang w:val="el-GR"/>
              </w:rPr>
              <w:t xml:space="preserve"> </w:t>
            </w:r>
            <w:r w:rsidRPr="00412A24">
              <w:rPr>
                <w:rFonts w:ascii="Arial" w:hAnsi="Arial" w:cs="Arial"/>
                <w:lang w:val="el-GR"/>
              </w:rPr>
              <w:t>2) του</w:t>
            </w:r>
          </w:p>
          <w:p w14:paraId="56DDEA3D" w14:textId="3600072C" w:rsidR="0066366B" w:rsidRPr="00412A24" w:rsidRDefault="0066366B" w:rsidP="0066366B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2022.</w:t>
            </w:r>
          </w:p>
        </w:tc>
        <w:tc>
          <w:tcPr>
            <w:tcW w:w="1134" w:type="dxa"/>
          </w:tcPr>
          <w:p w14:paraId="1A700EEA" w14:textId="499AA795" w:rsidR="0066366B" w:rsidRPr="00412A24" w:rsidRDefault="0066366B" w:rsidP="000433AD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27(9)(</w:t>
            </w:r>
            <w:proofErr w:type="spellStart"/>
            <w:r w:rsidRPr="00412A24">
              <w:rPr>
                <w:rFonts w:ascii="Arial" w:hAnsi="Arial" w:cs="Arial"/>
                <w:lang w:val="el-GR"/>
              </w:rPr>
              <w:t>ι</w:t>
            </w:r>
            <w:r>
              <w:rPr>
                <w:rFonts w:ascii="Arial" w:hAnsi="Arial" w:cs="Arial"/>
                <w:lang w:val="el-GR"/>
              </w:rPr>
              <w:t>ζ</w:t>
            </w:r>
            <w:proofErr w:type="spellEnd"/>
            <w:r w:rsidRPr="00412A24">
              <w:rPr>
                <w:rFonts w:ascii="Arial" w:hAnsi="Arial" w:cs="Arial"/>
                <w:lang w:val="el-GR"/>
              </w:rPr>
              <w:t>)</w:t>
            </w:r>
          </w:p>
        </w:tc>
        <w:tc>
          <w:tcPr>
            <w:tcW w:w="784" w:type="dxa"/>
          </w:tcPr>
          <w:p w14:paraId="40BCF69F" w14:textId="77777777" w:rsidR="0066366B" w:rsidRDefault="0066366B" w:rsidP="0066366B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lang w:val="el-GR"/>
              </w:rPr>
            </w:pPr>
            <w:r w:rsidRPr="00412A24">
              <w:rPr>
                <w:rFonts w:ascii="Arial" w:hAnsi="Arial" w:cs="Arial"/>
                <w:lang w:val="el-GR"/>
              </w:rPr>
              <w:t>€50</w:t>
            </w:r>
          </w:p>
          <w:p w14:paraId="0EC461B1" w14:textId="77777777" w:rsidR="0066366B" w:rsidRDefault="0066366B" w:rsidP="000433AD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3C65D0B5" w14:textId="77777777" w:rsidR="001E2C8B" w:rsidRDefault="001E2C8B" w:rsidP="000433AD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2F784E5F" w14:textId="77777777" w:rsidR="001E2C8B" w:rsidRDefault="001E2C8B" w:rsidP="000433AD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42D043E7" w14:textId="77777777" w:rsidR="001E2C8B" w:rsidRDefault="001E2C8B" w:rsidP="000433AD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38DA537F" w14:textId="77777777" w:rsidR="001E2C8B" w:rsidRDefault="001E2C8B" w:rsidP="000433AD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711E6DA5" w14:textId="77777777" w:rsidR="001E2C8B" w:rsidRDefault="001E2C8B" w:rsidP="000433AD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29979D05" w14:textId="77777777" w:rsidR="001E2C8B" w:rsidRDefault="001E2C8B" w:rsidP="000433AD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2C920649" w14:textId="77777777" w:rsidR="001E2C8B" w:rsidRDefault="001E2C8B" w:rsidP="000433AD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1E2E569D" w14:textId="3D99C397" w:rsidR="001E2C8B" w:rsidRPr="00412A24" w:rsidRDefault="001E2C8B" w:rsidP="001E2C8B">
            <w:pPr>
              <w:tabs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».</w:t>
            </w:r>
          </w:p>
        </w:tc>
      </w:tr>
      <w:tr w:rsidR="00412A24" w:rsidRPr="00412A24" w14:paraId="0759EFB5" w14:textId="77777777" w:rsidTr="000433AD">
        <w:trPr>
          <w:trHeight w:val="212"/>
        </w:trPr>
        <w:tc>
          <w:tcPr>
            <w:tcW w:w="9813" w:type="dxa"/>
            <w:gridSpan w:val="6"/>
          </w:tcPr>
          <w:p w14:paraId="3E135969" w14:textId="77777777" w:rsidR="00412A24" w:rsidRPr="00412A24" w:rsidRDefault="00412A24" w:rsidP="00F3397F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14:paraId="3D3B4752" w14:textId="77777777" w:rsidR="001E2C8B" w:rsidRDefault="001E2C8B" w:rsidP="002F0708">
      <w:pPr>
        <w:spacing w:line="360" w:lineRule="auto"/>
        <w:ind w:right="-285"/>
        <w:jc w:val="right"/>
        <w:rPr>
          <w:rFonts w:ascii="Arial" w:hAnsi="Arial" w:cs="Arial"/>
          <w:lang w:val="el-GR"/>
        </w:rPr>
      </w:pPr>
    </w:p>
    <w:p w14:paraId="6D5D8AAD" w14:textId="7411435A" w:rsidR="004F04CA" w:rsidRDefault="001E2C8B" w:rsidP="004538C8">
      <w:pPr>
        <w:spacing w:line="360" w:lineRule="auto"/>
        <w:rPr>
          <w:rFonts w:ascii="Arial" w:hAnsi="Arial" w:cs="Arial"/>
          <w:lang w:val="el-GR"/>
        </w:rPr>
      </w:pPr>
      <w:proofErr w:type="spellStart"/>
      <w:r w:rsidRPr="001E2C8B">
        <w:rPr>
          <w:rFonts w:ascii="Arial" w:hAnsi="Arial" w:cs="Arial"/>
          <w:lang w:val="el-GR"/>
        </w:rPr>
        <w:t>Αρ</w:t>
      </w:r>
      <w:proofErr w:type="spellEnd"/>
      <w:r w:rsidRPr="001E2C8B">
        <w:rPr>
          <w:rFonts w:ascii="Arial" w:hAnsi="Arial" w:cs="Arial"/>
          <w:lang w:val="el-GR"/>
        </w:rPr>
        <w:t xml:space="preserve">. </w:t>
      </w:r>
      <w:proofErr w:type="spellStart"/>
      <w:r w:rsidRPr="001E2C8B">
        <w:rPr>
          <w:rFonts w:ascii="Arial" w:hAnsi="Arial" w:cs="Arial"/>
          <w:lang w:val="el-GR"/>
        </w:rPr>
        <w:t>Φακ</w:t>
      </w:r>
      <w:proofErr w:type="spellEnd"/>
      <w:r w:rsidRPr="001E2C8B">
        <w:rPr>
          <w:rFonts w:ascii="Arial" w:hAnsi="Arial" w:cs="Arial"/>
          <w:lang w:val="el-GR"/>
        </w:rPr>
        <w:t>.: 23.02.063.1</w:t>
      </w:r>
      <w:r>
        <w:rPr>
          <w:rFonts w:ascii="Arial" w:hAnsi="Arial" w:cs="Arial"/>
          <w:lang w:val="el-GR"/>
        </w:rPr>
        <w:t>40</w:t>
      </w:r>
      <w:r w:rsidRPr="001E2C8B">
        <w:rPr>
          <w:rFonts w:ascii="Arial" w:hAnsi="Arial" w:cs="Arial"/>
          <w:lang w:val="el-GR"/>
        </w:rPr>
        <w:t>-2022</w:t>
      </w:r>
    </w:p>
    <w:p w14:paraId="389E0768" w14:textId="4DE95073" w:rsidR="004F04CA" w:rsidRDefault="00113502" w:rsidP="004538C8">
      <w:pPr>
        <w:spacing w:line="360" w:lineRule="auto"/>
        <w:rPr>
          <w:rFonts w:ascii="Arial" w:hAnsi="Arial" w:cs="Arial"/>
          <w:lang w:val="el-GR"/>
        </w:rPr>
      </w:pPr>
      <w:proofErr w:type="spellStart"/>
      <w:r>
        <w:rPr>
          <w:rFonts w:ascii="Arial" w:hAnsi="Arial" w:cs="Arial"/>
          <w:lang w:val="el-GR"/>
        </w:rPr>
        <w:t>ΑΔ</w:t>
      </w:r>
      <w:proofErr w:type="spellEnd"/>
      <w:r>
        <w:rPr>
          <w:rFonts w:ascii="Arial" w:hAnsi="Arial" w:cs="Arial"/>
          <w:lang w:val="el-GR"/>
        </w:rPr>
        <w:t>/</w:t>
      </w:r>
      <w:r w:rsidR="000433AD">
        <w:rPr>
          <w:rFonts w:ascii="Arial" w:hAnsi="Arial" w:cs="Arial"/>
          <w:lang w:val="el-GR"/>
        </w:rPr>
        <w:t>ΜΙ</w:t>
      </w:r>
      <w:r w:rsidR="0066366B">
        <w:rPr>
          <w:rFonts w:ascii="Arial" w:hAnsi="Arial" w:cs="Arial"/>
          <w:lang w:val="el-GR"/>
        </w:rPr>
        <w:t>/</w:t>
      </w:r>
      <w:proofErr w:type="spellStart"/>
      <w:r w:rsidR="0066366B">
        <w:rPr>
          <w:rFonts w:ascii="Arial" w:hAnsi="Arial" w:cs="Arial"/>
          <w:lang w:val="el-GR"/>
        </w:rPr>
        <w:t>ΘΧ</w:t>
      </w:r>
      <w:proofErr w:type="spellEnd"/>
    </w:p>
    <w:p w14:paraId="218F04AA" w14:textId="77777777" w:rsidR="004F04CA" w:rsidRDefault="004F04CA" w:rsidP="004538C8">
      <w:pPr>
        <w:spacing w:line="360" w:lineRule="auto"/>
        <w:rPr>
          <w:rFonts w:ascii="Arial" w:hAnsi="Arial" w:cs="Arial"/>
          <w:lang w:val="el-GR"/>
        </w:rPr>
      </w:pPr>
    </w:p>
    <w:p w14:paraId="06B2A61C" w14:textId="0F42FCBB" w:rsidR="000433AD" w:rsidRDefault="000433AD">
      <w:pPr>
        <w:rPr>
          <w:rFonts w:ascii="Arial" w:hAnsi="Arial" w:cs="Arial"/>
          <w:lang w:val="el-GR"/>
        </w:rPr>
      </w:pPr>
    </w:p>
    <w:sectPr w:rsidR="000433AD" w:rsidSect="000433AD">
      <w:headerReference w:type="even" r:id="rId8"/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FDE13" w14:textId="77777777" w:rsidR="00E07A61" w:rsidRDefault="00E07A61">
      <w:r>
        <w:separator/>
      </w:r>
    </w:p>
  </w:endnote>
  <w:endnote w:type="continuationSeparator" w:id="0">
    <w:p w14:paraId="43840261" w14:textId="77777777" w:rsidR="00E07A61" w:rsidRDefault="00E0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0320D" w14:textId="77777777" w:rsidR="00E07A61" w:rsidRDefault="00E07A61">
      <w:r>
        <w:separator/>
      </w:r>
    </w:p>
  </w:footnote>
  <w:footnote w:type="continuationSeparator" w:id="0">
    <w:p w14:paraId="6D88B89A" w14:textId="77777777" w:rsidR="00E07A61" w:rsidRDefault="00E0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C2C61" w14:textId="77777777" w:rsidR="002C313F" w:rsidRDefault="00507F7E" w:rsidP="00B000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31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3F6B85" w14:textId="77777777" w:rsidR="002C313F" w:rsidRDefault="002C3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814C" w14:textId="77777777" w:rsidR="002C313F" w:rsidRPr="00B210DF" w:rsidRDefault="00507F7E" w:rsidP="00B00002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B210DF">
      <w:rPr>
        <w:rStyle w:val="PageNumber"/>
        <w:rFonts w:ascii="Arial" w:hAnsi="Arial" w:cs="Arial"/>
      </w:rPr>
      <w:fldChar w:fldCharType="begin"/>
    </w:r>
    <w:r w:rsidR="002C313F" w:rsidRPr="00B210DF">
      <w:rPr>
        <w:rStyle w:val="PageNumber"/>
        <w:rFonts w:ascii="Arial" w:hAnsi="Arial" w:cs="Arial"/>
      </w:rPr>
      <w:instrText xml:space="preserve">PAGE  </w:instrText>
    </w:r>
    <w:r w:rsidRPr="00B210DF">
      <w:rPr>
        <w:rStyle w:val="PageNumber"/>
        <w:rFonts w:ascii="Arial" w:hAnsi="Arial" w:cs="Arial"/>
      </w:rPr>
      <w:fldChar w:fldCharType="separate"/>
    </w:r>
    <w:r w:rsidR="004538C8">
      <w:rPr>
        <w:rStyle w:val="PageNumber"/>
        <w:rFonts w:ascii="Arial" w:hAnsi="Arial" w:cs="Arial"/>
        <w:noProof/>
      </w:rPr>
      <w:t>2</w:t>
    </w:r>
    <w:r w:rsidRPr="00B210DF">
      <w:rPr>
        <w:rStyle w:val="PageNumber"/>
        <w:rFonts w:ascii="Arial" w:hAnsi="Arial" w:cs="Arial"/>
      </w:rPr>
      <w:fldChar w:fldCharType="end"/>
    </w:r>
  </w:p>
  <w:p w14:paraId="58F0228A" w14:textId="77777777" w:rsidR="002C313F" w:rsidRDefault="002C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D2A"/>
    <w:multiLevelType w:val="hybridMultilevel"/>
    <w:tmpl w:val="2E2E040A"/>
    <w:lvl w:ilvl="0" w:tplc="25FCAED2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57702"/>
    <w:multiLevelType w:val="hybridMultilevel"/>
    <w:tmpl w:val="9664EA84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C6C56"/>
    <w:multiLevelType w:val="hybridMultilevel"/>
    <w:tmpl w:val="2398FF0C"/>
    <w:lvl w:ilvl="0" w:tplc="0408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81B94"/>
    <w:multiLevelType w:val="hybridMultilevel"/>
    <w:tmpl w:val="9FB09D2C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4B074F"/>
    <w:multiLevelType w:val="hybridMultilevel"/>
    <w:tmpl w:val="6776B800"/>
    <w:lvl w:ilvl="0" w:tplc="E85EFA5C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BF1676"/>
    <w:multiLevelType w:val="hybridMultilevel"/>
    <w:tmpl w:val="8DB49A60"/>
    <w:lvl w:ilvl="0" w:tplc="BB923EC6">
      <w:start w:val="1"/>
      <w:numFmt w:val="lowerRoman"/>
      <w:lvlText w:val="(%1)"/>
      <w:lvlJc w:val="left"/>
      <w:pPr>
        <w:ind w:left="15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6" w15:restartNumberingAfterBreak="0">
    <w:nsid w:val="60AA30E7"/>
    <w:multiLevelType w:val="multilevel"/>
    <w:tmpl w:val="2398FF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661AB"/>
    <w:multiLevelType w:val="hybridMultilevel"/>
    <w:tmpl w:val="E658447C"/>
    <w:lvl w:ilvl="0" w:tplc="E7A8ADA4">
      <w:start w:val="1"/>
      <w:numFmt w:val="lowerRoman"/>
      <w:lvlText w:val="(%1)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03"/>
    <w:rsid w:val="0000404F"/>
    <w:rsid w:val="00004BA8"/>
    <w:rsid w:val="00004CBA"/>
    <w:rsid w:val="00010AA8"/>
    <w:rsid w:val="000111B9"/>
    <w:rsid w:val="00011C7F"/>
    <w:rsid w:val="00011F67"/>
    <w:rsid w:val="00015BB3"/>
    <w:rsid w:val="00021E07"/>
    <w:rsid w:val="00024E08"/>
    <w:rsid w:val="000279D5"/>
    <w:rsid w:val="00030648"/>
    <w:rsid w:val="00037698"/>
    <w:rsid w:val="000433AD"/>
    <w:rsid w:val="00053342"/>
    <w:rsid w:val="00053F19"/>
    <w:rsid w:val="0005680B"/>
    <w:rsid w:val="000777C0"/>
    <w:rsid w:val="000813AE"/>
    <w:rsid w:val="0008501E"/>
    <w:rsid w:val="00092017"/>
    <w:rsid w:val="000A2799"/>
    <w:rsid w:val="000A29E2"/>
    <w:rsid w:val="000C50F7"/>
    <w:rsid w:val="000D138F"/>
    <w:rsid w:val="000D3D27"/>
    <w:rsid w:val="000E72A8"/>
    <w:rsid w:val="000E77F8"/>
    <w:rsid w:val="000F243B"/>
    <w:rsid w:val="000F255F"/>
    <w:rsid w:val="000F358B"/>
    <w:rsid w:val="000F38EA"/>
    <w:rsid w:val="000F3A7F"/>
    <w:rsid w:val="00102EDB"/>
    <w:rsid w:val="00104373"/>
    <w:rsid w:val="00113502"/>
    <w:rsid w:val="00120F6D"/>
    <w:rsid w:val="001216D1"/>
    <w:rsid w:val="00122F54"/>
    <w:rsid w:val="00132437"/>
    <w:rsid w:val="00132749"/>
    <w:rsid w:val="001425FB"/>
    <w:rsid w:val="00142A37"/>
    <w:rsid w:val="00142AE1"/>
    <w:rsid w:val="00145EB1"/>
    <w:rsid w:val="001523B5"/>
    <w:rsid w:val="00153A02"/>
    <w:rsid w:val="00157CAE"/>
    <w:rsid w:val="00161C3C"/>
    <w:rsid w:val="00170A86"/>
    <w:rsid w:val="00181727"/>
    <w:rsid w:val="001828F6"/>
    <w:rsid w:val="00182A4D"/>
    <w:rsid w:val="00187D61"/>
    <w:rsid w:val="001A238C"/>
    <w:rsid w:val="001A72AB"/>
    <w:rsid w:val="001B4DC1"/>
    <w:rsid w:val="001B7A9A"/>
    <w:rsid w:val="001C78A9"/>
    <w:rsid w:val="001E015B"/>
    <w:rsid w:val="001E2C8B"/>
    <w:rsid w:val="001F1EB4"/>
    <w:rsid w:val="001F2EAB"/>
    <w:rsid w:val="001F4B3C"/>
    <w:rsid w:val="00212DC6"/>
    <w:rsid w:val="00213CDB"/>
    <w:rsid w:val="00216254"/>
    <w:rsid w:val="002175E3"/>
    <w:rsid w:val="00221F46"/>
    <w:rsid w:val="0022550C"/>
    <w:rsid w:val="002324B5"/>
    <w:rsid w:val="00235CD4"/>
    <w:rsid w:val="00241C54"/>
    <w:rsid w:val="00244CDD"/>
    <w:rsid w:val="00253BF5"/>
    <w:rsid w:val="002546BA"/>
    <w:rsid w:val="002616AB"/>
    <w:rsid w:val="00263FAA"/>
    <w:rsid w:val="002671B7"/>
    <w:rsid w:val="00274753"/>
    <w:rsid w:val="00275497"/>
    <w:rsid w:val="002A6B1F"/>
    <w:rsid w:val="002B690B"/>
    <w:rsid w:val="002C05B7"/>
    <w:rsid w:val="002C313F"/>
    <w:rsid w:val="002C6B4F"/>
    <w:rsid w:val="002D205E"/>
    <w:rsid w:val="002D4561"/>
    <w:rsid w:val="002D664A"/>
    <w:rsid w:val="002F0708"/>
    <w:rsid w:val="002F169A"/>
    <w:rsid w:val="002F2093"/>
    <w:rsid w:val="002F7D1B"/>
    <w:rsid w:val="0030219C"/>
    <w:rsid w:val="003049C3"/>
    <w:rsid w:val="00312FB6"/>
    <w:rsid w:val="00314DA3"/>
    <w:rsid w:val="0032682C"/>
    <w:rsid w:val="00331E84"/>
    <w:rsid w:val="00334855"/>
    <w:rsid w:val="0034266B"/>
    <w:rsid w:val="0034485D"/>
    <w:rsid w:val="0034547F"/>
    <w:rsid w:val="003516DE"/>
    <w:rsid w:val="0036363A"/>
    <w:rsid w:val="00366743"/>
    <w:rsid w:val="00367B3F"/>
    <w:rsid w:val="003738A2"/>
    <w:rsid w:val="00385F37"/>
    <w:rsid w:val="003866FC"/>
    <w:rsid w:val="003929D3"/>
    <w:rsid w:val="003A3AAD"/>
    <w:rsid w:val="003A5C08"/>
    <w:rsid w:val="003B46C8"/>
    <w:rsid w:val="003D00BE"/>
    <w:rsid w:val="003D2AC3"/>
    <w:rsid w:val="003D3314"/>
    <w:rsid w:val="003D5220"/>
    <w:rsid w:val="003D660C"/>
    <w:rsid w:val="003D6861"/>
    <w:rsid w:val="003E0E23"/>
    <w:rsid w:val="003E1378"/>
    <w:rsid w:val="003E4774"/>
    <w:rsid w:val="003E6E96"/>
    <w:rsid w:val="003F30E3"/>
    <w:rsid w:val="003F608E"/>
    <w:rsid w:val="003F631C"/>
    <w:rsid w:val="00412A24"/>
    <w:rsid w:val="004145AA"/>
    <w:rsid w:val="00415F4A"/>
    <w:rsid w:val="00416740"/>
    <w:rsid w:val="0043001A"/>
    <w:rsid w:val="00430388"/>
    <w:rsid w:val="004323FA"/>
    <w:rsid w:val="004345BA"/>
    <w:rsid w:val="004357A8"/>
    <w:rsid w:val="0044051D"/>
    <w:rsid w:val="00445122"/>
    <w:rsid w:val="0045032B"/>
    <w:rsid w:val="00450B22"/>
    <w:rsid w:val="00452B87"/>
    <w:rsid w:val="004538C8"/>
    <w:rsid w:val="00453C68"/>
    <w:rsid w:val="004543F1"/>
    <w:rsid w:val="00463BAC"/>
    <w:rsid w:val="004706A1"/>
    <w:rsid w:val="00470E28"/>
    <w:rsid w:val="0047266D"/>
    <w:rsid w:val="004769BE"/>
    <w:rsid w:val="00481BAD"/>
    <w:rsid w:val="004839B7"/>
    <w:rsid w:val="00483F43"/>
    <w:rsid w:val="00485146"/>
    <w:rsid w:val="00486D29"/>
    <w:rsid w:val="00490776"/>
    <w:rsid w:val="0049214E"/>
    <w:rsid w:val="0049411F"/>
    <w:rsid w:val="004967EB"/>
    <w:rsid w:val="004A20B1"/>
    <w:rsid w:val="004A2D6B"/>
    <w:rsid w:val="004A57AB"/>
    <w:rsid w:val="004A6B67"/>
    <w:rsid w:val="004A6EBD"/>
    <w:rsid w:val="004B3A7C"/>
    <w:rsid w:val="004B68BD"/>
    <w:rsid w:val="004C231C"/>
    <w:rsid w:val="004C30FC"/>
    <w:rsid w:val="004C37CB"/>
    <w:rsid w:val="004C3D5C"/>
    <w:rsid w:val="004C630F"/>
    <w:rsid w:val="004E13F7"/>
    <w:rsid w:val="004E732A"/>
    <w:rsid w:val="004E76A2"/>
    <w:rsid w:val="004E7767"/>
    <w:rsid w:val="004F04CA"/>
    <w:rsid w:val="004F4CC2"/>
    <w:rsid w:val="00503529"/>
    <w:rsid w:val="00503777"/>
    <w:rsid w:val="00503D00"/>
    <w:rsid w:val="00504445"/>
    <w:rsid w:val="00507F7E"/>
    <w:rsid w:val="00523F8E"/>
    <w:rsid w:val="005263C4"/>
    <w:rsid w:val="00531E33"/>
    <w:rsid w:val="0054034F"/>
    <w:rsid w:val="00541576"/>
    <w:rsid w:val="005443E4"/>
    <w:rsid w:val="005560A6"/>
    <w:rsid w:val="005610AB"/>
    <w:rsid w:val="005646E1"/>
    <w:rsid w:val="00565FC9"/>
    <w:rsid w:val="00566DB8"/>
    <w:rsid w:val="00567DC3"/>
    <w:rsid w:val="00573FB8"/>
    <w:rsid w:val="00584F12"/>
    <w:rsid w:val="00587C53"/>
    <w:rsid w:val="005A1D5A"/>
    <w:rsid w:val="005A2073"/>
    <w:rsid w:val="005C0C5D"/>
    <w:rsid w:val="005D1ECE"/>
    <w:rsid w:val="005D4DE1"/>
    <w:rsid w:val="005F0FA4"/>
    <w:rsid w:val="005F4D36"/>
    <w:rsid w:val="00601226"/>
    <w:rsid w:val="0060569C"/>
    <w:rsid w:val="006076DB"/>
    <w:rsid w:val="0061004F"/>
    <w:rsid w:val="0061467D"/>
    <w:rsid w:val="00620BC3"/>
    <w:rsid w:val="00621151"/>
    <w:rsid w:val="006236CA"/>
    <w:rsid w:val="00644BBE"/>
    <w:rsid w:val="006527AF"/>
    <w:rsid w:val="00652C1F"/>
    <w:rsid w:val="00655761"/>
    <w:rsid w:val="0066366B"/>
    <w:rsid w:val="00664F38"/>
    <w:rsid w:val="00670692"/>
    <w:rsid w:val="00673645"/>
    <w:rsid w:val="006815AB"/>
    <w:rsid w:val="006844B1"/>
    <w:rsid w:val="006922FC"/>
    <w:rsid w:val="006A0782"/>
    <w:rsid w:val="006A0811"/>
    <w:rsid w:val="006A6AD6"/>
    <w:rsid w:val="006A7BFB"/>
    <w:rsid w:val="006B6A85"/>
    <w:rsid w:val="006C016D"/>
    <w:rsid w:val="006C5BB5"/>
    <w:rsid w:val="006D2C57"/>
    <w:rsid w:val="006D55E8"/>
    <w:rsid w:val="006D7E62"/>
    <w:rsid w:val="006F3063"/>
    <w:rsid w:val="006F5144"/>
    <w:rsid w:val="006F6240"/>
    <w:rsid w:val="006F79E4"/>
    <w:rsid w:val="006F7FCA"/>
    <w:rsid w:val="0070547B"/>
    <w:rsid w:val="00706D23"/>
    <w:rsid w:val="007072B7"/>
    <w:rsid w:val="007116B2"/>
    <w:rsid w:val="007307BE"/>
    <w:rsid w:val="007310E3"/>
    <w:rsid w:val="0073129E"/>
    <w:rsid w:val="00733CAA"/>
    <w:rsid w:val="0073710A"/>
    <w:rsid w:val="00751CE5"/>
    <w:rsid w:val="00752A77"/>
    <w:rsid w:val="00756C71"/>
    <w:rsid w:val="0076377C"/>
    <w:rsid w:val="00776636"/>
    <w:rsid w:val="00777B8C"/>
    <w:rsid w:val="0078050C"/>
    <w:rsid w:val="00783F69"/>
    <w:rsid w:val="00791792"/>
    <w:rsid w:val="007A13FA"/>
    <w:rsid w:val="007B0CC6"/>
    <w:rsid w:val="007D4D9E"/>
    <w:rsid w:val="007D6561"/>
    <w:rsid w:val="007E0ACB"/>
    <w:rsid w:val="007E5887"/>
    <w:rsid w:val="007E7BB2"/>
    <w:rsid w:val="007F1251"/>
    <w:rsid w:val="007F6C45"/>
    <w:rsid w:val="00801CBC"/>
    <w:rsid w:val="00805429"/>
    <w:rsid w:val="008058AC"/>
    <w:rsid w:val="00807771"/>
    <w:rsid w:val="008148B3"/>
    <w:rsid w:val="00814EFA"/>
    <w:rsid w:val="0081584A"/>
    <w:rsid w:val="00816371"/>
    <w:rsid w:val="0082015D"/>
    <w:rsid w:val="0082301B"/>
    <w:rsid w:val="00831403"/>
    <w:rsid w:val="00832B2F"/>
    <w:rsid w:val="00832EC2"/>
    <w:rsid w:val="00834AF4"/>
    <w:rsid w:val="00840E79"/>
    <w:rsid w:val="00841CB2"/>
    <w:rsid w:val="0084545A"/>
    <w:rsid w:val="00853748"/>
    <w:rsid w:val="00853CC0"/>
    <w:rsid w:val="00855400"/>
    <w:rsid w:val="00870150"/>
    <w:rsid w:val="00870F15"/>
    <w:rsid w:val="008719E5"/>
    <w:rsid w:val="00874405"/>
    <w:rsid w:val="00876008"/>
    <w:rsid w:val="008838A1"/>
    <w:rsid w:val="00890392"/>
    <w:rsid w:val="00890AD2"/>
    <w:rsid w:val="008956CB"/>
    <w:rsid w:val="008A75F9"/>
    <w:rsid w:val="008B24BD"/>
    <w:rsid w:val="008B5203"/>
    <w:rsid w:val="008C05FF"/>
    <w:rsid w:val="008C0A2C"/>
    <w:rsid w:val="008C13F6"/>
    <w:rsid w:val="008C20CB"/>
    <w:rsid w:val="008C239C"/>
    <w:rsid w:val="008C34DF"/>
    <w:rsid w:val="008C5B3B"/>
    <w:rsid w:val="008D0EC7"/>
    <w:rsid w:val="008D1584"/>
    <w:rsid w:val="008D2118"/>
    <w:rsid w:val="008E4702"/>
    <w:rsid w:val="008F20C1"/>
    <w:rsid w:val="008F3FEC"/>
    <w:rsid w:val="009067DA"/>
    <w:rsid w:val="00907F6C"/>
    <w:rsid w:val="00910DC8"/>
    <w:rsid w:val="009145E8"/>
    <w:rsid w:val="009348F8"/>
    <w:rsid w:val="00937790"/>
    <w:rsid w:val="009404A1"/>
    <w:rsid w:val="009418EB"/>
    <w:rsid w:val="00944AD8"/>
    <w:rsid w:val="0095426A"/>
    <w:rsid w:val="009607CA"/>
    <w:rsid w:val="00973915"/>
    <w:rsid w:val="00973B08"/>
    <w:rsid w:val="009748F5"/>
    <w:rsid w:val="0097579F"/>
    <w:rsid w:val="009779B2"/>
    <w:rsid w:val="0098276F"/>
    <w:rsid w:val="009837FE"/>
    <w:rsid w:val="00985442"/>
    <w:rsid w:val="00997585"/>
    <w:rsid w:val="009A42C6"/>
    <w:rsid w:val="009B0F03"/>
    <w:rsid w:val="009B4EC3"/>
    <w:rsid w:val="009B5C28"/>
    <w:rsid w:val="009B608F"/>
    <w:rsid w:val="009C573B"/>
    <w:rsid w:val="009C6C36"/>
    <w:rsid w:val="009D6F99"/>
    <w:rsid w:val="009E7856"/>
    <w:rsid w:val="009F0487"/>
    <w:rsid w:val="009F1FB3"/>
    <w:rsid w:val="00A0442B"/>
    <w:rsid w:val="00A04F1E"/>
    <w:rsid w:val="00A074AD"/>
    <w:rsid w:val="00A1242A"/>
    <w:rsid w:val="00A265DE"/>
    <w:rsid w:val="00A43539"/>
    <w:rsid w:val="00A43A4B"/>
    <w:rsid w:val="00A46FB6"/>
    <w:rsid w:val="00A654EF"/>
    <w:rsid w:val="00A65500"/>
    <w:rsid w:val="00A7230F"/>
    <w:rsid w:val="00A75115"/>
    <w:rsid w:val="00A834F6"/>
    <w:rsid w:val="00AA31F5"/>
    <w:rsid w:val="00AA3768"/>
    <w:rsid w:val="00AA4443"/>
    <w:rsid w:val="00AA52E2"/>
    <w:rsid w:val="00AA573C"/>
    <w:rsid w:val="00AA6D18"/>
    <w:rsid w:val="00AB01E3"/>
    <w:rsid w:val="00AB0F0A"/>
    <w:rsid w:val="00AB2081"/>
    <w:rsid w:val="00AB266A"/>
    <w:rsid w:val="00AB40DF"/>
    <w:rsid w:val="00AB6CAF"/>
    <w:rsid w:val="00AC75EB"/>
    <w:rsid w:val="00AD0BF7"/>
    <w:rsid w:val="00AD58E4"/>
    <w:rsid w:val="00AD5FF9"/>
    <w:rsid w:val="00AE6005"/>
    <w:rsid w:val="00AF3AA8"/>
    <w:rsid w:val="00AF5CD8"/>
    <w:rsid w:val="00B00002"/>
    <w:rsid w:val="00B05170"/>
    <w:rsid w:val="00B051BC"/>
    <w:rsid w:val="00B14E97"/>
    <w:rsid w:val="00B20A55"/>
    <w:rsid w:val="00B210DF"/>
    <w:rsid w:val="00B24316"/>
    <w:rsid w:val="00B302B1"/>
    <w:rsid w:val="00B35B23"/>
    <w:rsid w:val="00B41F29"/>
    <w:rsid w:val="00B42EE9"/>
    <w:rsid w:val="00B4416D"/>
    <w:rsid w:val="00B53D88"/>
    <w:rsid w:val="00B542FE"/>
    <w:rsid w:val="00B54876"/>
    <w:rsid w:val="00B5574F"/>
    <w:rsid w:val="00B56651"/>
    <w:rsid w:val="00B57EBC"/>
    <w:rsid w:val="00B76B5E"/>
    <w:rsid w:val="00B921B9"/>
    <w:rsid w:val="00B94ADB"/>
    <w:rsid w:val="00B958BE"/>
    <w:rsid w:val="00B969D2"/>
    <w:rsid w:val="00B96B42"/>
    <w:rsid w:val="00B96F53"/>
    <w:rsid w:val="00BA5280"/>
    <w:rsid w:val="00BA62AA"/>
    <w:rsid w:val="00BB0B5F"/>
    <w:rsid w:val="00BB202D"/>
    <w:rsid w:val="00BB572C"/>
    <w:rsid w:val="00BB66EC"/>
    <w:rsid w:val="00BC6AF5"/>
    <w:rsid w:val="00BD2E56"/>
    <w:rsid w:val="00BE0A15"/>
    <w:rsid w:val="00BE6C92"/>
    <w:rsid w:val="00BE7895"/>
    <w:rsid w:val="00C069BB"/>
    <w:rsid w:val="00C13D79"/>
    <w:rsid w:val="00C24D2D"/>
    <w:rsid w:val="00C31AD5"/>
    <w:rsid w:val="00C31E93"/>
    <w:rsid w:val="00C3340A"/>
    <w:rsid w:val="00C33526"/>
    <w:rsid w:val="00C45AC4"/>
    <w:rsid w:val="00C54874"/>
    <w:rsid w:val="00C55FA3"/>
    <w:rsid w:val="00C61178"/>
    <w:rsid w:val="00C61A55"/>
    <w:rsid w:val="00C63C66"/>
    <w:rsid w:val="00C65D49"/>
    <w:rsid w:val="00C76C76"/>
    <w:rsid w:val="00C870CA"/>
    <w:rsid w:val="00C93813"/>
    <w:rsid w:val="00C940B9"/>
    <w:rsid w:val="00CB04B4"/>
    <w:rsid w:val="00CB5A67"/>
    <w:rsid w:val="00CB6BBF"/>
    <w:rsid w:val="00CC0155"/>
    <w:rsid w:val="00CD1867"/>
    <w:rsid w:val="00CE2C37"/>
    <w:rsid w:val="00CE3EA9"/>
    <w:rsid w:val="00D0232C"/>
    <w:rsid w:val="00D028E1"/>
    <w:rsid w:val="00D035C3"/>
    <w:rsid w:val="00D03843"/>
    <w:rsid w:val="00D04A45"/>
    <w:rsid w:val="00D108DF"/>
    <w:rsid w:val="00D127EA"/>
    <w:rsid w:val="00D139BF"/>
    <w:rsid w:val="00D1688C"/>
    <w:rsid w:val="00D203C0"/>
    <w:rsid w:val="00D20801"/>
    <w:rsid w:val="00D242F9"/>
    <w:rsid w:val="00D2443E"/>
    <w:rsid w:val="00D24AC3"/>
    <w:rsid w:val="00D3245D"/>
    <w:rsid w:val="00D41E89"/>
    <w:rsid w:val="00D65DA3"/>
    <w:rsid w:val="00D81691"/>
    <w:rsid w:val="00D927C3"/>
    <w:rsid w:val="00D93C04"/>
    <w:rsid w:val="00D970CA"/>
    <w:rsid w:val="00DA5E26"/>
    <w:rsid w:val="00DB06EA"/>
    <w:rsid w:val="00DB1A5F"/>
    <w:rsid w:val="00DC057C"/>
    <w:rsid w:val="00DD139F"/>
    <w:rsid w:val="00DD2F11"/>
    <w:rsid w:val="00DD5B54"/>
    <w:rsid w:val="00DD5EA2"/>
    <w:rsid w:val="00DD6295"/>
    <w:rsid w:val="00DD7D07"/>
    <w:rsid w:val="00DE61F6"/>
    <w:rsid w:val="00DF1D54"/>
    <w:rsid w:val="00DF1D58"/>
    <w:rsid w:val="00E0071D"/>
    <w:rsid w:val="00E04235"/>
    <w:rsid w:val="00E04440"/>
    <w:rsid w:val="00E07A61"/>
    <w:rsid w:val="00E128A3"/>
    <w:rsid w:val="00E136D0"/>
    <w:rsid w:val="00E14DCF"/>
    <w:rsid w:val="00E17123"/>
    <w:rsid w:val="00E218D5"/>
    <w:rsid w:val="00E313C9"/>
    <w:rsid w:val="00E32380"/>
    <w:rsid w:val="00E360F6"/>
    <w:rsid w:val="00E40134"/>
    <w:rsid w:val="00E47E0C"/>
    <w:rsid w:val="00E53732"/>
    <w:rsid w:val="00E7166D"/>
    <w:rsid w:val="00E74033"/>
    <w:rsid w:val="00E76C3D"/>
    <w:rsid w:val="00E851FD"/>
    <w:rsid w:val="00EA3F99"/>
    <w:rsid w:val="00EA4E95"/>
    <w:rsid w:val="00EA5D26"/>
    <w:rsid w:val="00EB39F0"/>
    <w:rsid w:val="00EB46B5"/>
    <w:rsid w:val="00EB77A9"/>
    <w:rsid w:val="00EB7DAE"/>
    <w:rsid w:val="00EC0034"/>
    <w:rsid w:val="00ED03DE"/>
    <w:rsid w:val="00ED0591"/>
    <w:rsid w:val="00ED615A"/>
    <w:rsid w:val="00EE2826"/>
    <w:rsid w:val="00EF061D"/>
    <w:rsid w:val="00EF06F7"/>
    <w:rsid w:val="00EF141F"/>
    <w:rsid w:val="00EF26DF"/>
    <w:rsid w:val="00EF7F30"/>
    <w:rsid w:val="00EF7F6F"/>
    <w:rsid w:val="00F03D51"/>
    <w:rsid w:val="00F060D9"/>
    <w:rsid w:val="00F10A1D"/>
    <w:rsid w:val="00F14392"/>
    <w:rsid w:val="00F14AD1"/>
    <w:rsid w:val="00F15BBE"/>
    <w:rsid w:val="00F247DE"/>
    <w:rsid w:val="00F25129"/>
    <w:rsid w:val="00F3397F"/>
    <w:rsid w:val="00F4176C"/>
    <w:rsid w:val="00F4268C"/>
    <w:rsid w:val="00F44AA1"/>
    <w:rsid w:val="00F50143"/>
    <w:rsid w:val="00F5082C"/>
    <w:rsid w:val="00F63E7A"/>
    <w:rsid w:val="00F640CA"/>
    <w:rsid w:val="00F65BBC"/>
    <w:rsid w:val="00F65D1F"/>
    <w:rsid w:val="00F71D48"/>
    <w:rsid w:val="00F730EF"/>
    <w:rsid w:val="00F80898"/>
    <w:rsid w:val="00F84102"/>
    <w:rsid w:val="00F869BE"/>
    <w:rsid w:val="00FA4592"/>
    <w:rsid w:val="00FB0899"/>
    <w:rsid w:val="00FB1469"/>
    <w:rsid w:val="00FB6BD5"/>
    <w:rsid w:val="00FB76E8"/>
    <w:rsid w:val="00FC6506"/>
    <w:rsid w:val="00FD2D29"/>
    <w:rsid w:val="00FF16E7"/>
    <w:rsid w:val="00FF23CC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9076F"/>
  <w15:chartTrackingRefBased/>
  <w15:docId w15:val="{9915A6E5-0500-43B3-A179-46856A1F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A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1F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1F29"/>
  </w:style>
  <w:style w:type="paragraph" w:styleId="BalloonText">
    <w:name w:val="Balloon Text"/>
    <w:basedOn w:val="Normal"/>
    <w:semiHidden/>
    <w:rsid w:val="00331E8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E0A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E0A15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65D1F"/>
    <w:pPr>
      <w:ind w:left="720"/>
      <w:contextualSpacing/>
    </w:pPr>
  </w:style>
  <w:style w:type="character" w:styleId="CommentReference">
    <w:name w:val="annotation reference"/>
    <w:semiHidden/>
    <w:unhideWhenUsed/>
    <w:rsid w:val="00153A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3A02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153A0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3A02"/>
    <w:rPr>
      <w:b/>
      <w:bCs/>
    </w:rPr>
  </w:style>
  <w:style w:type="character" w:customStyle="1" w:styleId="CommentSubjectChar">
    <w:name w:val="Comment Subject Char"/>
    <w:link w:val="CommentSubject"/>
    <w:semiHidden/>
    <w:rsid w:val="00153A02"/>
    <w:rPr>
      <w:b/>
      <w:bCs/>
      <w:lang w:val="en-GB"/>
    </w:rPr>
  </w:style>
  <w:style w:type="table" w:styleId="TableGrid">
    <w:name w:val="Table Grid"/>
    <w:basedOn w:val="TableNormal"/>
    <w:rsid w:val="007D6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FCB2A-DD80-4AF5-8242-86EE0E62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Regulations - Private Plates</vt:lpstr>
    </vt:vector>
  </TitlesOfParts>
  <Company>RTD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Regulations - Private Plates</dc:title>
  <dc:subject/>
  <dc:creator>DEMETRIADI AQUILINA</dc:creator>
  <cp:keywords/>
  <cp:lastModifiedBy>CHRISTOFI THALIA</cp:lastModifiedBy>
  <cp:revision>5</cp:revision>
  <cp:lastPrinted>2022-09-14T07:48:00Z</cp:lastPrinted>
  <dcterms:created xsi:type="dcterms:W3CDTF">2022-10-31T13:54:00Z</dcterms:created>
  <dcterms:modified xsi:type="dcterms:W3CDTF">2022-11-22T08:39:00Z</dcterms:modified>
</cp:coreProperties>
</file>