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E1" w:rsidRPr="00610F99" w:rsidRDefault="006F484F" w:rsidP="004674A1">
      <w:pPr>
        <w:spacing w:after="0" w:line="259" w:lineRule="auto"/>
        <w:ind w:left="5" w:right="0" w:firstLine="0"/>
        <w:jc w:val="left"/>
        <w:rPr>
          <w:lang w:val="el-GR"/>
        </w:rPr>
      </w:pPr>
      <w:r>
        <w:rPr>
          <w:b/>
          <w:lang w:val="el-GR"/>
        </w:rPr>
        <w:t>Υ.Ο.</w:t>
      </w:r>
      <w:r w:rsidR="00610F99" w:rsidRPr="00610F99">
        <w:rPr>
          <w:b/>
          <w:lang w:val="el-GR"/>
        </w:rPr>
        <w:t xml:space="preserve"> 13.31.00</w:t>
      </w:r>
      <w:r w:rsidR="00610F99">
        <w:rPr>
          <w:b/>
          <w:lang w:val="el-GR"/>
        </w:rPr>
        <w:t>5</w:t>
      </w:r>
      <w:r w:rsidR="00610F99" w:rsidRPr="00610F99">
        <w:rPr>
          <w:b/>
          <w:lang w:val="el-GR"/>
        </w:rPr>
        <w:t>.001</w:t>
      </w:r>
      <w:r w:rsidR="00610F99" w:rsidRPr="00610F99">
        <w:rPr>
          <w:rFonts w:ascii="Times New Roman" w:eastAsia="Times New Roman" w:hAnsi="Times New Roman" w:cs="Times New Roman"/>
          <w:sz w:val="24"/>
          <w:lang w:val="el-GR"/>
        </w:rPr>
        <w:t xml:space="preserve"> </w:t>
      </w:r>
      <w:r w:rsidR="00610F99" w:rsidRPr="00610F99">
        <w:rPr>
          <w:b/>
          <w:lang w:val="el-GR"/>
        </w:rPr>
        <w:t xml:space="preserve"> </w:t>
      </w:r>
    </w:p>
    <w:p w:rsidR="00EA24E1" w:rsidRPr="008A4C42" w:rsidRDefault="008A4C42">
      <w:pPr>
        <w:spacing w:after="0" w:line="259" w:lineRule="auto"/>
        <w:ind w:left="1" w:right="0" w:firstLine="0"/>
        <w:jc w:val="center"/>
        <w:rPr>
          <w:rFonts w:ascii="Times New Roman" w:eastAsia="Times New Roman" w:hAnsi="Times New Roman" w:cs="Times New Roman"/>
          <w:sz w:val="24"/>
          <w:lang w:val="el-GR"/>
        </w:rPr>
      </w:pPr>
      <w:r>
        <w:rPr>
          <w:b/>
          <w:u w:val="single" w:color="000000"/>
          <w:lang w:val="el-GR"/>
        </w:rPr>
        <w:t>ΕΙΣΗΓΗΤΙΚΗ ΕΚΘΕΣΗ</w:t>
      </w:r>
    </w:p>
    <w:p w:rsidR="00610F99" w:rsidRPr="00610F99" w:rsidRDefault="00610F99" w:rsidP="00610F99">
      <w:pPr>
        <w:spacing w:after="0" w:line="259" w:lineRule="auto"/>
        <w:ind w:left="1" w:right="0" w:firstLine="0"/>
        <w:jc w:val="center"/>
        <w:rPr>
          <w:b/>
          <w:u w:val="single"/>
          <w:lang w:val="el-GR"/>
        </w:rPr>
      </w:pPr>
      <w:r w:rsidRPr="00610F99">
        <w:rPr>
          <w:b/>
          <w:u w:val="single"/>
          <w:lang w:val="el-GR"/>
        </w:rPr>
        <w:t>Κανονισμοί με τίτλο:</w:t>
      </w:r>
    </w:p>
    <w:p w:rsidR="00EA24E1" w:rsidRPr="009C4E18" w:rsidRDefault="009C4E18" w:rsidP="004674A1">
      <w:pPr>
        <w:spacing w:after="0" w:line="259" w:lineRule="auto"/>
        <w:ind w:left="1" w:right="0" w:firstLine="0"/>
        <w:jc w:val="center"/>
        <w:rPr>
          <w:lang w:val="el-GR"/>
        </w:rPr>
      </w:pPr>
      <w:r>
        <w:rPr>
          <w:b/>
          <w:u w:val="single"/>
          <w:lang w:val="el-GR"/>
        </w:rPr>
        <w:t>«</w:t>
      </w:r>
      <w:r w:rsidR="00610F99" w:rsidRPr="00610F99">
        <w:rPr>
          <w:b/>
          <w:u w:val="single"/>
          <w:lang w:val="el-GR"/>
        </w:rPr>
        <w:t>Οι περί Φόρου Προστιθέμενης Αξίας (</w:t>
      </w:r>
      <w:r w:rsidR="00E70433">
        <w:rPr>
          <w:b/>
          <w:u w:val="single"/>
          <w:lang w:val="el-GR"/>
        </w:rPr>
        <w:t>Ειδικές Απαλλαγές</w:t>
      </w:r>
      <w:r w:rsidR="00610F99" w:rsidRPr="00610F99">
        <w:rPr>
          <w:b/>
          <w:u w:val="single"/>
          <w:lang w:val="el-GR"/>
        </w:rPr>
        <w:t>)</w:t>
      </w:r>
      <w:r w:rsidR="00E70433">
        <w:rPr>
          <w:b/>
          <w:u w:val="single"/>
          <w:lang w:val="el-GR"/>
        </w:rPr>
        <w:t xml:space="preserve"> </w:t>
      </w:r>
      <w:r w:rsidR="00014D75">
        <w:rPr>
          <w:b/>
          <w:u w:val="single"/>
          <w:lang w:val="el-GR"/>
        </w:rPr>
        <w:t>(</w:t>
      </w:r>
      <w:r w:rsidR="00610F99" w:rsidRPr="00610F99">
        <w:rPr>
          <w:b/>
          <w:u w:val="single"/>
          <w:lang w:val="el-GR"/>
        </w:rPr>
        <w:t>Τρο</w:t>
      </w:r>
      <w:r w:rsidR="00E70433">
        <w:rPr>
          <w:b/>
          <w:u w:val="single"/>
          <w:lang w:val="el-GR"/>
        </w:rPr>
        <w:t>ποποιητικοί) Κανονισμοί του 2022</w:t>
      </w:r>
      <w:r>
        <w:rPr>
          <w:b/>
          <w:lang w:val="el-GR"/>
        </w:rPr>
        <w:t>»</w:t>
      </w:r>
    </w:p>
    <w:p w:rsidR="00EA24E1" w:rsidRPr="00610F99" w:rsidRDefault="00610F99">
      <w:pPr>
        <w:spacing w:after="0" w:line="259" w:lineRule="auto"/>
        <w:ind w:left="60" w:right="0" w:firstLine="0"/>
        <w:jc w:val="center"/>
        <w:rPr>
          <w:lang w:val="el-GR"/>
        </w:rPr>
      </w:pPr>
      <w:r w:rsidRPr="00610F99">
        <w:rPr>
          <w:b/>
          <w:lang w:val="el-GR"/>
        </w:rPr>
        <w:t xml:space="preserve"> </w:t>
      </w:r>
    </w:p>
    <w:p w:rsidR="008A4C42" w:rsidRDefault="008A4C42" w:rsidP="001F351E">
      <w:pPr>
        <w:ind w:left="-10" w:right="0" w:firstLine="720"/>
        <w:rPr>
          <w:lang w:val="el-GR"/>
        </w:rPr>
      </w:pPr>
      <w:r w:rsidRPr="008A4C42">
        <w:rPr>
          <w:lang w:val="el-GR"/>
        </w:rPr>
        <w:t xml:space="preserve">  Το Υπουργικό Συμβούλιο στη Συνεδρία του στις </w:t>
      </w:r>
      <w:r>
        <w:rPr>
          <w:lang w:val="el-GR"/>
        </w:rPr>
        <w:t>8 Ιουνίου, 2022</w:t>
      </w:r>
      <w:r w:rsidRPr="008A4C42">
        <w:rPr>
          <w:lang w:val="el-GR"/>
        </w:rPr>
        <w:t xml:space="preserve"> εξουσιοδότησε τον  Υπουργό Οικονομικών, να καταθέσει τους κανονισμούς με τίτλο «Οι περί Φόρου Προστιθέμενης Αξίας (</w:t>
      </w:r>
      <w:r>
        <w:rPr>
          <w:lang w:val="el-GR"/>
        </w:rPr>
        <w:t>Ειδικές Απαλλαγές) (Τροποποιητικοί)</w:t>
      </w:r>
      <w:r w:rsidRPr="008A4C42">
        <w:rPr>
          <w:lang w:val="el-GR"/>
        </w:rPr>
        <w:t xml:space="preserve"> του 202</w:t>
      </w:r>
      <w:r>
        <w:rPr>
          <w:lang w:val="el-GR"/>
        </w:rPr>
        <w:t>2</w:t>
      </w:r>
      <w:r w:rsidRPr="008A4C42">
        <w:rPr>
          <w:lang w:val="el-GR"/>
        </w:rPr>
        <w:t>», στη Βουλή των Αντιπροσώπων, για έγκριση και να επιφέρει τροποποιήσεις της επιλογής του κατά το στάδιο επεξεργασίας των Κανονισμών από τη Βουλή των Αντιπροσώπων, άνευ εκ νέου εμπλοκής του Υπουργικού Συμβουλίου.</w:t>
      </w:r>
    </w:p>
    <w:p w:rsidR="008A4C42" w:rsidRDefault="008A4C42" w:rsidP="001F351E">
      <w:pPr>
        <w:ind w:left="-10" w:right="0" w:firstLine="720"/>
        <w:rPr>
          <w:lang w:val="el-GR"/>
        </w:rPr>
      </w:pPr>
    </w:p>
    <w:p w:rsidR="004674A1" w:rsidRDefault="008A4C42" w:rsidP="008A4C42">
      <w:pPr>
        <w:ind w:left="-10" w:right="0" w:firstLine="0"/>
        <w:rPr>
          <w:sz w:val="24"/>
          <w:lang w:val="el-GR"/>
        </w:rPr>
      </w:pPr>
      <w:r>
        <w:rPr>
          <w:lang w:val="el-GR"/>
        </w:rPr>
        <w:t xml:space="preserve">2. </w:t>
      </w:r>
      <w:r>
        <w:rPr>
          <w:lang w:val="el-GR"/>
        </w:rPr>
        <w:tab/>
      </w:r>
      <w:r w:rsidR="00736837">
        <w:rPr>
          <w:lang w:val="el-GR"/>
        </w:rPr>
        <w:t xml:space="preserve">Η </w:t>
      </w:r>
      <w:r w:rsidR="00610F99" w:rsidRPr="00610F99">
        <w:rPr>
          <w:lang w:val="el-GR"/>
        </w:rPr>
        <w:t xml:space="preserve">τροποποίηση </w:t>
      </w:r>
      <w:r w:rsidR="0029214A">
        <w:rPr>
          <w:lang w:val="el-GR"/>
        </w:rPr>
        <w:t xml:space="preserve">των </w:t>
      </w:r>
      <w:r w:rsidR="0029214A" w:rsidRPr="0029214A">
        <w:rPr>
          <w:lang w:val="el-GR"/>
        </w:rPr>
        <w:t>περί Φόρου Προστιθέμενης Αξίας (Ειδικές Απαλλαγές) Κανονισμ</w:t>
      </w:r>
      <w:r w:rsidR="0029214A">
        <w:rPr>
          <w:lang w:val="el-GR"/>
        </w:rPr>
        <w:t>ών</w:t>
      </w:r>
      <w:r w:rsidR="0029214A" w:rsidRPr="0029214A">
        <w:rPr>
          <w:lang w:val="el-GR"/>
        </w:rPr>
        <w:t xml:space="preserve"> του 20</w:t>
      </w:r>
      <w:r w:rsidR="0029214A">
        <w:rPr>
          <w:lang w:val="el-GR"/>
        </w:rPr>
        <w:t xml:space="preserve">04 </w:t>
      </w:r>
      <w:r w:rsidR="007D10C7">
        <w:rPr>
          <w:lang w:val="el-GR"/>
        </w:rPr>
        <w:t>μέχρι 2015</w:t>
      </w:r>
      <w:r w:rsidR="0029214A">
        <w:rPr>
          <w:lang w:val="el-GR"/>
        </w:rPr>
        <w:t>,</w:t>
      </w:r>
      <w:r w:rsidR="00736837">
        <w:rPr>
          <w:lang w:val="el-GR"/>
        </w:rPr>
        <w:t xml:space="preserve">προωθείται </w:t>
      </w:r>
      <w:r w:rsidR="00610F99" w:rsidRPr="00610F99">
        <w:rPr>
          <w:lang w:val="el-GR"/>
        </w:rPr>
        <w:t>για συμμόρφωση με την Οδηγία (ΕΕ) 20</w:t>
      </w:r>
      <w:r w:rsidR="004436A3" w:rsidRPr="004436A3">
        <w:rPr>
          <w:lang w:val="el-GR"/>
        </w:rPr>
        <w:t>19</w:t>
      </w:r>
      <w:r w:rsidR="00610F99" w:rsidRPr="00610F99">
        <w:rPr>
          <w:lang w:val="el-GR"/>
        </w:rPr>
        <w:t>/</w:t>
      </w:r>
      <w:r w:rsidR="004436A3" w:rsidRPr="004436A3">
        <w:rPr>
          <w:lang w:val="el-GR"/>
        </w:rPr>
        <w:t>2235</w:t>
      </w:r>
      <w:r w:rsidR="00610F99" w:rsidRPr="00610F99">
        <w:rPr>
          <w:lang w:val="el-GR"/>
        </w:rPr>
        <w:t xml:space="preserve"> </w:t>
      </w:r>
      <w:r w:rsidR="004436A3" w:rsidRPr="004436A3">
        <w:rPr>
          <w:lang w:val="el-GR"/>
        </w:rPr>
        <w:t xml:space="preserve">της 16ης Δεκεμβρίου 2019 που τροποποιεί την </w:t>
      </w:r>
      <w:r w:rsidR="00B01F34">
        <w:t>O</w:t>
      </w:r>
      <w:proofErr w:type="spellStart"/>
      <w:r w:rsidR="004436A3" w:rsidRPr="004436A3">
        <w:rPr>
          <w:lang w:val="el-GR"/>
        </w:rPr>
        <w:t>δηγία</w:t>
      </w:r>
      <w:proofErr w:type="spellEnd"/>
      <w:r w:rsidR="004436A3" w:rsidRPr="004436A3">
        <w:rPr>
          <w:lang w:val="el-GR"/>
        </w:rPr>
        <w:t xml:space="preserve"> 2006/112/ΕΚ σχετικά με το κοινό σύστημα φόρου προστιθέμενης αξίας και την </w:t>
      </w:r>
      <w:r w:rsidR="00B01F34">
        <w:t>O</w:t>
      </w:r>
      <w:proofErr w:type="spellStart"/>
      <w:r w:rsidR="004436A3" w:rsidRPr="004436A3">
        <w:rPr>
          <w:lang w:val="el-GR"/>
        </w:rPr>
        <w:t>δηγία</w:t>
      </w:r>
      <w:proofErr w:type="spellEnd"/>
      <w:r w:rsidR="004436A3" w:rsidRPr="004436A3">
        <w:rPr>
          <w:lang w:val="el-GR"/>
        </w:rPr>
        <w:t xml:space="preserve"> 2008/118/ΕΚ σχετικά με το γενικό καθεστώς των ειδικών φόρων κατανάλωσης όσον αφορά τις αμυντικές προσπάθειες στο πλαίσιο της Ένωσης</w:t>
      </w:r>
      <w:r w:rsidR="004436A3">
        <w:rPr>
          <w:lang w:val="el-GR"/>
        </w:rPr>
        <w:t xml:space="preserve">.  </w:t>
      </w:r>
      <w:r w:rsidR="00610F99" w:rsidRPr="00610F99">
        <w:rPr>
          <w:sz w:val="24"/>
          <w:lang w:val="el-GR"/>
        </w:rPr>
        <w:t xml:space="preserve"> </w:t>
      </w:r>
    </w:p>
    <w:p w:rsidR="00EA24E1" w:rsidRPr="00610F99" w:rsidRDefault="00610F99" w:rsidP="004674A1">
      <w:pPr>
        <w:ind w:left="-10" w:right="0" w:firstLine="720"/>
        <w:rPr>
          <w:lang w:val="el-GR"/>
        </w:rPr>
      </w:pPr>
      <w:r w:rsidRPr="00610F99">
        <w:rPr>
          <w:b/>
          <w:lang w:val="el-GR"/>
        </w:rPr>
        <w:t xml:space="preserve"> </w:t>
      </w:r>
    </w:p>
    <w:p w:rsidR="004436A3" w:rsidRPr="004436A3" w:rsidRDefault="008A4C42" w:rsidP="008A4C42">
      <w:pPr>
        <w:spacing w:after="206"/>
        <w:ind w:left="0" w:right="0" w:firstLine="0"/>
        <w:rPr>
          <w:lang w:val="el-GR"/>
        </w:rPr>
      </w:pPr>
      <w:r>
        <w:rPr>
          <w:lang w:val="el-GR"/>
        </w:rPr>
        <w:t>3.</w:t>
      </w:r>
      <w:r>
        <w:rPr>
          <w:lang w:val="el-GR"/>
        </w:rPr>
        <w:tab/>
      </w:r>
      <w:r w:rsidR="00E70433">
        <w:rPr>
          <w:lang w:val="el-GR"/>
        </w:rPr>
        <w:t>Με την</w:t>
      </w:r>
      <w:r w:rsidR="00736837">
        <w:rPr>
          <w:lang w:val="el-GR"/>
        </w:rPr>
        <w:t xml:space="preserve"> εν λόγω</w:t>
      </w:r>
      <w:r w:rsidR="00E70433">
        <w:rPr>
          <w:lang w:val="el-GR"/>
        </w:rPr>
        <w:t xml:space="preserve"> Οδηγία </w:t>
      </w:r>
      <w:r w:rsidR="004436A3">
        <w:rPr>
          <w:lang w:val="el-GR"/>
        </w:rPr>
        <w:t>εισάγεται</w:t>
      </w:r>
      <w:r w:rsidR="004436A3" w:rsidRPr="004436A3">
        <w:rPr>
          <w:lang w:val="el-GR"/>
        </w:rPr>
        <w:t xml:space="preserve"> απαλλαγή από τον ΦΠΑ</w:t>
      </w:r>
      <w:r w:rsidR="0014766D">
        <w:rPr>
          <w:lang w:val="el-GR"/>
        </w:rPr>
        <w:t>,</w:t>
      </w:r>
      <w:r w:rsidR="004436A3" w:rsidRPr="004436A3">
        <w:rPr>
          <w:lang w:val="el-GR"/>
        </w:rPr>
        <w:t xml:space="preserve"> η οποία να καλύπτει την παράδοση αγαθών και την παροχή υπηρεσιών που προορίζονται για χρήση των ενόπλων δυνάμεων ενός κράτους μέλους ή του πολιτικού προσωπικού που τις συνοδεύει ή για εφοδιασμό των λεσχών και κυλικείων τους, όταν οι δυνάμεις αυτές συμμετέχουν σε αμυντική προσπάθεια για την υλοποίηση </w:t>
      </w:r>
      <w:proofErr w:type="spellStart"/>
      <w:r w:rsidR="004436A3" w:rsidRPr="004436A3">
        <w:rPr>
          <w:lang w:val="el-GR"/>
        </w:rPr>
        <w:t>ενωσιακής</w:t>
      </w:r>
      <w:proofErr w:type="spellEnd"/>
      <w:r w:rsidR="004436A3" w:rsidRPr="004436A3">
        <w:rPr>
          <w:lang w:val="el-GR"/>
        </w:rPr>
        <w:t xml:space="preserve"> δραστηριότητας της Κ</w:t>
      </w:r>
      <w:r w:rsidR="004436A3">
        <w:rPr>
          <w:lang w:val="el-GR"/>
        </w:rPr>
        <w:t xml:space="preserve">οινής </w:t>
      </w:r>
      <w:r w:rsidR="004436A3" w:rsidRPr="004436A3">
        <w:rPr>
          <w:lang w:val="el-GR"/>
        </w:rPr>
        <w:t>Π</w:t>
      </w:r>
      <w:r w:rsidR="004436A3">
        <w:rPr>
          <w:lang w:val="el-GR"/>
        </w:rPr>
        <w:t xml:space="preserve">ολιτικής </w:t>
      </w:r>
      <w:r w:rsidR="004436A3" w:rsidRPr="004436A3">
        <w:rPr>
          <w:lang w:val="el-GR"/>
        </w:rPr>
        <w:t>Α</w:t>
      </w:r>
      <w:r w:rsidR="004436A3">
        <w:rPr>
          <w:lang w:val="el-GR"/>
        </w:rPr>
        <w:t>σφάλειας και Άμυνας</w:t>
      </w:r>
      <w:r w:rsidR="0014766D">
        <w:rPr>
          <w:lang w:val="el-GR"/>
        </w:rPr>
        <w:t xml:space="preserve"> (ΚΠΑΑ)</w:t>
      </w:r>
      <w:r w:rsidR="004436A3" w:rsidRPr="004436A3">
        <w:rPr>
          <w:lang w:val="el-GR"/>
        </w:rPr>
        <w:t xml:space="preserve"> εκτός του κράτους μέλους τους. Οι παραδόσεις αγαθών ή οι παροχές υπηρεσιών που προορίζονται για τις ένοπλες δυνάμεις του κράτους μέλους στο οποίο παραδίδονται τα εν λόγω αγαθά ή παρέχονται οι εν λόγω υπηρεσίες θα εξαιρούνται από την απαλλαγή από τον ΦΠΑ.</w:t>
      </w:r>
    </w:p>
    <w:p w:rsidR="004436A3" w:rsidRPr="004436A3" w:rsidRDefault="008A4C42" w:rsidP="008A4C42">
      <w:pPr>
        <w:spacing w:after="206"/>
        <w:ind w:left="0" w:right="0" w:firstLine="0"/>
        <w:rPr>
          <w:lang w:val="el-GR"/>
        </w:rPr>
      </w:pPr>
      <w:r>
        <w:rPr>
          <w:lang w:val="el-GR"/>
        </w:rPr>
        <w:t>4.</w:t>
      </w:r>
      <w:r>
        <w:rPr>
          <w:lang w:val="el-GR"/>
        </w:rPr>
        <w:tab/>
      </w:r>
      <w:r w:rsidR="004436A3" w:rsidRPr="004436A3">
        <w:rPr>
          <w:lang w:val="el-GR"/>
        </w:rPr>
        <w:t xml:space="preserve">Προβλέπεται επίσης </w:t>
      </w:r>
      <w:r w:rsidR="0014766D">
        <w:rPr>
          <w:lang w:val="el-GR"/>
        </w:rPr>
        <w:t xml:space="preserve">απαλλαγή από τον ΦΠΑ για αγαθά, </w:t>
      </w:r>
      <w:r w:rsidR="004436A3" w:rsidRPr="004436A3">
        <w:rPr>
          <w:lang w:val="el-GR"/>
        </w:rPr>
        <w:t>τα οποία εισάγονται από τις ένοπλες δυνάμεις ενός κράτους μέλους και προορίζονται είτε για χρήση από τις δυνάμεις αυτές</w:t>
      </w:r>
      <w:r w:rsidR="0014766D">
        <w:rPr>
          <w:lang w:val="el-GR"/>
        </w:rPr>
        <w:t>,</w:t>
      </w:r>
      <w:r w:rsidR="004436A3" w:rsidRPr="004436A3">
        <w:rPr>
          <w:lang w:val="el-GR"/>
        </w:rPr>
        <w:t xml:space="preserve"> ή το πολιτικό προσωπικό που τις συνοδεύει ή για εφοδιασμό των λεσχών και κυλικείων </w:t>
      </w:r>
      <w:r w:rsidR="0014766D">
        <w:rPr>
          <w:lang w:val="el-GR"/>
        </w:rPr>
        <w:t>τους,</w:t>
      </w:r>
      <w:r w:rsidR="004436A3" w:rsidRPr="004436A3">
        <w:rPr>
          <w:lang w:val="el-GR"/>
        </w:rPr>
        <w:t xml:space="preserve"> όταν οι δυνάμεις αυτές συμμετέχουν σε αμυντική προσπάθεια για την υλοποίηση </w:t>
      </w:r>
      <w:proofErr w:type="spellStart"/>
      <w:r w:rsidR="004436A3" w:rsidRPr="004436A3">
        <w:rPr>
          <w:lang w:val="el-GR"/>
        </w:rPr>
        <w:t>ενωσιακής</w:t>
      </w:r>
      <w:proofErr w:type="spellEnd"/>
      <w:r w:rsidR="004436A3" w:rsidRPr="004436A3">
        <w:rPr>
          <w:lang w:val="el-GR"/>
        </w:rPr>
        <w:t xml:space="preserve"> δραστηριότητας στο πλαίσιο της ΚΠΑΑ εκτός του κράτους μέλους τους.</w:t>
      </w:r>
    </w:p>
    <w:p w:rsidR="008F422C" w:rsidRDefault="008A4C42" w:rsidP="008A4C42">
      <w:pPr>
        <w:spacing w:after="206"/>
        <w:ind w:left="0" w:right="0" w:firstLine="0"/>
        <w:rPr>
          <w:lang w:val="el-GR"/>
        </w:rPr>
      </w:pPr>
      <w:r>
        <w:rPr>
          <w:lang w:val="el-GR"/>
        </w:rPr>
        <w:t xml:space="preserve">5. </w:t>
      </w:r>
      <w:r>
        <w:rPr>
          <w:lang w:val="el-GR"/>
        </w:rPr>
        <w:tab/>
      </w:r>
      <w:r w:rsidR="008F422C" w:rsidRPr="008F422C">
        <w:rPr>
          <w:lang w:val="el-GR"/>
        </w:rPr>
        <w:t>Οι εν λόγω απαλλαγές  ισχύουν μόνο σε καταστάσεις όπου οι ένοπλες δυνάμεις εκτελούν καθήκοντα άμεσα συνδεδεμένα με αμυντική προσπάθεια στο πλαίσιο της ΚΠΑΑ, και δεν καλύπτουν μη στρατιωτικές αποστολές στο πλαίσιο της ΚΠΑΑ. Αγαθά ή υπηρεσίες που παρέχονται για χρήση πολιτικού προσωπικού καλύπτονται από τις απαλλαγές</w:t>
      </w:r>
      <w:r w:rsidR="0014766D">
        <w:rPr>
          <w:lang w:val="el-GR"/>
        </w:rPr>
        <w:t>,</w:t>
      </w:r>
      <w:r w:rsidR="008F422C" w:rsidRPr="008F422C">
        <w:rPr>
          <w:lang w:val="el-GR"/>
        </w:rPr>
        <w:t xml:space="preserve"> </w:t>
      </w:r>
      <w:r w:rsidR="0014766D">
        <w:rPr>
          <w:lang w:val="el-GR"/>
        </w:rPr>
        <w:t xml:space="preserve"> μόνο </w:t>
      </w:r>
      <w:r w:rsidR="008F422C" w:rsidRPr="008F422C">
        <w:rPr>
          <w:lang w:val="el-GR"/>
        </w:rPr>
        <w:t xml:space="preserve">όταν το πολιτικό προσωπικό συνοδεύει </w:t>
      </w:r>
      <w:r w:rsidR="0014766D">
        <w:rPr>
          <w:lang w:val="el-GR"/>
        </w:rPr>
        <w:t xml:space="preserve">τις </w:t>
      </w:r>
      <w:r w:rsidR="008F422C" w:rsidRPr="008F422C">
        <w:rPr>
          <w:lang w:val="el-GR"/>
        </w:rPr>
        <w:t>ένοπλες δυνάμεις που εκτελούν καθήκοντα άμεσα συνδεδεμένα με αμυντική προσπάθεια στο πλαίσιο της ΚΠΑΑ εκτός του κράτους μέλους τους.</w:t>
      </w:r>
    </w:p>
    <w:p w:rsidR="00E70433" w:rsidRDefault="008A4C42" w:rsidP="008A4C42">
      <w:pPr>
        <w:spacing w:after="206"/>
        <w:ind w:left="0" w:right="0" w:firstLine="0"/>
        <w:rPr>
          <w:lang w:val="el-GR"/>
        </w:rPr>
      </w:pPr>
      <w:r>
        <w:rPr>
          <w:lang w:val="el-GR"/>
        </w:rPr>
        <w:t xml:space="preserve">6. </w:t>
      </w:r>
      <w:r>
        <w:rPr>
          <w:lang w:val="el-GR"/>
        </w:rPr>
        <w:tab/>
      </w:r>
      <w:r w:rsidR="004436A3">
        <w:rPr>
          <w:lang w:val="el-GR"/>
        </w:rPr>
        <w:t>Ο</w:t>
      </w:r>
      <w:r w:rsidR="00E70433" w:rsidRPr="00E70433">
        <w:rPr>
          <w:lang w:val="el-GR"/>
        </w:rPr>
        <w:t xml:space="preserve">ι απαλλαγές </w:t>
      </w:r>
      <w:r w:rsidR="0014766D">
        <w:rPr>
          <w:lang w:val="el-GR"/>
        </w:rPr>
        <w:t>που προβλέπονται στους κανονισμούς</w:t>
      </w:r>
      <w:r w:rsidR="0014766D" w:rsidRPr="0014766D">
        <w:rPr>
          <w:lang w:val="el-GR"/>
        </w:rPr>
        <w:t xml:space="preserve">  </w:t>
      </w:r>
      <w:r w:rsidR="004436A3">
        <w:rPr>
          <w:lang w:val="el-GR"/>
        </w:rPr>
        <w:t>θα πρέπει να θεσπιστούν μέχρι 30 Ιουνίου, 2022 και να εφαρμοστούν από 1 Ιουλίου, 2022</w:t>
      </w:r>
      <w:r w:rsidR="00E70433" w:rsidRPr="00E70433">
        <w:rPr>
          <w:lang w:val="el-GR"/>
        </w:rPr>
        <w:t>.</w:t>
      </w:r>
    </w:p>
    <w:p w:rsidR="008A4C42" w:rsidRPr="00E70433" w:rsidRDefault="008A4C42" w:rsidP="008A4C42">
      <w:pPr>
        <w:spacing w:after="206"/>
        <w:ind w:left="0" w:right="0" w:firstLine="0"/>
        <w:rPr>
          <w:lang w:val="el-GR"/>
        </w:rPr>
      </w:pPr>
      <w:r>
        <w:rPr>
          <w:lang w:val="el-GR"/>
        </w:rPr>
        <w:t>7.</w:t>
      </w:r>
      <w:r>
        <w:rPr>
          <w:lang w:val="el-GR"/>
        </w:rPr>
        <w:tab/>
      </w:r>
      <w:r w:rsidRPr="008A4C42">
        <w:rPr>
          <w:lang w:val="el-GR"/>
        </w:rPr>
        <w:t>Οι προτεινόμενες τροποποιήσεις θα υλοποιηθούν με την έγκριση από τη Βουλή των Αντιπροσώπων τ</w:t>
      </w:r>
      <w:r>
        <w:rPr>
          <w:lang w:val="el-GR"/>
        </w:rPr>
        <w:t xml:space="preserve">ων Κανονισμών </w:t>
      </w:r>
      <w:r w:rsidRPr="008A4C42">
        <w:rPr>
          <w:lang w:val="el-GR"/>
        </w:rPr>
        <w:t>με τίτλο: «Οι περί Φόρου Προστιθέμενης Αξίας (Ειδικές Απαλλαγ</w:t>
      </w:r>
      <w:r>
        <w:rPr>
          <w:lang w:val="el-GR"/>
        </w:rPr>
        <w:t>ές) (Τροποποιητικοί) του 2022».  Οι</w:t>
      </w:r>
      <w:r w:rsidRPr="008A4C42">
        <w:rPr>
          <w:lang w:val="el-GR"/>
        </w:rPr>
        <w:t xml:space="preserve"> προτεινόμεν</w:t>
      </w:r>
      <w:r>
        <w:rPr>
          <w:lang w:val="el-GR"/>
        </w:rPr>
        <w:t>οι</w:t>
      </w:r>
      <w:r w:rsidRPr="008A4C42">
        <w:rPr>
          <w:lang w:val="el-GR"/>
        </w:rPr>
        <w:t xml:space="preserve"> </w:t>
      </w:r>
      <w:r>
        <w:rPr>
          <w:lang w:val="el-GR"/>
        </w:rPr>
        <w:t>κανονισμοί</w:t>
      </w:r>
      <w:r w:rsidRPr="008A4C42">
        <w:rPr>
          <w:lang w:val="el-GR"/>
        </w:rPr>
        <w:t xml:space="preserve"> έχει ήδη ελεγχθεί νομοτεχνικά από το Γραφείο του Γενικού Εισαγγελέα και επισυνάπτ</w:t>
      </w:r>
      <w:r>
        <w:rPr>
          <w:lang w:val="el-GR"/>
        </w:rPr>
        <w:t>ονται</w:t>
      </w:r>
      <w:r w:rsidR="00AB2EA2">
        <w:rPr>
          <w:lang w:val="el-GR"/>
        </w:rPr>
        <w:t xml:space="preserve"> με</w:t>
      </w:r>
      <w:r w:rsidR="00AB2EA2" w:rsidRPr="00AB2EA2">
        <w:rPr>
          <w:lang w:val="el-GR"/>
        </w:rPr>
        <w:t xml:space="preserve"> συμπληρωμένο Ερωτηματολ</w:t>
      </w:r>
      <w:r w:rsidR="00AB2EA2">
        <w:rPr>
          <w:lang w:val="el-GR"/>
        </w:rPr>
        <w:t>όγιο</w:t>
      </w:r>
      <w:r w:rsidR="00AB2EA2" w:rsidRPr="00AB2EA2">
        <w:rPr>
          <w:lang w:val="el-GR"/>
        </w:rPr>
        <w:t xml:space="preserve"> Ανάλυσης Αντικτύπου</w:t>
      </w:r>
      <w:r w:rsidRPr="008A4C42">
        <w:rPr>
          <w:lang w:val="el-GR"/>
        </w:rPr>
        <w:t>.</w:t>
      </w:r>
    </w:p>
    <w:p w:rsidR="00610F99" w:rsidRDefault="009A2FD3">
      <w:pPr>
        <w:spacing w:after="72"/>
        <w:ind w:left="0" w:right="196"/>
        <w:rPr>
          <w:lang w:val="el-GR"/>
        </w:rPr>
      </w:pPr>
      <w:r>
        <w:rPr>
          <w:lang w:val="el-GR"/>
        </w:rPr>
        <w:t xml:space="preserve">      </w:t>
      </w:r>
      <w:r w:rsidR="00610F99" w:rsidRPr="00610F99">
        <w:rPr>
          <w:lang w:val="el-GR"/>
        </w:rPr>
        <w:t xml:space="preserve">                                                                 </w:t>
      </w:r>
    </w:p>
    <w:p w:rsidR="007D10C7" w:rsidRDefault="00610F99" w:rsidP="009A2FD3">
      <w:pPr>
        <w:spacing w:after="72"/>
        <w:ind w:left="0" w:right="196"/>
        <w:rPr>
          <w:lang w:val="el-GR"/>
        </w:rPr>
      </w:pPr>
      <w:r w:rsidRPr="00610F99">
        <w:rPr>
          <w:lang w:val="el-GR"/>
        </w:rPr>
        <w:t xml:space="preserve">ΥΠΟΥΡΓΕΙΟ ΟΙΚΟΝΟΜΙΚΩΝ </w:t>
      </w:r>
    </w:p>
    <w:p w:rsidR="00EA24E1" w:rsidRDefault="00B01F34">
      <w:pPr>
        <w:ind w:left="0" w:right="0"/>
        <w:rPr>
          <w:rFonts w:ascii="Times New Roman" w:eastAsia="Times New Roman" w:hAnsi="Times New Roman" w:cs="Times New Roman"/>
          <w:lang w:val="el-GR"/>
        </w:rPr>
      </w:pPr>
      <w:r>
        <w:t>24</w:t>
      </w:r>
      <w:bookmarkStart w:id="0" w:name="_GoBack"/>
      <w:bookmarkEnd w:id="0"/>
      <w:r w:rsidR="006F484F">
        <w:rPr>
          <w:lang w:val="el-GR"/>
        </w:rPr>
        <w:t xml:space="preserve"> Ιουνίου, 2022</w:t>
      </w:r>
      <w:r w:rsidR="00610F99" w:rsidRPr="00610F99">
        <w:rPr>
          <w:lang w:val="el-GR"/>
        </w:rPr>
        <w:t xml:space="preserve">  </w:t>
      </w:r>
      <w:r w:rsidR="00610F99" w:rsidRPr="00610F99">
        <w:rPr>
          <w:rFonts w:ascii="Times New Roman" w:eastAsia="Times New Roman" w:hAnsi="Times New Roman" w:cs="Times New Roman"/>
          <w:lang w:val="el-GR"/>
        </w:rPr>
        <w:t xml:space="preserve"> </w:t>
      </w:r>
    </w:p>
    <w:p w:rsidR="009A2FD3" w:rsidRPr="009A2FD3" w:rsidRDefault="009A2FD3">
      <w:pPr>
        <w:ind w:left="0" w:right="0"/>
        <w:rPr>
          <w:sz w:val="18"/>
          <w:szCs w:val="18"/>
          <w:lang w:val="el-GR"/>
        </w:rPr>
      </w:pPr>
      <w:r w:rsidRPr="009A2FD3">
        <w:rPr>
          <w:rFonts w:ascii="Times New Roman" w:eastAsia="Times New Roman" w:hAnsi="Times New Roman" w:cs="Times New Roman"/>
          <w:sz w:val="18"/>
          <w:szCs w:val="18"/>
          <w:lang w:val="el-GR"/>
        </w:rPr>
        <w:t>ΝΣ/ΝΣ</w:t>
      </w:r>
    </w:p>
    <w:sectPr w:rsidR="009A2FD3" w:rsidRPr="009A2FD3" w:rsidSect="009A2FD3">
      <w:pgSz w:w="11906" w:h="16838"/>
      <w:pgMar w:top="720" w:right="720" w:bottom="720"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83E92"/>
    <w:multiLevelType w:val="hybridMultilevel"/>
    <w:tmpl w:val="433A8EFC"/>
    <w:lvl w:ilvl="0" w:tplc="D3BEC068">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1A13DC">
      <w:start w:val="1"/>
      <w:numFmt w:val="lowerLetter"/>
      <w:lvlText w:val="%2"/>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70E870">
      <w:start w:val="1"/>
      <w:numFmt w:val="lowerRoman"/>
      <w:lvlText w:val="%3"/>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70F57E">
      <w:start w:val="1"/>
      <w:numFmt w:val="decimal"/>
      <w:lvlText w:val="%4"/>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4EA500">
      <w:start w:val="1"/>
      <w:numFmt w:val="lowerLetter"/>
      <w:lvlText w:val="%5"/>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FC73DC">
      <w:start w:val="1"/>
      <w:numFmt w:val="lowerRoman"/>
      <w:lvlText w:val="%6"/>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8072A8">
      <w:start w:val="1"/>
      <w:numFmt w:val="decimal"/>
      <w:lvlText w:val="%7"/>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40826E">
      <w:start w:val="1"/>
      <w:numFmt w:val="lowerLetter"/>
      <w:lvlText w:val="%8"/>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9099E0">
      <w:start w:val="1"/>
      <w:numFmt w:val="lowerRoman"/>
      <w:lvlText w:val="%9"/>
      <w:lvlJc w:val="left"/>
      <w:pPr>
        <w:ind w:left="6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E1"/>
    <w:rsid w:val="00014D75"/>
    <w:rsid w:val="0007477F"/>
    <w:rsid w:val="0014766D"/>
    <w:rsid w:val="001F351E"/>
    <w:rsid w:val="0029214A"/>
    <w:rsid w:val="004436A3"/>
    <w:rsid w:val="004674A1"/>
    <w:rsid w:val="00610F99"/>
    <w:rsid w:val="006F484F"/>
    <w:rsid w:val="00736837"/>
    <w:rsid w:val="00744216"/>
    <w:rsid w:val="007D10C7"/>
    <w:rsid w:val="008A4C42"/>
    <w:rsid w:val="008F422C"/>
    <w:rsid w:val="009A2FD3"/>
    <w:rsid w:val="009C4E18"/>
    <w:rsid w:val="00AB2EA2"/>
    <w:rsid w:val="00B01F34"/>
    <w:rsid w:val="00C36850"/>
    <w:rsid w:val="00E70433"/>
    <w:rsid w:val="00EA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2B775-09C4-4541-AB20-34546722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2" w:lineRule="auto"/>
      <w:ind w:left="15" w:right="3"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7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Symeonidou  Nayia</dc:creator>
  <cp:keywords/>
  <cp:lastModifiedBy>Symeonidou  Nayia</cp:lastModifiedBy>
  <cp:revision>6</cp:revision>
  <cp:lastPrinted>2022-06-16T07:11:00Z</cp:lastPrinted>
  <dcterms:created xsi:type="dcterms:W3CDTF">2022-06-16T07:11:00Z</dcterms:created>
  <dcterms:modified xsi:type="dcterms:W3CDTF">2022-06-27T12:05:00Z</dcterms:modified>
</cp:coreProperties>
</file>