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1F18" w14:textId="77777777" w:rsidR="006D3FE5" w:rsidRPr="00166B94" w:rsidRDefault="00541CA6">
      <w:pPr>
        <w:spacing w:after="0" w:line="360" w:lineRule="auto"/>
        <w:jc w:val="center"/>
        <w:rPr>
          <w:bCs/>
          <w:lang w:val="el-GR"/>
        </w:rPr>
      </w:pPr>
      <w:r w:rsidRPr="00166B94">
        <w:rPr>
          <w:rFonts w:ascii="Arial" w:hAnsi="Arial" w:cs="Arial"/>
          <w:bCs/>
          <w:sz w:val="24"/>
          <w:szCs w:val="24"/>
          <w:lang w:val="el-GR"/>
        </w:rPr>
        <w:t>ΟΙ ΠΕΡΙ ΔΗΜΟΣΙΑΣ ΥΠΗΡΕΣΙΑΣ ΝΟΜΟΙ ΤΟΥ 1990 ΕΩΣ 2022</w:t>
      </w:r>
    </w:p>
    <w:p w14:paraId="003C7CAA" w14:textId="77777777" w:rsidR="00A70A05" w:rsidRDefault="00A70A05">
      <w:pPr>
        <w:spacing w:after="0" w:line="360" w:lineRule="auto"/>
        <w:jc w:val="center"/>
        <w:rPr>
          <w:rFonts w:ascii="Arial" w:hAnsi="Arial" w:cs="Arial"/>
          <w:bCs/>
          <w:sz w:val="24"/>
          <w:szCs w:val="24"/>
          <w:lang w:val="el-GR"/>
        </w:rPr>
      </w:pPr>
    </w:p>
    <w:p w14:paraId="28B6AE53" w14:textId="3FB03DF2" w:rsidR="006D3FE5" w:rsidRDefault="00A70A05">
      <w:pPr>
        <w:spacing w:after="0" w:line="360" w:lineRule="auto"/>
        <w:jc w:val="center"/>
        <w:rPr>
          <w:rFonts w:ascii="Arial" w:hAnsi="Arial" w:cs="Arial"/>
          <w:bCs/>
          <w:sz w:val="24"/>
          <w:szCs w:val="24"/>
          <w:lang w:val="el-GR"/>
        </w:rPr>
      </w:pPr>
      <w:r w:rsidRPr="00166B94">
        <w:rPr>
          <w:rFonts w:ascii="Arial" w:hAnsi="Arial" w:cs="Arial"/>
          <w:bCs/>
          <w:sz w:val="24"/>
          <w:szCs w:val="24"/>
          <w:lang w:val="el-GR"/>
        </w:rPr>
        <w:t>Κανονισμοί δυνάμει του άρθρου 87</w:t>
      </w:r>
    </w:p>
    <w:p w14:paraId="67454F71" w14:textId="77777777" w:rsidR="00A70A05" w:rsidRDefault="00A70A05">
      <w:pPr>
        <w:spacing w:after="0" w:line="360" w:lineRule="auto"/>
        <w:jc w:val="center"/>
        <w:rPr>
          <w:rFonts w:ascii="Arial" w:hAnsi="Arial" w:cs="Arial"/>
          <w:b/>
          <w:sz w:val="24"/>
          <w:szCs w:val="24"/>
          <w:lang w:val="el-GR"/>
        </w:rPr>
      </w:pPr>
    </w:p>
    <w:tbl>
      <w:tblPr>
        <w:tblW w:w="9532" w:type="dxa"/>
        <w:tblInd w:w="-34" w:type="dxa"/>
        <w:tblLayout w:type="fixed"/>
        <w:tblCellMar>
          <w:left w:w="10" w:type="dxa"/>
          <w:right w:w="10" w:type="dxa"/>
        </w:tblCellMar>
        <w:tblLook w:val="04A0" w:firstRow="1" w:lastRow="0" w:firstColumn="1" w:lastColumn="0" w:noHBand="0" w:noVBand="1"/>
      </w:tblPr>
      <w:tblGrid>
        <w:gridCol w:w="2161"/>
        <w:gridCol w:w="1134"/>
        <w:gridCol w:w="6237"/>
      </w:tblGrid>
      <w:tr w:rsidR="006D3FE5" w:rsidRPr="00D1209A" w14:paraId="5224B117" w14:textId="77777777">
        <w:trPr>
          <w:trHeight w:val="1559"/>
        </w:trPr>
        <w:tc>
          <w:tcPr>
            <w:tcW w:w="2161" w:type="dxa"/>
            <w:shd w:val="clear" w:color="auto" w:fill="auto"/>
            <w:tcMar>
              <w:top w:w="0" w:type="dxa"/>
              <w:left w:w="108" w:type="dxa"/>
              <w:bottom w:w="0" w:type="dxa"/>
              <w:right w:w="108" w:type="dxa"/>
            </w:tcMar>
          </w:tcPr>
          <w:p w14:paraId="034A6984" w14:textId="77777777" w:rsidR="006D3FE5" w:rsidRDefault="00541CA6">
            <w:pPr>
              <w:spacing w:after="0" w:line="360" w:lineRule="auto"/>
              <w:jc w:val="right"/>
              <w:rPr>
                <w:rFonts w:ascii="Arial" w:hAnsi="Arial" w:cs="Arial"/>
                <w:sz w:val="24"/>
                <w:szCs w:val="24"/>
                <w:lang w:val="el-GR"/>
              </w:rPr>
            </w:pPr>
            <w:r>
              <w:rPr>
                <w:rFonts w:ascii="Arial" w:hAnsi="Arial" w:cs="Arial"/>
                <w:sz w:val="24"/>
                <w:szCs w:val="24"/>
                <w:lang w:val="el-GR"/>
              </w:rPr>
              <w:t xml:space="preserve">  </w:t>
            </w:r>
          </w:p>
          <w:p w14:paraId="58BEABBE"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 του 1990</w:t>
            </w:r>
          </w:p>
          <w:p w14:paraId="25CF7A1C" w14:textId="5FF8E926"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71 του 1991</w:t>
            </w:r>
          </w:p>
          <w:p w14:paraId="238C45BC" w14:textId="10193716"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211 του 1991</w:t>
            </w:r>
          </w:p>
          <w:p w14:paraId="575C14AA" w14:textId="1B9CAED8"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27(Ι) του 1994</w:t>
            </w:r>
          </w:p>
          <w:p w14:paraId="02918FA9" w14:textId="598DA9B2"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83(Ι) του 1995</w:t>
            </w:r>
          </w:p>
          <w:p w14:paraId="2540E7F7" w14:textId="5339273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60(Ι) του 1996</w:t>
            </w:r>
          </w:p>
          <w:p w14:paraId="460FB098"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109(Ι) του 1996</w:t>
            </w:r>
          </w:p>
          <w:p w14:paraId="62F69B19" w14:textId="38208A7C"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69(Ι) του 2000</w:t>
            </w:r>
          </w:p>
          <w:p w14:paraId="29A8ECCB"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156(Ι) του 2000</w:t>
            </w:r>
          </w:p>
          <w:p w14:paraId="5090F200" w14:textId="7A1385FC"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4(Ι) του 2001</w:t>
            </w:r>
          </w:p>
          <w:p w14:paraId="63A0C410" w14:textId="01F1686F"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94(Ι) του 2003</w:t>
            </w:r>
          </w:p>
          <w:p w14:paraId="298E8064"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128(Ι) του 2003</w:t>
            </w:r>
          </w:p>
          <w:p w14:paraId="5AE0495A"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183(Ι) του 2003</w:t>
            </w:r>
          </w:p>
          <w:p w14:paraId="696AF768" w14:textId="2742B8F8"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31(Ι) του 2004</w:t>
            </w:r>
          </w:p>
          <w:p w14:paraId="47A23855"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218(Ι) του 2004</w:t>
            </w:r>
          </w:p>
          <w:p w14:paraId="3557EFC5" w14:textId="42B557C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68(Ι) του 2005</w:t>
            </w:r>
          </w:p>
          <w:p w14:paraId="099618B5" w14:textId="787A833F"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79(Ι) του 2005</w:t>
            </w:r>
          </w:p>
          <w:p w14:paraId="5E3E9DCF"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105(Ι) του 2005</w:t>
            </w:r>
          </w:p>
          <w:p w14:paraId="23390809" w14:textId="0DC5B90A"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96(Ι) του 2006</w:t>
            </w:r>
          </w:p>
          <w:p w14:paraId="5DF60215"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107(Ι) του 2008</w:t>
            </w:r>
          </w:p>
          <w:p w14:paraId="41BABE0A"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137 (Ι) του 2009</w:t>
            </w:r>
          </w:p>
          <w:p w14:paraId="34195A61"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194(Ι) του 2011</w:t>
            </w:r>
          </w:p>
          <w:p w14:paraId="4BACFF6C" w14:textId="5B1D71A9"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78(Ι) του 2013</w:t>
            </w:r>
          </w:p>
          <w:p w14:paraId="46CFB750" w14:textId="15037458"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7(Ι) του 2014</w:t>
            </w:r>
          </w:p>
          <w:p w14:paraId="29B8532D" w14:textId="62FBF8CF"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21(Ι) του 2014</w:t>
            </w:r>
          </w:p>
          <w:p w14:paraId="1F5BBA65"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100(Ι) του 2015</w:t>
            </w:r>
          </w:p>
          <w:p w14:paraId="1D0A6E63"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148(Ι) του 2017</w:t>
            </w:r>
          </w:p>
          <w:p w14:paraId="3439A08F"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lastRenderedPageBreak/>
              <w:t>151(Ι) του 2017</w:t>
            </w:r>
          </w:p>
          <w:p w14:paraId="21D16A90"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152(Ι) του 2017</w:t>
            </w:r>
          </w:p>
          <w:p w14:paraId="79F1DD44"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98 (Ι) του 2020</w:t>
            </w:r>
          </w:p>
          <w:p w14:paraId="4EC27A6E" w14:textId="77777777" w:rsidR="006D3FE5" w:rsidRDefault="00541CA6" w:rsidP="007A59EB">
            <w:pPr>
              <w:spacing w:after="0" w:line="360" w:lineRule="auto"/>
              <w:ind w:right="113"/>
              <w:jc w:val="right"/>
              <w:rPr>
                <w:rFonts w:ascii="Arial" w:hAnsi="Arial" w:cs="Arial"/>
                <w:sz w:val="24"/>
                <w:szCs w:val="24"/>
                <w:lang w:val="el-GR"/>
              </w:rPr>
            </w:pPr>
            <w:r>
              <w:rPr>
                <w:rFonts w:ascii="Arial" w:hAnsi="Arial" w:cs="Arial"/>
                <w:sz w:val="24"/>
                <w:szCs w:val="24"/>
                <w:lang w:val="el-GR"/>
              </w:rPr>
              <w:t>136(Ι) του 2020</w:t>
            </w:r>
          </w:p>
          <w:p w14:paraId="15DFAA33" w14:textId="77777777" w:rsidR="006D3FE5" w:rsidRPr="00D71B55" w:rsidRDefault="00541CA6" w:rsidP="007A59EB">
            <w:pPr>
              <w:spacing w:after="0" w:line="360" w:lineRule="auto"/>
              <w:ind w:right="57"/>
              <w:jc w:val="right"/>
              <w:rPr>
                <w:lang w:val="el-GR"/>
              </w:rPr>
            </w:pPr>
            <w:r>
              <w:rPr>
                <w:rFonts w:ascii="Arial" w:hAnsi="Arial" w:cs="Arial"/>
                <w:sz w:val="24"/>
                <w:szCs w:val="24"/>
                <w:lang w:val="el-GR"/>
              </w:rPr>
              <w:t>1(Ι) του 2022.</w:t>
            </w:r>
          </w:p>
        </w:tc>
        <w:tc>
          <w:tcPr>
            <w:tcW w:w="7371" w:type="dxa"/>
            <w:gridSpan w:val="2"/>
            <w:shd w:val="clear" w:color="auto" w:fill="auto"/>
            <w:tcMar>
              <w:top w:w="0" w:type="dxa"/>
              <w:left w:w="108" w:type="dxa"/>
              <w:bottom w:w="0" w:type="dxa"/>
              <w:right w:w="108" w:type="dxa"/>
            </w:tcMar>
          </w:tcPr>
          <w:p w14:paraId="40913102" w14:textId="716CF60D" w:rsidR="006D3FE5" w:rsidRPr="00166B94" w:rsidRDefault="00541CA6">
            <w:pPr>
              <w:spacing w:after="0" w:line="360" w:lineRule="auto"/>
              <w:jc w:val="both"/>
              <w:rPr>
                <w:lang w:val="el-GR"/>
              </w:rPr>
            </w:pPr>
            <w:r>
              <w:rPr>
                <w:rFonts w:ascii="Arial" w:hAnsi="Arial" w:cs="Arial"/>
                <w:sz w:val="24"/>
                <w:szCs w:val="24"/>
                <w:lang w:val="el-GR"/>
              </w:rPr>
              <w:lastRenderedPageBreak/>
              <w:t xml:space="preserve">Το Υπουργικό Συμβούλιο, ασκώντας τις εξουσίες που </w:t>
            </w:r>
            <w:r w:rsidR="008942FC">
              <w:rPr>
                <w:rFonts w:ascii="Arial" w:hAnsi="Arial" w:cs="Arial"/>
                <w:sz w:val="24"/>
                <w:szCs w:val="24"/>
                <w:lang w:val="el-GR"/>
              </w:rPr>
              <w:t xml:space="preserve">του </w:t>
            </w:r>
            <w:r>
              <w:rPr>
                <w:rFonts w:ascii="Arial" w:hAnsi="Arial" w:cs="Arial"/>
                <w:sz w:val="24"/>
                <w:szCs w:val="24"/>
                <w:lang w:val="el-GR"/>
              </w:rPr>
              <w:t xml:space="preserve">χορηγούνται </w:t>
            </w:r>
            <w:bookmarkStart w:id="0" w:name="_Hlk106615708"/>
            <w:r>
              <w:rPr>
                <w:rFonts w:ascii="Arial" w:hAnsi="Arial" w:cs="Arial"/>
                <w:sz w:val="24"/>
                <w:szCs w:val="24"/>
                <w:lang w:val="el-GR"/>
              </w:rPr>
              <w:t xml:space="preserve">δυνάμει του άρθρου 87 </w:t>
            </w:r>
            <w:r w:rsidR="00392361">
              <w:rPr>
                <w:rFonts w:ascii="Arial" w:hAnsi="Arial" w:cs="Arial"/>
                <w:sz w:val="24"/>
                <w:szCs w:val="24"/>
                <w:lang w:val="el-GR"/>
              </w:rPr>
              <w:t xml:space="preserve">του </w:t>
            </w:r>
            <w:r>
              <w:rPr>
                <w:rFonts w:ascii="Arial" w:hAnsi="Arial" w:cs="Arial"/>
                <w:sz w:val="24"/>
                <w:szCs w:val="24"/>
                <w:lang w:val="el-GR"/>
              </w:rPr>
              <w:t xml:space="preserve">περί Δημόσιας Υπηρεσίας </w:t>
            </w:r>
            <w:bookmarkEnd w:id="0"/>
            <w:r w:rsidR="00392361">
              <w:rPr>
                <w:rFonts w:ascii="Arial" w:hAnsi="Arial" w:cs="Arial"/>
                <w:sz w:val="24"/>
                <w:szCs w:val="24"/>
                <w:lang w:val="el-GR"/>
              </w:rPr>
              <w:t>Νόμου</w:t>
            </w:r>
            <w:r>
              <w:rPr>
                <w:rFonts w:ascii="Arial" w:hAnsi="Arial" w:cs="Arial"/>
                <w:sz w:val="24"/>
                <w:szCs w:val="24"/>
                <w:lang w:val="el-GR"/>
              </w:rPr>
              <w:t>, εκδίδει τους ακόλουθους Κανονισμούς:</w:t>
            </w:r>
          </w:p>
          <w:p w14:paraId="1D11E256" w14:textId="77777777" w:rsidR="006D3FE5" w:rsidRDefault="006D3FE5">
            <w:pPr>
              <w:spacing w:after="0" w:line="360" w:lineRule="auto"/>
              <w:jc w:val="both"/>
              <w:rPr>
                <w:rFonts w:ascii="Arial" w:hAnsi="Arial" w:cs="Arial"/>
                <w:sz w:val="24"/>
                <w:szCs w:val="24"/>
                <w:lang w:val="el-GR"/>
              </w:rPr>
            </w:pPr>
          </w:p>
        </w:tc>
      </w:tr>
      <w:tr w:rsidR="006D3FE5" w:rsidRPr="00D1209A" w14:paraId="4786D1C3" w14:textId="77777777" w:rsidTr="00806898">
        <w:trPr>
          <w:trHeight w:val="467"/>
        </w:trPr>
        <w:tc>
          <w:tcPr>
            <w:tcW w:w="2161" w:type="dxa"/>
            <w:shd w:val="clear" w:color="auto" w:fill="auto"/>
            <w:tcMar>
              <w:top w:w="0" w:type="dxa"/>
              <w:left w:w="108" w:type="dxa"/>
              <w:bottom w:w="0" w:type="dxa"/>
              <w:right w:w="108" w:type="dxa"/>
            </w:tcMar>
          </w:tcPr>
          <w:p w14:paraId="64AAB3DE" w14:textId="77777777" w:rsidR="006D3FE5" w:rsidRDefault="006D3FE5">
            <w:pPr>
              <w:spacing w:after="0" w:line="240" w:lineRule="auto"/>
              <w:jc w:val="right"/>
              <w:rPr>
                <w:rFonts w:ascii="Arial" w:hAnsi="Arial" w:cs="Arial"/>
                <w:sz w:val="24"/>
                <w:szCs w:val="24"/>
                <w:lang w:val="el-GR"/>
              </w:rPr>
            </w:pPr>
          </w:p>
        </w:tc>
        <w:tc>
          <w:tcPr>
            <w:tcW w:w="7371" w:type="dxa"/>
            <w:gridSpan w:val="2"/>
            <w:shd w:val="clear" w:color="auto" w:fill="auto"/>
            <w:tcMar>
              <w:top w:w="0" w:type="dxa"/>
              <w:left w:w="108" w:type="dxa"/>
              <w:bottom w:w="0" w:type="dxa"/>
              <w:right w:w="108" w:type="dxa"/>
            </w:tcMar>
          </w:tcPr>
          <w:p w14:paraId="731A0034" w14:textId="77777777" w:rsidR="006D3FE5" w:rsidRDefault="006D3FE5">
            <w:pPr>
              <w:spacing w:after="0" w:line="240" w:lineRule="auto"/>
              <w:jc w:val="both"/>
              <w:rPr>
                <w:rFonts w:ascii="Arial" w:hAnsi="Arial" w:cs="Arial"/>
                <w:sz w:val="24"/>
                <w:szCs w:val="24"/>
                <w:lang w:val="el-GR"/>
              </w:rPr>
            </w:pPr>
          </w:p>
        </w:tc>
      </w:tr>
      <w:tr w:rsidR="006D3FE5" w:rsidRPr="00D1209A" w14:paraId="4E481D82" w14:textId="77777777">
        <w:tc>
          <w:tcPr>
            <w:tcW w:w="2161" w:type="dxa"/>
            <w:shd w:val="clear" w:color="auto" w:fill="auto"/>
            <w:tcMar>
              <w:top w:w="0" w:type="dxa"/>
              <w:left w:w="108" w:type="dxa"/>
              <w:bottom w:w="0" w:type="dxa"/>
              <w:right w:w="108" w:type="dxa"/>
            </w:tcMar>
          </w:tcPr>
          <w:p w14:paraId="1A29FDE2" w14:textId="77777777" w:rsidR="006D3FE5" w:rsidRDefault="00541CA6">
            <w:pPr>
              <w:spacing w:after="0" w:line="360" w:lineRule="auto"/>
              <w:rPr>
                <w:rFonts w:ascii="Arial" w:hAnsi="Arial" w:cs="Arial"/>
                <w:sz w:val="24"/>
                <w:szCs w:val="24"/>
                <w:lang w:val="el-GR"/>
              </w:rPr>
            </w:pPr>
            <w:r>
              <w:rPr>
                <w:rFonts w:ascii="Arial" w:hAnsi="Arial" w:cs="Arial"/>
                <w:sz w:val="24"/>
                <w:szCs w:val="24"/>
                <w:lang w:val="el-GR"/>
              </w:rPr>
              <w:t>Συνοπτικός τίτλος.</w:t>
            </w:r>
          </w:p>
          <w:p w14:paraId="57FD8AFC" w14:textId="77777777" w:rsidR="006D3FE5" w:rsidRDefault="00541CA6">
            <w:pPr>
              <w:spacing w:after="0" w:line="360" w:lineRule="auto"/>
              <w:rPr>
                <w:rFonts w:ascii="Arial" w:hAnsi="Arial" w:cs="Arial"/>
                <w:sz w:val="24"/>
                <w:szCs w:val="24"/>
                <w:lang w:val="el-GR"/>
              </w:rPr>
            </w:pPr>
            <w:r>
              <w:rPr>
                <w:rFonts w:ascii="Arial" w:hAnsi="Arial" w:cs="Arial"/>
                <w:sz w:val="24"/>
                <w:szCs w:val="24"/>
                <w:lang w:val="el-GR"/>
              </w:rPr>
              <w:t>Επίσημη</w:t>
            </w:r>
          </w:p>
          <w:p w14:paraId="34C9D51E" w14:textId="77777777" w:rsidR="006D3FE5" w:rsidRDefault="00541CA6">
            <w:pPr>
              <w:spacing w:after="0" w:line="360" w:lineRule="auto"/>
              <w:rPr>
                <w:rFonts w:ascii="Arial" w:hAnsi="Arial" w:cs="Arial"/>
                <w:sz w:val="24"/>
                <w:szCs w:val="24"/>
                <w:lang w:val="el-GR"/>
              </w:rPr>
            </w:pPr>
            <w:r>
              <w:rPr>
                <w:rFonts w:ascii="Arial" w:hAnsi="Arial" w:cs="Arial"/>
                <w:sz w:val="24"/>
                <w:szCs w:val="24"/>
                <w:lang w:val="el-GR"/>
              </w:rPr>
              <w:t>Εφημερίδα,</w:t>
            </w:r>
          </w:p>
          <w:p w14:paraId="3E01A522" w14:textId="77777777" w:rsidR="006D3FE5" w:rsidRDefault="00541CA6">
            <w:pPr>
              <w:spacing w:after="0" w:line="360" w:lineRule="auto"/>
              <w:rPr>
                <w:rFonts w:ascii="Arial" w:hAnsi="Arial" w:cs="Arial"/>
                <w:sz w:val="24"/>
                <w:szCs w:val="24"/>
                <w:lang w:val="el-GR"/>
              </w:rPr>
            </w:pPr>
            <w:r>
              <w:rPr>
                <w:rFonts w:ascii="Arial" w:hAnsi="Arial" w:cs="Arial"/>
                <w:sz w:val="24"/>
                <w:szCs w:val="24"/>
                <w:lang w:val="el-GR"/>
              </w:rPr>
              <w:t>Παράρτημα</w:t>
            </w:r>
          </w:p>
          <w:p w14:paraId="6028DCE5" w14:textId="77777777" w:rsidR="006D3FE5" w:rsidRDefault="00541CA6">
            <w:pPr>
              <w:spacing w:after="0" w:line="360" w:lineRule="auto"/>
              <w:rPr>
                <w:rFonts w:ascii="Arial" w:hAnsi="Arial" w:cs="Arial"/>
                <w:sz w:val="24"/>
                <w:szCs w:val="24"/>
                <w:lang w:val="el-GR"/>
              </w:rPr>
            </w:pPr>
            <w:r>
              <w:rPr>
                <w:rFonts w:ascii="Arial" w:hAnsi="Arial" w:cs="Arial"/>
                <w:sz w:val="24"/>
                <w:szCs w:val="24"/>
                <w:lang w:val="el-GR"/>
              </w:rPr>
              <w:t>Τρίτο (Ι):</w:t>
            </w:r>
          </w:p>
          <w:p w14:paraId="1AAF2B57" w14:textId="77777777" w:rsidR="006D3FE5" w:rsidRPr="003E3D8C" w:rsidRDefault="00541CA6" w:rsidP="009E53F0">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29.03.1991</w:t>
            </w:r>
          </w:p>
          <w:p w14:paraId="4D1E5C88"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18.10.1991</w:t>
            </w:r>
          </w:p>
          <w:p w14:paraId="20D0A287"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08.04.1994</w:t>
            </w:r>
          </w:p>
          <w:p w14:paraId="7EF7D5B4"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19.12.1994</w:t>
            </w:r>
          </w:p>
          <w:p w14:paraId="04CE513B"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25.02.2000</w:t>
            </w:r>
          </w:p>
          <w:p w14:paraId="7A0EFB34"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16.06.2000</w:t>
            </w:r>
          </w:p>
          <w:p w14:paraId="2BC7F1A1"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11.02.2002</w:t>
            </w:r>
          </w:p>
          <w:p w14:paraId="308D6B28"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31.12.2003</w:t>
            </w:r>
          </w:p>
          <w:p w14:paraId="3C54A3D1"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10.02.2006</w:t>
            </w:r>
          </w:p>
          <w:p w14:paraId="161D4AF1"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17.07.2009</w:t>
            </w:r>
          </w:p>
          <w:p w14:paraId="7CD0B3FF"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24.03.2011</w:t>
            </w:r>
          </w:p>
          <w:p w14:paraId="6D964388"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15.06.2012</w:t>
            </w:r>
          </w:p>
          <w:p w14:paraId="38A9A906"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01.12.2017</w:t>
            </w:r>
          </w:p>
          <w:p w14:paraId="5FC62551" w14:textId="77777777" w:rsidR="006D3FE5" w:rsidRPr="003E3D8C" w:rsidRDefault="00541CA6" w:rsidP="003E3D8C">
            <w:pPr>
              <w:suppressAutoHyphens w:val="0"/>
              <w:autoSpaceDN/>
              <w:spacing w:after="0" w:line="360" w:lineRule="auto"/>
              <w:ind w:right="567"/>
              <w:jc w:val="right"/>
              <w:textAlignment w:val="auto"/>
              <w:rPr>
                <w:rFonts w:ascii="Arial" w:eastAsia="Times New Roman" w:hAnsi="Arial" w:cs="Arial"/>
                <w:bCs/>
                <w:sz w:val="24"/>
                <w:szCs w:val="24"/>
              </w:rPr>
            </w:pPr>
            <w:r w:rsidRPr="003E3D8C">
              <w:rPr>
                <w:rFonts w:ascii="Arial" w:eastAsia="Times New Roman" w:hAnsi="Arial" w:cs="Arial"/>
                <w:bCs/>
                <w:sz w:val="24"/>
                <w:szCs w:val="24"/>
              </w:rPr>
              <w:t>15.03.2019</w:t>
            </w:r>
          </w:p>
          <w:p w14:paraId="4F9281F8" w14:textId="77777777" w:rsidR="006D3FE5" w:rsidRDefault="00541CA6" w:rsidP="003E3D8C">
            <w:pPr>
              <w:suppressAutoHyphens w:val="0"/>
              <w:autoSpaceDN/>
              <w:spacing w:after="0" w:line="360" w:lineRule="auto"/>
              <w:ind w:right="510"/>
              <w:jc w:val="right"/>
              <w:textAlignment w:val="auto"/>
            </w:pPr>
            <w:r w:rsidRPr="003E3D8C">
              <w:rPr>
                <w:rFonts w:ascii="Arial" w:eastAsia="Times New Roman" w:hAnsi="Arial" w:cs="Arial"/>
                <w:bCs/>
                <w:sz w:val="24"/>
                <w:szCs w:val="24"/>
              </w:rPr>
              <w:t>23</w:t>
            </w:r>
            <w:r>
              <w:rPr>
                <w:rFonts w:ascii="Arial" w:hAnsi="Arial" w:cs="Arial"/>
                <w:sz w:val="24"/>
                <w:szCs w:val="24"/>
                <w:lang w:val="el-GR"/>
              </w:rPr>
              <w:t>.12.2020</w:t>
            </w:r>
            <w:r>
              <w:rPr>
                <w:rFonts w:ascii="Arial" w:hAnsi="Arial" w:cs="Arial"/>
                <w:sz w:val="24"/>
                <w:szCs w:val="24"/>
              </w:rPr>
              <w:t>.</w:t>
            </w:r>
          </w:p>
        </w:tc>
        <w:tc>
          <w:tcPr>
            <w:tcW w:w="7371" w:type="dxa"/>
            <w:gridSpan w:val="2"/>
            <w:shd w:val="clear" w:color="auto" w:fill="auto"/>
            <w:tcMar>
              <w:top w:w="0" w:type="dxa"/>
              <w:left w:w="108" w:type="dxa"/>
              <w:bottom w:w="0" w:type="dxa"/>
              <w:right w:w="108" w:type="dxa"/>
            </w:tcMar>
          </w:tcPr>
          <w:p w14:paraId="4290F65D" w14:textId="7D4EBBA0" w:rsidR="006D3FE5" w:rsidRPr="00166B94" w:rsidRDefault="00541CA6" w:rsidP="007A59EB">
            <w:pPr>
              <w:tabs>
                <w:tab w:val="left" w:pos="284"/>
                <w:tab w:val="left" w:pos="567"/>
                <w:tab w:val="left" w:pos="851"/>
              </w:tabs>
              <w:spacing w:after="0" w:line="360" w:lineRule="auto"/>
              <w:jc w:val="both"/>
              <w:rPr>
                <w:lang w:val="el-GR"/>
              </w:rPr>
            </w:pPr>
            <w:r>
              <w:rPr>
                <w:rFonts w:ascii="Arial" w:hAnsi="Arial" w:cs="Arial"/>
                <w:sz w:val="24"/>
                <w:szCs w:val="24"/>
                <w:lang w:val="el-GR"/>
              </w:rPr>
              <w:t>1.</w:t>
            </w:r>
            <w:r w:rsidR="007A59EB">
              <w:rPr>
                <w:rFonts w:ascii="Arial" w:hAnsi="Arial" w:cs="Arial"/>
                <w:sz w:val="24"/>
                <w:szCs w:val="24"/>
                <w:lang w:val="el-GR"/>
              </w:rPr>
              <w:tab/>
            </w:r>
            <w:r w:rsidR="007A59EB">
              <w:rPr>
                <w:rFonts w:ascii="Arial" w:hAnsi="Arial" w:cs="Arial"/>
                <w:sz w:val="24"/>
                <w:szCs w:val="24"/>
                <w:lang w:val="el-GR"/>
              </w:rPr>
              <w:tab/>
            </w:r>
            <w:r>
              <w:rPr>
                <w:rFonts w:ascii="Arial" w:hAnsi="Arial" w:cs="Arial"/>
                <w:sz w:val="24"/>
                <w:szCs w:val="24"/>
                <w:lang w:val="el-GR"/>
              </w:rPr>
              <w:t>Οι παρόντες Κανονισμοί θα αναφέρονται ως οι περί Δημόσιας Υπηρεσίας (Γενικοί) (Τροποποιητικοί) Κανονισμοί του 2022 και θα διαβάζονται μαζί με τους περί Δημόσιας Υπηρεσίας (Γενικούς) Κανονισμούς του 1991 έως 2020 (που στο εξής θα αναφέρονται ως «οι βασικοί κανονισμοί») και οι βασικοί κανονισμοί και οι παρόντες Κανονισμοί θα αναφέρονται μαζί ως οι περί Δημόσιας Υπηρεσίας (Γενικοί) Κανονισμοί του 1991 έως 2022.</w:t>
            </w:r>
          </w:p>
        </w:tc>
      </w:tr>
      <w:tr w:rsidR="006D3FE5" w:rsidRPr="00D1209A" w14:paraId="282CB65A" w14:textId="77777777">
        <w:trPr>
          <w:trHeight w:val="435"/>
        </w:trPr>
        <w:tc>
          <w:tcPr>
            <w:tcW w:w="2161" w:type="dxa"/>
            <w:shd w:val="clear" w:color="auto" w:fill="auto"/>
            <w:tcMar>
              <w:top w:w="0" w:type="dxa"/>
              <w:left w:w="108" w:type="dxa"/>
              <w:bottom w:w="0" w:type="dxa"/>
              <w:right w:w="108" w:type="dxa"/>
            </w:tcMar>
          </w:tcPr>
          <w:p w14:paraId="3FA0E842" w14:textId="77777777" w:rsidR="006D3FE5" w:rsidRDefault="006D3FE5">
            <w:pPr>
              <w:spacing w:after="0" w:line="360" w:lineRule="auto"/>
              <w:rPr>
                <w:rFonts w:ascii="Arial" w:hAnsi="Arial" w:cs="Arial"/>
                <w:sz w:val="24"/>
                <w:szCs w:val="24"/>
                <w:lang w:val="el-GR"/>
              </w:rPr>
            </w:pPr>
          </w:p>
        </w:tc>
        <w:tc>
          <w:tcPr>
            <w:tcW w:w="7371" w:type="dxa"/>
            <w:gridSpan w:val="2"/>
            <w:shd w:val="clear" w:color="auto" w:fill="auto"/>
            <w:tcMar>
              <w:top w:w="0" w:type="dxa"/>
              <w:left w:w="108" w:type="dxa"/>
              <w:bottom w:w="0" w:type="dxa"/>
              <w:right w:w="108" w:type="dxa"/>
            </w:tcMar>
          </w:tcPr>
          <w:p w14:paraId="1AFAF243" w14:textId="77777777" w:rsidR="006D3FE5" w:rsidRDefault="006D3FE5">
            <w:pPr>
              <w:spacing w:after="0" w:line="360" w:lineRule="auto"/>
              <w:jc w:val="both"/>
              <w:rPr>
                <w:rFonts w:ascii="Arial" w:hAnsi="Arial" w:cs="Arial"/>
                <w:sz w:val="24"/>
                <w:szCs w:val="24"/>
                <w:lang w:val="el-GR"/>
              </w:rPr>
            </w:pPr>
          </w:p>
        </w:tc>
      </w:tr>
      <w:tr w:rsidR="006D3FE5" w:rsidRPr="00D1209A" w14:paraId="61D7D99E" w14:textId="77777777">
        <w:tc>
          <w:tcPr>
            <w:tcW w:w="2161" w:type="dxa"/>
            <w:shd w:val="clear" w:color="auto" w:fill="auto"/>
            <w:tcMar>
              <w:top w:w="0" w:type="dxa"/>
              <w:left w:w="108" w:type="dxa"/>
              <w:bottom w:w="0" w:type="dxa"/>
              <w:right w:w="108" w:type="dxa"/>
            </w:tcMar>
          </w:tcPr>
          <w:p w14:paraId="565C7582" w14:textId="77777777" w:rsidR="006D3FE5" w:rsidRDefault="00541CA6" w:rsidP="007A59EB">
            <w:pPr>
              <w:spacing w:after="0" w:line="360" w:lineRule="auto"/>
              <w:rPr>
                <w:rFonts w:ascii="Arial" w:hAnsi="Arial" w:cs="Arial"/>
                <w:sz w:val="24"/>
                <w:szCs w:val="24"/>
                <w:lang w:val="el-GR"/>
              </w:rPr>
            </w:pPr>
            <w:r>
              <w:rPr>
                <w:rFonts w:ascii="Arial" w:hAnsi="Arial" w:cs="Arial"/>
                <w:sz w:val="24"/>
                <w:szCs w:val="24"/>
                <w:lang w:val="el-GR"/>
              </w:rPr>
              <w:t xml:space="preserve">Τροποποίηση </w:t>
            </w:r>
          </w:p>
          <w:p w14:paraId="3414DBC3" w14:textId="77777777" w:rsidR="006D3FE5" w:rsidRDefault="00541CA6" w:rsidP="007A59EB">
            <w:pPr>
              <w:spacing w:after="0" w:line="360" w:lineRule="auto"/>
              <w:rPr>
                <w:rFonts w:ascii="Arial" w:hAnsi="Arial" w:cs="Arial"/>
                <w:sz w:val="24"/>
                <w:szCs w:val="24"/>
                <w:lang w:val="el-GR"/>
              </w:rPr>
            </w:pPr>
            <w:r>
              <w:rPr>
                <w:rFonts w:ascii="Arial" w:hAnsi="Arial" w:cs="Arial"/>
                <w:sz w:val="24"/>
                <w:szCs w:val="24"/>
                <w:lang w:val="el-GR"/>
              </w:rPr>
              <w:t>του Πρώτου</w:t>
            </w:r>
          </w:p>
          <w:p w14:paraId="1F3F9205" w14:textId="77777777" w:rsidR="006D3FE5" w:rsidRDefault="00541CA6" w:rsidP="007A59EB">
            <w:pPr>
              <w:spacing w:after="0" w:line="360" w:lineRule="auto"/>
              <w:rPr>
                <w:rFonts w:ascii="Arial" w:hAnsi="Arial" w:cs="Arial"/>
                <w:sz w:val="24"/>
                <w:szCs w:val="24"/>
                <w:lang w:val="el-GR"/>
              </w:rPr>
            </w:pPr>
            <w:r>
              <w:rPr>
                <w:rFonts w:ascii="Arial" w:hAnsi="Arial" w:cs="Arial"/>
                <w:sz w:val="24"/>
                <w:szCs w:val="24"/>
                <w:lang w:val="el-GR"/>
              </w:rPr>
              <w:t xml:space="preserve">Πίνακα </w:t>
            </w:r>
          </w:p>
          <w:p w14:paraId="64D19CE9" w14:textId="77777777" w:rsidR="006D3FE5" w:rsidRPr="00166B94" w:rsidRDefault="00541CA6" w:rsidP="007A59EB">
            <w:pPr>
              <w:spacing w:after="0" w:line="360" w:lineRule="auto"/>
              <w:rPr>
                <w:lang w:val="el-GR"/>
              </w:rPr>
            </w:pPr>
            <w:r>
              <w:rPr>
                <w:rFonts w:ascii="Arial" w:hAnsi="Arial" w:cs="Arial"/>
                <w:sz w:val="24"/>
                <w:szCs w:val="24"/>
                <w:lang w:val="el-GR"/>
              </w:rPr>
              <w:lastRenderedPageBreak/>
              <w:t>των βασικών κανονισμών.</w:t>
            </w:r>
          </w:p>
        </w:tc>
        <w:tc>
          <w:tcPr>
            <w:tcW w:w="7371" w:type="dxa"/>
            <w:gridSpan w:val="2"/>
            <w:shd w:val="clear" w:color="auto" w:fill="auto"/>
            <w:tcMar>
              <w:top w:w="0" w:type="dxa"/>
              <w:left w:w="108" w:type="dxa"/>
              <w:bottom w:w="0" w:type="dxa"/>
              <w:right w:w="108" w:type="dxa"/>
            </w:tcMar>
          </w:tcPr>
          <w:p w14:paraId="587D8157" w14:textId="22F9FA22" w:rsidR="006D3FE5" w:rsidRPr="007A59EB" w:rsidRDefault="00541CA6" w:rsidP="005B3B8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lastRenderedPageBreak/>
              <w:t>2.</w:t>
            </w:r>
            <w:r w:rsidR="007A59EB">
              <w:rPr>
                <w:rFonts w:ascii="Arial" w:hAnsi="Arial" w:cs="Arial"/>
                <w:sz w:val="24"/>
                <w:szCs w:val="24"/>
                <w:lang w:val="el-GR"/>
              </w:rPr>
              <w:tab/>
            </w:r>
            <w:r w:rsidR="007A59EB">
              <w:rPr>
                <w:rFonts w:ascii="Arial" w:hAnsi="Arial" w:cs="Arial"/>
                <w:sz w:val="24"/>
                <w:szCs w:val="24"/>
                <w:lang w:val="el-GR"/>
              </w:rPr>
              <w:tab/>
            </w:r>
            <w:r w:rsidRPr="007A59EB">
              <w:rPr>
                <w:rFonts w:ascii="Arial" w:hAnsi="Arial" w:cs="Arial"/>
                <w:sz w:val="24"/>
                <w:szCs w:val="24"/>
                <w:lang w:val="el-GR"/>
              </w:rPr>
              <w:t>O</w:t>
            </w:r>
            <w:r>
              <w:rPr>
                <w:rFonts w:ascii="Arial" w:hAnsi="Arial" w:cs="Arial"/>
                <w:sz w:val="24"/>
                <w:szCs w:val="24"/>
                <w:lang w:val="el-GR"/>
              </w:rPr>
              <w:t xml:space="preserve"> Πρώτος Πίνακας των βασικών κανονισμών τροποποιείται ως ακολούθως:</w:t>
            </w:r>
          </w:p>
        </w:tc>
      </w:tr>
      <w:tr w:rsidR="006D3FE5" w:rsidRPr="00D1209A" w14:paraId="7A40F5BF" w14:textId="77777777" w:rsidTr="009E53F0">
        <w:trPr>
          <w:trHeight w:val="450"/>
        </w:trPr>
        <w:tc>
          <w:tcPr>
            <w:tcW w:w="2161" w:type="dxa"/>
            <w:shd w:val="clear" w:color="auto" w:fill="auto"/>
            <w:tcMar>
              <w:top w:w="0" w:type="dxa"/>
              <w:left w:w="108" w:type="dxa"/>
              <w:bottom w:w="0" w:type="dxa"/>
              <w:right w:w="108" w:type="dxa"/>
            </w:tcMar>
          </w:tcPr>
          <w:p w14:paraId="30C47BA2" w14:textId="77777777" w:rsidR="006D3FE5" w:rsidRDefault="006D3FE5" w:rsidP="009E53F0">
            <w:pPr>
              <w:spacing w:after="0" w:line="360" w:lineRule="auto"/>
              <w:rPr>
                <w:rFonts w:ascii="Arial" w:hAnsi="Arial" w:cs="Arial"/>
                <w:sz w:val="24"/>
                <w:szCs w:val="24"/>
                <w:lang w:val="el-GR"/>
              </w:rPr>
            </w:pPr>
          </w:p>
        </w:tc>
        <w:tc>
          <w:tcPr>
            <w:tcW w:w="7371" w:type="dxa"/>
            <w:gridSpan w:val="2"/>
            <w:shd w:val="clear" w:color="auto" w:fill="auto"/>
            <w:tcMar>
              <w:top w:w="0" w:type="dxa"/>
              <w:left w:w="108" w:type="dxa"/>
              <w:bottom w:w="0" w:type="dxa"/>
              <w:right w:w="108" w:type="dxa"/>
            </w:tcMar>
          </w:tcPr>
          <w:p w14:paraId="17DC51F6" w14:textId="77777777" w:rsidR="006D3FE5" w:rsidRDefault="006D3FE5" w:rsidP="009E53F0">
            <w:pPr>
              <w:spacing w:after="0" w:line="360" w:lineRule="auto"/>
              <w:ind w:left="459" w:hanging="459"/>
              <w:jc w:val="both"/>
              <w:rPr>
                <w:rFonts w:ascii="Arial" w:hAnsi="Arial" w:cs="Arial"/>
                <w:sz w:val="24"/>
                <w:szCs w:val="24"/>
                <w:lang w:val="el-GR"/>
              </w:rPr>
            </w:pPr>
          </w:p>
        </w:tc>
      </w:tr>
      <w:tr w:rsidR="006D3FE5" w:rsidRPr="00D1209A" w14:paraId="0D376BFA" w14:textId="77777777" w:rsidTr="005B3B8E">
        <w:tc>
          <w:tcPr>
            <w:tcW w:w="2161" w:type="dxa"/>
            <w:shd w:val="clear" w:color="auto" w:fill="auto"/>
            <w:tcMar>
              <w:top w:w="0" w:type="dxa"/>
              <w:left w:w="108" w:type="dxa"/>
              <w:bottom w:w="0" w:type="dxa"/>
              <w:right w:w="108" w:type="dxa"/>
            </w:tcMar>
          </w:tcPr>
          <w:p w14:paraId="2920A71C" w14:textId="77777777" w:rsidR="006D3FE5" w:rsidRDefault="006D3FE5">
            <w:pPr>
              <w:spacing w:after="0" w:line="360" w:lineRule="auto"/>
              <w:rPr>
                <w:rFonts w:ascii="Arial" w:hAnsi="Arial" w:cs="Arial"/>
                <w:sz w:val="24"/>
                <w:szCs w:val="24"/>
                <w:lang w:val="el-GR"/>
              </w:rPr>
            </w:pPr>
          </w:p>
        </w:tc>
        <w:tc>
          <w:tcPr>
            <w:tcW w:w="1134" w:type="dxa"/>
            <w:shd w:val="clear" w:color="auto" w:fill="auto"/>
            <w:tcMar>
              <w:top w:w="0" w:type="dxa"/>
              <w:left w:w="108" w:type="dxa"/>
              <w:bottom w:w="0" w:type="dxa"/>
              <w:right w:w="108" w:type="dxa"/>
            </w:tcMar>
          </w:tcPr>
          <w:p w14:paraId="64B7A76D" w14:textId="77777777" w:rsidR="006D3FE5" w:rsidRDefault="00541CA6">
            <w:pPr>
              <w:spacing w:after="0" w:line="360" w:lineRule="auto"/>
              <w:ind w:left="459" w:hanging="459"/>
              <w:jc w:val="right"/>
            </w:pPr>
            <w:r>
              <w:rPr>
                <w:rFonts w:ascii="Arial" w:hAnsi="Arial" w:cs="Arial"/>
                <w:sz w:val="24"/>
                <w:szCs w:val="24"/>
                <w:lang w:val="el-GR"/>
              </w:rPr>
              <w:t>(α)</w:t>
            </w:r>
          </w:p>
        </w:tc>
        <w:tc>
          <w:tcPr>
            <w:tcW w:w="6237" w:type="dxa"/>
            <w:shd w:val="clear" w:color="auto" w:fill="auto"/>
            <w:tcMar>
              <w:top w:w="0" w:type="dxa"/>
              <w:left w:w="10" w:type="dxa"/>
              <w:bottom w:w="0" w:type="dxa"/>
              <w:right w:w="10" w:type="dxa"/>
            </w:tcMar>
          </w:tcPr>
          <w:p w14:paraId="749EDAA9" w14:textId="11C5E425" w:rsidR="006D3FE5" w:rsidRDefault="00541CA6">
            <w:pPr>
              <w:spacing w:after="0" w:line="360" w:lineRule="auto"/>
              <w:ind w:left="127" w:right="241"/>
              <w:jc w:val="both"/>
              <w:rPr>
                <w:rFonts w:ascii="Arial" w:hAnsi="Arial" w:cs="Arial"/>
                <w:sz w:val="24"/>
                <w:szCs w:val="24"/>
                <w:lang w:val="el-GR"/>
              </w:rPr>
            </w:pPr>
            <w:r>
              <w:rPr>
                <w:rFonts w:ascii="Arial" w:hAnsi="Arial" w:cs="Arial"/>
                <w:sz w:val="24"/>
                <w:szCs w:val="24"/>
                <w:lang w:val="el-GR"/>
              </w:rPr>
              <w:t xml:space="preserve">Με την προσθήκη κάτω </w:t>
            </w:r>
            <w:r w:rsidR="00392361">
              <w:rPr>
                <w:rFonts w:ascii="Arial" w:hAnsi="Arial" w:cs="Arial"/>
                <w:sz w:val="24"/>
                <w:szCs w:val="24"/>
                <w:lang w:val="el-GR"/>
              </w:rPr>
              <w:t xml:space="preserve">από τη </w:t>
            </w:r>
            <w:r w:rsidR="00D1209A">
              <w:rPr>
                <w:rFonts w:ascii="Arial" w:hAnsi="Arial" w:cs="Arial"/>
                <w:sz w:val="24"/>
                <w:szCs w:val="24"/>
                <w:lang w:val="el-GR"/>
              </w:rPr>
              <w:t>στήλη του</w:t>
            </w:r>
            <w:r w:rsidR="00392361">
              <w:rPr>
                <w:rFonts w:ascii="Arial" w:hAnsi="Arial" w:cs="Arial"/>
                <w:sz w:val="24"/>
                <w:szCs w:val="24"/>
                <w:lang w:val="el-GR"/>
              </w:rPr>
              <w:t xml:space="preserve"> </w:t>
            </w:r>
            <w:r>
              <w:rPr>
                <w:rFonts w:ascii="Arial" w:hAnsi="Arial" w:cs="Arial"/>
                <w:sz w:val="24"/>
                <w:szCs w:val="24"/>
                <w:lang w:val="el-GR"/>
              </w:rPr>
              <w:t>Υπουργείο</w:t>
            </w:r>
            <w:r w:rsidR="00D1209A">
              <w:rPr>
                <w:rFonts w:ascii="Arial" w:hAnsi="Arial" w:cs="Arial"/>
                <w:sz w:val="24"/>
                <w:szCs w:val="24"/>
                <w:lang w:val="el-GR"/>
              </w:rPr>
              <w:t>υ</w:t>
            </w:r>
            <w:r>
              <w:rPr>
                <w:rFonts w:ascii="Arial" w:hAnsi="Arial" w:cs="Arial"/>
                <w:sz w:val="24"/>
                <w:szCs w:val="24"/>
                <w:lang w:val="el-GR"/>
              </w:rPr>
              <w:t xml:space="preserve"> Δικαιοσύνης και Δημόσιας Τάξεως</w:t>
            </w:r>
            <w:r w:rsidR="00D1209A">
              <w:rPr>
                <w:rFonts w:ascii="Arial" w:hAnsi="Arial" w:cs="Arial"/>
                <w:sz w:val="24"/>
                <w:szCs w:val="24"/>
                <w:lang w:val="el-GR"/>
              </w:rPr>
              <w:t xml:space="preserve"> αμέσως</w:t>
            </w:r>
            <w:r>
              <w:rPr>
                <w:rFonts w:ascii="Arial" w:hAnsi="Arial" w:cs="Arial"/>
                <w:sz w:val="24"/>
                <w:szCs w:val="24"/>
                <w:lang w:val="el-GR"/>
              </w:rPr>
              <w:t xml:space="preserve"> κάτω από τη λέξη «Φυλακές»</w:t>
            </w:r>
            <w:r w:rsidR="00D1209A">
              <w:rPr>
                <w:rFonts w:ascii="Arial" w:hAnsi="Arial" w:cs="Arial"/>
                <w:sz w:val="24"/>
                <w:szCs w:val="24"/>
                <w:lang w:val="el-GR"/>
              </w:rPr>
              <w:t xml:space="preserve"> (πρώτη γραμμή)</w:t>
            </w:r>
            <w:r>
              <w:rPr>
                <w:rFonts w:ascii="Arial" w:hAnsi="Arial" w:cs="Arial"/>
                <w:sz w:val="24"/>
                <w:szCs w:val="24"/>
                <w:lang w:val="el-GR"/>
              </w:rPr>
              <w:t>, των λέξεων «Κρατικό Αρχείο»</w:t>
            </w:r>
            <w:r w:rsidR="008942FC">
              <w:rPr>
                <w:rFonts w:ascii="Arial" w:hAnsi="Arial" w:cs="Arial"/>
                <w:sz w:val="24"/>
                <w:szCs w:val="24"/>
                <w:lang w:val="el-GR"/>
              </w:rPr>
              <w:t>·</w:t>
            </w:r>
            <w:r>
              <w:rPr>
                <w:rFonts w:ascii="Arial" w:hAnsi="Arial" w:cs="Arial"/>
                <w:sz w:val="24"/>
                <w:szCs w:val="24"/>
                <w:lang w:val="el-GR"/>
              </w:rPr>
              <w:t xml:space="preserve"> και </w:t>
            </w:r>
          </w:p>
        </w:tc>
      </w:tr>
      <w:tr w:rsidR="005B3B8E" w:rsidRPr="00D1209A" w14:paraId="4175879D" w14:textId="77777777" w:rsidTr="0002230A">
        <w:trPr>
          <w:trHeight w:val="416"/>
        </w:trPr>
        <w:tc>
          <w:tcPr>
            <w:tcW w:w="2161" w:type="dxa"/>
            <w:shd w:val="clear" w:color="auto" w:fill="auto"/>
            <w:tcMar>
              <w:top w:w="0" w:type="dxa"/>
              <w:left w:w="108" w:type="dxa"/>
              <w:bottom w:w="0" w:type="dxa"/>
              <w:right w:w="108" w:type="dxa"/>
            </w:tcMar>
          </w:tcPr>
          <w:p w14:paraId="2235FC8F" w14:textId="77777777" w:rsidR="005B3B8E" w:rsidRDefault="005B3B8E" w:rsidP="009E53F0">
            <w:pPr>
              <w:spacing w:after="0" w:line="360" w:lineRule="auto"/>
              <w:rPr>
                <w:rFonts w:ascii="Arial" w:hAnsi="Arial" w:cs="Arial"/>
                <w:sz w:val="24"/>
                <w:szCs w:val="24"/>
                <w:lang w:val="el-GR"/>
              </w:rPr>
            </w:pPr>
          </w:p>
        </w:tc>
        <w:tc>
          <w:tcPr>
            <w:tcW w:w="7371" w:type="dxa"/>
            <w:gridSpan w:val="2"/>
            <w:shd w:val="clear" w:color="auto" w:fill="auto"/>
            <w:tcMar>
              <w:top w:w="0" w:type="dxa"/>
              <w:left w:w="108" w:type="dxa"/>
              <w:bottom w:w="0" w:type="dxa"/>
              <w:right w:w="108" w:type="dxa"/>
            </w:tcMar>
          </w:tcPr>
          <w:p w14:paraId="4810A422" w14:textId="77777777" w:rsidR="005B3B8E" w:rsidRDefault="005B3B8E" w:rsidP="009E53F0">
            <w:pPr>
              <w:spacing w:after="0" w:line="360" w:lineRule="auto"/>
              <w:ind w:left="459" w:hanging="459"/>
              <w:jc w:val="both"/>
              <w:rPr>
                <w:rFonts w:ascii="Arial" w:hAnsi="Arial" w:cs="Arial"/>
                <w:sz w:val="24"/>
                <w:szCs w:val="24"/>
                <w:lang w:val="el-GR"/>
              </w:rPr>
            </w:pPr>
          </w:p>
        </w:tc>
      </w:tr>
      <w:tr w:rsidR="006D3FE5" w:rsidRPr="00D1209A" w14:paraId="4ED48FB6" w14:textId="77777777" w:rsidTr="005B3B8E">
        <w:tc>
          <w:tcPr>
            <w:tcW w:w="2161" w:type="dxa"/>
            <w:shd w:val="clear" w:color="auto" w:fill="auto"/>
            <w:tcMar>
              <w:top w:w="0" w:type="dxa"/>
              <w:left w:w="108" w:type="dxa"/>
              <w:bottom w:w="0" w:type="dxa"/>
              <w:right w:w="108" w:type="dxa"/>
            </w:tcMar>
          </w:tcPr>
          <w:p w14:paraId="54E07504" w14:textId="77777777" w:rsidR="006D3FE5" w:rsidRDefault="006D3FE5">
            <w:pPr>
              <w:spacing w:after="0" w:line="360" w:lineRule="auto"/>
              <w:rPr>
                <w:rFonts w:ascii="Arial" w:hAnsi="Arial" w:cs="Arial"/>
                <w:sz w:val="24"/>
                <w:szCs w:val="24"/>
                <w:lang w:val="el-GR"/>
              </w:rPr>
            </w:pPr>
          </w:p>
        </w:tc>
        <w:tc>
          <w:tcPr>
            <w:tcW w:w="1134" w:type="dxa"/>
            <w:shd w:val="clear" w:color="auto" w:fill="auto"/>
            <w:tcMar>
              <w:top w:w="0" w:type="dxa"/>
              <w:left w:w="108" w:type="dxa"/>
              <w:bottom w:w="0" w:type="dxa"/>
              <w:right w:w="108" w:type="dxa"/>
            </w:tcMar>
          </w:tcPr>
          <w:p w14:paraId="41F5F245" w14:textId="46532648" w:rsidR="006D3FE5" w:rsidRDefault="00541CA6">
            <w:pPr>
              <w:spacing w:after="0" w:line="360" w:lineRule="auto"/>
              <w:ind w:left="459" w:hanging="459"/>
              <w:jc w:val="right"/>
              <w:rPr>
                <w:rFonts w:ascii="Arial" w:hAnsi="Arial" w:cs="Arial"/>
                <w:sz w:val="24"/>
                <w:szCs w:val="24"/>
                <w:lang w:val="el-GR"/>
              </w:rPr>
            </w:pPr>
            <w:r>
              <w:rPr>
                <w:rFonts w:ascii="Arial" w:hAnsi="Arial" w:cs="Arial"/>
                <w:sz w:val="24"/>
                <w:szCs w:val="24"/>
                <w:lang w:val="el-GR"/>
              </w:rPr>
              <w:t>(β)</w:t>
            </w:r>
          </w:p>
        </w:tc>
        <w:tc>
          <w:tcPr>
            <w:tcW w:w="6237" w:type="dxa"/>
            <w:shd w:val="clear" w:color="auto" w:fill="auto"/>
            <w:tcMar>
              <w:top w:w="0" w:type="dxa"/>
              <w:left w:w="10" w:type="dxa"/>
              <w:bottom w:w="0" w:type="dxa"/>
              <w:right w:w="10" w:type="dxa"/>
            </w:tcMar>
          </w:tcPr>
          <w:p w14:paraId="135C166A" w14:textId="58C7055E" w:rsidR="006D3FE5" w:rsidRDefault="00541CA6">
            <w:pPr>
              <w:spacing w:after="0" w:line="360" w:lineRule="auto"/>
              <w:ind w:left="127" w:right="241"/>
              <w:jc w:val="both"/>
              <w:rPr>
                <w:rFonts w:ascii="Arial" w:hAnsi="Arial" w:cs="Arial"/>
                <w:sz w:val="24"/>
                <w:szCs w:val="24"/>
                <w:lang w:val="el-GR"/>
              </w:rPr>
            </w:pPr>
            <w:r>
              <w:rPr>
                <w:rFonts w:ascii="Arial" w:hAnsi="Arial" w:cs="Arial"/>
                <w:sz w:val="24"/>
                <w:szCs w:val="24"/>
                <w:lang w:val="el-GR"/>
              </w:rPr>
              <w:t xml:space="preserve">με την αντικατάσταση </w:t>
            </w:r>
            <w:r w:rsidR="00392361">
              <w:rPr>
                <w:rFonts w:ascii="Arial" w:hAnsi="Arial" w:cs="Arial"/>
                <w:sz w:val="24"/>
                <w:szCs w:val="24"/>
                <w:lang w:val="el-GR"/>
              </w:rPr>
              <w:t xml:space="preserve">της </w:t>
            </w:r>
            <w:r w:rsidR="009557A1">
              <w:rPr>
                <w:rFonts w:ascii="Arial" w:hAnsi="Arial" w:cs="Arial"/>
                <w:sz w:val="24"/>
                <w:szCs w:val="24"/>
                <w:lang w:val="el-GR"/>
              </w:rPr>
              <w:t>φράσης</w:t>
            </w:r>
            <w:r>
              <w:rPr>
                <w:rFonts w:ascii="Arial" w:hAnsi="Arial" w:cs="Arial"/>
                <w:sz w:val="24"/>
                <w:szCs w:val="24"/>
                <w:lang w:val="el-GR"/>
              </w:rPr>
              <w:t xml:space="preserve"> «Υπουργείο Ενέργειας, Εμπορίου, Βιομηχανίας και Τουρισμού» με </w:t>
            </w:r>
            <w:r w:rsidR="00392361">
              <w:rPr>
                <w:rFonts w:ascii="Arial" w:hAnsi="Arial" w:cs="Arial"/>
                <w:sz w:val="24"/>
                <w:szCs w:val="24"/>
                <w:lang w:val="el-GR"/>
              </w:rPr>
              <w:t>τη φράση</w:t>
            </w:r>
            <w:r>
              <w:rPr>
                <w:rFonts w:ascii="Arial" w:hAnsi="Arial" w:cs="Arial"/>
                <w:sz w:val="24"/>
                <w:szCs w:val="24"/>
                <w:lang w:val="el-GR"/>
              </w:rPr>
              <w:t xml:space="preserve"> «Υπουργείο Ενέργειας, Εμπορίου και Βιομηχανίας».</w:t>
            </w:r>
          </w:p>
        </w:tc>
      </w:tr>
      <w:tr w:rsidR="003C2FE6" w:rsidRPr="00D1209A" w14:paraId="271B8F7A" w14:textId="77777777" w:rsidTr="009C0219">
        <w:trPr>
          <w:trHeight w:val="312"/>
        </w:trPr>
        <w:tc>
          <w:tcPr>
            <w:tcW w:w="2161" w:type="dxa"/>
            <w:shd w:val="clear" w:color="auto" w:fill="auto"/>
            <w:tcMar>
              <w:top w:w="0" w:type="dxa"/>
              <w:left w:w="108" w:type="dxa"/>
              <w:bottom w:w="0" w:type="dxa"/>
              <w:right w:w="108" w:type="dxa"/>
            </w:tcMar>
          </w:tcPr>
          <w:p w14:paraId="4B9A2397" w14:textId="77777777" w:rsidR="003C2FE6" w:rsidRDefault="003C2FE6">
            <w:pPr>
              <w:spacing w:after="0" w:line="360" w:lineRule="auto"/>
              <w:rPr>
                <w:rFonts w:ascii="Arial" w:hAnsi="Arial" w:cs="Arial"/>
                <w:sz w:val="24"/>
                <w:szCs w:val="24"/>
                <w:lang w:val="el-GR"/>
              </w:rPr>
            </w:pPr>
          </w:p>
        </w:tc>
        <w:tc>
          <w:tcPr>
            <w:tcW w:w="7371" w:type="dxa"/>
            <w:gridSpan w:val="2"/>
            <w:shd w:val="clear" w:color="auto" w:fill="auto"/>
            <w:tcMar>
              <w:top w:w="0" w:type="dxa"/>
              <w:left w:w="108" w:type="dxa"/>
              <w:bottom w:w="0" w:type="dxa"/>
              <w:right w:w="108" w:type="dxa"/>
            </w:tcMar>
          </w:tcPr>
          <w:p w14:paraId="00A723F8" w14:textId="77777777" w:rsidR="003C2FE6" w:rsidRDefault="003C2FE6">
            <w:pPr>
              <w:spacing w:after="0" w:line="360" w:lineRule="auto"/>
              <w:ind w:left="459" w:hanging="459"/>
              <w:jc w:val="both"/>
              <w:rPr>
                <w:rFonts w:ascii="Arial" w:hAnsi="Arial" w:cs="Arial"/>
                <w:sz w:val="24"/>
                <w:szCs w:val="24"/>
                <w:lang w:val="el-GR"/>
              </w:rPr>
            </w:pPr>
          </w:p>
        </w:tc>
      </w:tr>
      <w:tr w:rsidR="006D3FE5" w:rsidRPr="00D1209A" w14:paraId="0E6010F5" w14:textId="77777777">
        <w:tc>
          <w:tcPr>
            <w:tcW w:w="2161" w:type="dxa"/>
            <w:shd w:val="clear" w:color="auto" w:fill="auto"/>
            <w:tcMar>
              <w:top w:w="0" w:type="dxa"/>
              <w:left w:w="108" w:type="dxa"/>
              <w:bottom w:w="0" w:type="dxa"/>
              <w:right w:w="108" w:type="dxa"/>
            </w:tcMar>
          </w:tcPr>
          <w:p w14:paraId="675BFF81" w14:textId="77777777" w:rsidR="006D3FE5" w:rsidRPr="00166B94" w:rsidRDefault="00541CA6">
            <w:pPr>
              <w:spacing w:after="0" w:line="360" w:lineRule="auto"/>
              <w:rPr>
                <w:lang w:val="el-GR"/>
              </w:rPr>
            </w:pPr>
            <w:r>
              <w:rPr>
                <w:rFonts w:ascii="Arial" w:hAnsi="Arial" w:cs="Arial"/>
                <w:sz w:val="24"/>
                <w:szCs w:val="24"/>
                <w:lang w:val="el-GR"/>
              </w:rPr>
              <w:t>Έναρξη της ισχύος των παρόντων Κανονισμών.</w:t>
            </w:r>
          </w:p>
        </w:tc>
        <w:tc>
          <w:tcPr>
            <w:tcW w:w="7371" w:type="dxa"/>
            <w:gridSpan w:val="2"/>
            <w:shd w:val="clear" w:color="auto" w:fill="auto"/>
            <w:tcMar>
              <w:top w:w="0" w:type="dxa"/>
              <w:left w:w="108" w:type="dxa"/>
              <w:bottom w:w="0" w:type="dxa"/>
              <w:right w:w="108" w:type="dxa"/>
            </w:tcMar>
          </w:tcPr>
          <w:p w14:paraId="139320DA" w14:textId="0DC74C45" w:rsidR="006D3FE5" w:rsidRDefault="00541CA6" w:rsidP="005B3B8E">
            <w:pPr>
              <w:tabs>
                <w:tab w:val="left" w:pos="284"/>
                <w:tab w:val="left" w:pos="567"/>
                <w:tab w:val="left" w:pos="851"/>
              </w:tabs>
              <w:spacing w:after="0" w:line="360" w:lineRule="auto"/>
              <w:jc w:val="both"/>
              <w:rPr>
                <w:rFonts w:ascii="Arial" w:hAnsi="Arial" w:cs="Arial"/>
                <w:sz w:val="24"/>
                <w:szCs w:val="24"/>
                <w:lang w:val="el-GR"/>
              </w:rPr>
            </w:pPr>
            <w:r>
              <w:rPr>
                <w:rFonts w:ascii="Arial" w:hAnsi="Arial" w:cs="Arial"/>
                <w:sz w:val="24"/>
                <w:szCs w:val="24"/>
                <w:lang w:val="el-GR"/>
              </w:rPr>
              <w:t>3.</w:t>
            </w:r>
            <w:r w:rsidR="005B3B8E">
              <w:rPr>
                <w:rFonts w:ascii="Arial" w:hAnsi="Arial" w:cs="Arial"/>
                <w:sz w:val="24"/>
                <w:szCs w:val="24"/>
                <w:lang w:val="el-GR"/>
              </w:rPr>
              <w:tab/>
            </w:r>
            <w:r w:rsidR="005B3B8E">
              <w:rPr>
                <w:rFonts w:ascii="Arial" w:hAnsi="Arial" w:cs="Arial"/>
                <w:sz w:val="24"/>
                <w:szCs w:val="24"/>
                <w:lang w:val="el-GR"/>
              </w:rPr>
              <w:tab/>
            </w:r>
            <w:r w:rsidR="00392361">
              <w:rPr>
                <w:rFonts w:ascii="Arial" w:hAnsi="Arial" w:cs="Arial"/>
                <w:sz w:val="24"/>
                <w:szCs w:val="24"/>
                <w:lang w:val="el-GR"/>
              </w:rPr>
              <w:t xml:space="preserve">Η ισχύς των παρόντων Κανονισμών </w:t>
            </w:r>
            <w:r>
              <w:rPr>
                <w:rFonts w:ascii="Arial" w:hAnsi="Arial" w:cs="Arial"/>
                <w:sz w:val="24"/>
                <w:szCs w:val="24"/>
                <w:lang w:val="el-GR"/>
              </w:rPr>
              <w:t xml:space="preserve">λογίζεται ότι </w:t>
            </w:r>
            <w:r w:rsidR="00392361">
              <w:rPr>
                <w:rFonts w:ascii="Arial" w:hAnsi="Arial" w:cs="Arial"/>
                <w:sz w:val="24"/>
                <w:szCs w:val="24"/>
                <w:lang w:val="el-GR"/>
              </w:rPr>
              <w:t>άρχισε</w:t>
            </w:r>
            <w:r>
              <w:rPr>
                <w:rFonts w:ascii="Arial" w:hAnsi="Arial" w:cs="Arial"/>
                <w:sz w:val="24"/>
                <w:szCs w:val="24"/>
                <w:lang w:val="el-GR"/>
              </w:rPr>
              <w:t xml:space="preserve"> τη 2</w:t>
            </w:r>
            <w:r w:rsidRPr="00490DA3">
              <w:rPr>
                <w:rFonts w:ascii="Arial" w:hAnsi="Arial" w:cs="Arial"/>
                <w:sz w:val="24"/>
                <w:szCs w:val="24"/>
                <w:vertAlign w:val="superscript"/>
                <w:lang w:val="el-GR"/>
              </w:rPr>
              <w:t>α</w:t>
            </w:r>
            <w:r>
              <w:rPr>
                <w:rFonts w:ascii="Arial" w:hAnsi="Arial" w:cs="Arial"/>
                <w:sz w:val="24"/>
                <w:szCs w:val="24"/>
                <w:lang w:val="el-GR"/>
              </w:rPr>
              <w:t xml:space="preserve"> Ιανουαρίου 2019.</w:t>
            </w:r>
          </w:p>
        </w:tc>
      </w:tr>
    </w:tbl>
    <w:p w14:paraId="16773E9B" w14:textId="77777777" w:rsidR="006D3FE5" w:rsidRDefault="006D3FE5">
      <w:pPr>
        <w:spacing w:after="0" w:line="360" w:lineRule="auto"/>
        <w:rPr>
          <w:rFonts w:ascii="Arial" w:hAnsi="Arial" w:cs="Arial"/>
          <w:sz w:val="24"/>
          <w:szCs w:val="24"/>
          <w:lang w:val="el-GR"/>
        </w:rPr>
      </w:pPr>
    </w:p>
    <w:p w14:paraId="77A96B3D" w14:textId="77777777" w:rsidR="006D3FE5" w:rsidRDefault="006D3FE5">
      <w:pPr>
        <w:spacing w:after="0" w:line="360" w:lineRule="auto"/>
        <w:rPr>
          <w:rFonts w:ascii="Arial" w:hAnsi="Arial" w:cs="Arial"/>
          <w:sz w:val="24"/>
          <w:szCs w:val="24"/>
          <w:lang w:val="el-GR"/>
        </w:rPr>
      </w:pPr>
    </w:p>
    <w:p w14:paraId="4141CCBB" w14:textId="490CDEF7" w:rsidR="006D3FE5" w:rsidRPr="00926326" w:rsidRDefault="00806898">
      <w:pPr>
        <w:spacing w:after="0" w:line="360" w:lineRule="auto"/>
        <w:rPr>
          <w:rFonts w:ascii="Arial" w:hAnsi="Arial" w:cs="Arial"/>
          <w:sz w:val="20"/>
          <w:szCs w:val="20"/>
          <w:lang w:val="el-GR"/>
        </w:rPr>
      </w:pPr>
      <w:proofErr w:type="spellStart"/>
      <w:r w:rsidRPr="00926326">
        <w:rPr>
          <w:rFonts w:ascii="Arial" w:hAnsi="Arial" w:cs="Arial"/>
          <w:sz w:val="20"/>
          <w:szCs w:val="20"/>
          <w:lang w:val="el-GR"/>
        </w:rPr>
        <w:t>Αρ</w:t>
      </w:r>
      <w:proofErr w:type="spellEnd"/>
      <w:r w:rsidRPr="00926326">
        <w:rPr>
          <w:rFonts w:ascii="Arial" w:hAnsi="Arial" w:cs="Arial"/>
          <w:sz w:val="20"/>
          <w:szCs w:val="20"/>
          <w:lang w:val="el-GR"/>
        </w:rPr>
        <w:t xml:space="preserve">. </w:t>
      </w:r>
      <w:proofErr w:type="spellStart"/>
      <w:r w:rsidRPr="00926326">
        <w:rPr>
          <w:rFonts w:ascii="Arial" w:hAnsi="Arial" w:cs="Arial"/>
          <w:sz w:val="20"/>
          <w:szCs w:val="20"/>
          <w:lang w:val="el-GR"/>
        </w:rPr>
        <w:t>Φακ</w:t>
      </w:r>
      <w:proofErr w:type="spellEnd"/>
      <w:r w:rsidRPr="00926326">
        <w:rPr>
          <w:rFonts w:ascii="Arial" w:hAnsi="Arial" w:cs="Arial"/>
          <w:sz w:val="20"/>
          <w:szCs w:val="20"/>
          <w:lang w:val="el-GR"/>
        </w:rPr>
        <w:t xml:space="preserve">.:  </w:t>
      </w:r>
      <w:r w:rsidR="00541CA6" w:rsidRPr="00926326">
        <w:rPr>
          <w:rFonts w:ascii="Arial" w:hAnsi="Arial" w:cs="Arial"/>
          <w:sz w:val="20"/>
          <w:szCs w:val="20"/>
          <w:lang w:val="el-GR"/>
        </w:rPr>
        <w:t>23.03.056.093-2019</w:t>
      </w:r>
    </w:p>
    <w:p w14:paraId="5D821385" w14:textId="77777777" w:rsidR="00806898" w:rsidRPr="00926326" w:rsidRDefault="00806898">
      <w:pPr>
        <w:spacing w:after="0" w:line="360" w:lineRule="auto"/>
        <w:rPr>
          <w:rFonts w:ascii="Arial" w:hAnsi="Arial" w:cs="Arial"/>
          <w:sz w:val="20"/>
          <w:szCs w:val="20"/>
          <w:lang w:val="el-GR"/>
        </w:rPr>
      </w:pPr>
    </w:p>
    <w:p w14:paraId="1457F6D5" w14:textId="70FAFFFA" w:rsidR="006D3FE5" w:rsidRPr="00926326" w:rsidRDefault="00D1209A">
      <w:pPr>
        <w:spacing w:after="0" w:line="360" w:lineRule="auto"/>
        <w:rPr>
          <w:sz w:val="20"/>
          <w:szCs w:val="20"/>
        </w:rPr>
      </w:pPr>
      <w:r>
        <w:rPr>
          <w:rFonts w:ascii="Arial" w:hAnsi="Arial" w:cs="Arial"/>
          <w:sz w:val="20"/>
          <w:szCs w:val="20"/>
          <w:lang w:val="el-GR"/>
        </w:rPr>
        <w:t>ΝΚ/</w:t>
      </w:r>
      <w:bookmarkStart w:id="1" w:name="_GoBack"/>
      <w:bookmarkEnd w:id="1"/>
      <w:r w:rsidR="00541CA6" w:rsidRPr="00926326">
        <w:rPr>
          <w:rFonts w:ascii="Arial" w:hAnsi="Arial" w:cs="Arial"/>
          <w:sz w:val="20"/>
          <w:szCs w:val="20"/>
          <w:lang w:val="el-GR"/>
        </w:rPr>
        <w:t>ΣΓ/</w:t>
      </w:r>
      <w:proofErr w:type="spellStart"/>
      <w:r w:rsidR="00806898" w:rsidRPr="00926326">
        <w:rPr>
          <w:rFonts w:ascii="Arial" w:hAnsi="Arial" w:cs="Arial"/>
          <w:sz w:val="20"/>
          <w:szCs w:val="20"/>
          <w:lang w:val="el-GR"/>
        </w:rPr>
        <w:t>Ελ.Π</w:t>
      </w:r>
      <w:proofErr w:type="spellEnd"/>
    </w:p>
    <w:sectPr w:rsidR="006D3FE5" w:rsidRPr="00926326" w:rsidSect="00B7341C">
      <w:headerReference w:type="default" r:id="rId6"/>
      <w:pgSz w:w="12240" w:h="15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4D1C" w14:textId="77777777" w:rsidR="001C77F3" w:rsidRDefault="001C77F3">
      <w:pPr>
        <w:spacing w:after="0" w:line="240" w:lineRule="auto"/>
      </w:pPr>
      <w:r>
        <w:separator/>
      </w:r>
    </w:p>
  </w:endnote>
  <w:endnote w:type="continuationSeparator" w:id="0">
    <w:p w14:paraId="44F233EF" w14:textId="77777777" w:rsidR="001C77F3" w:rsidRDefault="001C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7937" w14:textId="77777777" w:rsidR="001C77F3" w:rsidRDefault="001C77F3">
      <w:pPr>
        <w:spacing w:after="0" w:line="240" w:lineRule="auto"/>
      </w:pPr>
      <w:r>
        <w:rPr>
          <w:color w:val="000000"/>
        </w:rPr>
        <w:separator/>
      </w:r>
    </w:p>
  </w:footnote>
  <w:footnote w:type="continuationSeparator" w:id="0">
    <w:p w14:paraId="30231709" w14:textId="77777777" w:rsidR="001C77F3" w:rsidRDefault="001C7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954894"/>
      <w:docPartObj>
        <w:docPartGallery w:val="Page Numbers (Top of Page)"/>
        <w:docPartUnique/>
      </w:docPartObj>
    </w:sdtPr>
    <w:sdtEndPr>
      <w:rPr>
        <w:noProof/>
      </w:rPr>
    </w:sdtEndPr>
    <w:sdtContent>
      <w:p w14:paraId="50C35C86" w14:textId="25832668" w:rsidR="00B7341C" w:rsidRDefault="00B7341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5554D4" w14:textId="77777777" w:rsidR="00B7341C" w:rsidRDefault="00B73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E5"/>
    <w:rsid w:val="000C5EE0"/>
    <w:rsid w:val="00163E52"/>
    <w:rsid w:val="00166B94"/>
    <w:rsid w:val="001C77F3"/>
    <w:rsid w:val="002D50D6"/>
    <w:rsid w:val="0033052D"/>
    <w:rsid w:val="00392361"/>
    <w:rsid w:val="003C2FE6"/>
    <w:rsid w:val="003E3D8C"/>
    <w:rsid w:val="00490DA3"/>
    <w:rsid w:val="00500153"/>
    <w:rsid w:val="00541CA6"/>
    <w:rsid w:val="005B3B8E"/>
    <w:rsid w:val="005C304C"/>
    <w:rsid w:val="00675D15"/>
    <w:rsid w:val="006D3FE5"/>
    <w:rsid w:val="007A59EB"/>
    <w:rsid w:val="00806898"/>
    <w:rsid w:val="00864B04"/>
    <w:rsid w:val="008942FC"/>
    <w:rsid w:val="009227C0"/>
    <w:rsid w:val="00926326"/>
    <w:rsid w:val="009557A1"/>
    <w:rsid w:val="00974A65"/>
    <w:rsid w:val="009E53F0"/>
    <w:rsid w:val="00A0140F"/>
    <w:rsid w:val="00A34F37"/>
    <w:rsid w:val="00A70A05"/>
    <w:rsid w:val="00B7341C"/>
    <w:rsid w:val="00BC4579"/>
    <w:rsid w:val="00C04635"/>
    <w:rsid w:val="00D1209A"/>
    <w:rsid w:val="00D71B55"/>
    <w:rsid w:val="00EC0DFF"/>
    <w:rsid w:val="00F85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68CE"/>
  <w15:docId w15:val="{47623356-0E0F-4EB8-8B0A-41C1E91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rPr>
  </w:style>
  <w:style w:type="paragraph" w:styleId="Revision">
    <w:name w:val="Revision"/>
    <w:pPr>
      <w:spacing w:after="0"/>
      <w:textAlignment w:val="auto"/>
    </w:pPr>
    <w:rPr>
      <w:lang w:val="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n-US"/>
    </w:rPr>
  </w:style>
  <w:style w:type="paragraph" w:customStyle="1" w:styleId="Style1">
    <w:name w:val="Style1"/>
    <w:basedOn w:val="CommentText"/>
    <w:autoRedefine/>
    <w:rPr>
      <w:rFonts w:ascii="Arial" w:hAnsi="Arial"/>
      <w:sz w:val="24"/>
      <w:szCs w:val="24"/>
      <w:lang w:val="el-GR"/>
    </w:rPr>
  </w:style>
  <w:style w:type="paragraph" w:customStyle="1" w:styleId="Style2">
    <w:name w:val="Style2"/>
    <w:basedOn w:val="CommentText"/>
    <w:autoRedefine/>
    <w:rPr>
      <w:sz w:val="24"/>
      <w:szCs w:val="24"/>
      <w:lang w:val="el-GR"/>
    </w:rPr>
  </w:style>
  <w:style w:type="paragraph" w:styleId="Header">
    <w:name w:val="header"/>
    <w:basedOn w:val="Normal"/>
    <w:link w:val="HeaderChar"/>
    <w:uiPriority w:val="99"/>
    <w:unhideWhenUsed/>
    <w:rsid w:val="00B7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41C"/>
    <w:rPr>
      <w:lang w:val="en-US"/>
    </w:rPr>
  </w:style>
  <w:style w:type="paragraph" w:styleId="Footer">
    <w:name w:val="footer"/>
    <w:basedOn w:val="Normal"/>
    <w:link w:val="FooterChar"/>
    <w:uiPriority w:val="99"/>
    <w:unhideWhenUsed/>
    <w:rsid w:val="00B7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4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315</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dc:description/>
  <cp:lastModifiedBy>stephania georgiou</cp:lastModifiedBy>
  <cp:revision>27</cp:revision>
  <dcterms:created xsi:type="dcterms:W3CDTF">2022-06-23T07:05:00Z</dcterms:created>
  <dcterms:modified xsi:type="dcterms:W3CDTF">2022-07-11T12:52:00Z</dcterms:modified>
</cp:coreProperties>
</file>