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C40" w14:textId="14CB0A42" w:rsidR="009E4187" w:rsidRPr="002F17AD" w:rsidRDefault="002F17AD" w:rsidP="00DB437A">
      <w:pPr>
        <w:spacing w:line="360" w:lineRule="auto"/>
        <w:jc w:val="center"/>
        <w:rPr>
          <w:rFonts w:cs="Arial"/>
          <w:bCs/>
          <w:szCs w:val="24"/>
          <w:lang w:val="el-GR"/>
        </w:rPr>
      </w:pPr>
      <w:r w:rsidRPr="002F17AD">
        <w:rPr>
          <w:rFonts w:cs="Arial"/>
          <w:bCs/>
          <w:szCs w:val="24"/>
          <w:lang w:val="el-GR"/>
        </w:rPr>
        <w:t>ΝΟΜΟΣ</w:t>
      </w:r>
      <w:r w:rsidR="00B01FC9" w:rsidRPr="002F17AD">
        <w:rPr>
          <w:rFonts w:cs="Arial"/>
          <w:bCs/>
          <w:szCs w:val="24"/>
          <w:lang w:val="el-GR"/>
        </w:rPr>
        <w:t xml:space="preserve"> ΠΟΥ ΤΡΟΠΟΠΟΙΕΙ </w:t>
      </w:r>
      <w:r w:rsidR="009E4187" w:rsidRPr="002F17AD">
        <w:rPr>
          <w:rFonts w:cs="Arial"/>
          <w:bCs/>
          <w:szCs w:val="24"/>
          <w:lang w:val="el-GR"/>
        </w:rPr>
        <w:t>ΤΟΥΣ</w:t>
      </w:r>
      <w:r w:rsidR="00B01FC9" w:rsidRPr="002F17AD">
        <w:rPr>
          <w:rFonts w:cs="Arial"/>
          <w:bCs/>
          <w:szCs w:val="24"/>
          <w:lang w:val="el-GR"/>
        </w:rPr>
        <w:t xml:space="preserve"> ΠΕΡΙ ΠΡΟΣΦΥΓΩΝ ΝΟΜΟ</w:t>
      </w:r>
      <w:r w:rsidR="009E4187" w:rsidRPr="002F17AD">
        <w:rPr>
          <w:rFonts w:cs="Arial"/>
          <w:bCs/>
          <w:szCs w:val="24"/>
          <w:lang w:val="el-GR"/>
        </w:rPr>
        <w:t>ΥΣ</w:t>
      </w:r>
      <w:r w:rsidR="00B01FC9" w:rsidRPr="002F17AD">
        <w:rPr>
          <w:rFonts w:cs="Arial"/>
          <w:bCs/>
          <w:szCs w:val="24"/>
          <w:lang w:val="el-GR"/>
        </w:rPr>
        <w:t xml:space="preserve"> </w:t>
      </w:r>
    </w:p>
    <w:p w14:paraId="5D86958D" w14:textId="7B92B3EE" w:rsidR="00B01FC9" w:rsidRPr="002F17AD" w:rsidRDefault="00B01FC9" w:rsidP="00DB437A">
      <w:pPr>
        <w:spacing w:line="360" w:lineRule="auto"/>
        <w:jc w:val="center"/>
        <w:rPr>
          <w:rFonts w:cs="Arial"/>
          <w:bCs/>
          <w:szCs w:val="24"/>
          <w:lang w:val="el-GR"/>
        </w:rPr>
      </w:pPr>
      <w:r w:rsidRPr="002F17AD">
        <w:rPr>
          <w:rFonts w:cs="Arial"/>
          <w:bCs/>
          <w:szCs w:val="24"/>
          <w:lang w:val="el-GR"/>
        </w:rPr>
        <w:t>ΤΟΥ 2000 ΕΩΣ 202</w:t>
      </w:r>
      <w:r w:rsidR="002F17AD">
        <w:rPr>
          <w:rFonts w:cs="Arial"/>
          <w:bCs/>
          <w:szCs w:val="24"/>
          <w:lang w:val="el-GR"/>
        </w:rPr>
        <w:t>2</w:t>
      </w:r>
    </w:p>
    <w:p w14:paraId="0F241998" w14:textId="77777777" w:rsidR="00B01FC9" w:rsidRPr="009E4187" w:rsidRDefault="00B01FC9" w:rsidP="00DB437A">
      <w:pPr>
        <w:spacing w:line="360" w:lineRule="auto"/>
        <w:rPr>
          <w:rFonts w:cs="Arial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8"/>
        <w:gridCol w:w="6"/>
        <w:gridCol w:w="1130"/>
        <w:gridCol w:w="6161"/>
      </w:tblGrid>
      <w:tr w:rsidR="00B01FC9" w:rsidRPr="00DA6A23" w14:paraId="70728D14" w14:textId="77777777" w:rsidTr="00EE36E2">
        <w:trPr>
          <w:trHeight w:val="56"/>
        </w:trPr>
        <w:tc>
          <w:tcPr>
            <w:tcW w:w="1103" w:type="pct"/>
            <w:gridSpan w:val="2"/>
          </w:tcPr>
          <w:p w14:paraId="7AA647E3" w14:textId="77777777" w:rsidR="00CB6761" w:rsidRDefault="009E4187" w:rsidP="00DB437A">
            <w:pPr>
              <w:spacing w:line="360" w:lineRule="auto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Συνοπτικός</w:t>
            </w:r>
          </w:p>
          <w:p w14:paraId="6F66CA5F" w14:textId="5820CFE4" w:rsidR="009E4187" w:rsidRDefault="009E4187" w:rsidP="00DB437A">
            <w:pPr>
              <w:spacing w:line="360" w:lineRule="auto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τίτλος.</w:t>
            </w:r>
          </w:p>
          <w:p w14:paraId="7F9B1A1E" w14:textId="5CE94BB7" w:rsidR="00DB437A" w:rsidRPr="009E4187" w:rsidRDefault="00DB437A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6(Ι) του 200</w:t>
            </w:r>
            <w:r>
              <w:rPr>
                <w:rFonts w:cs="Arial"/>
                <w:szCs w:val="24"/>
                <w:lang w:val="el-GR"/>
              </w:rPr>
              <w:t>0</w:t>
            </w:r>
          </w:p>
          <w:p w14:paraId="556E969F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6(Ι) του 2002</w:t>
            </w:r>
          </w:p>
          <w:p w14:paraId="0E953233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53(I) του 2003</w:t>
            </w:r>
          </w:p>
          <w:p w14:paraId="0CB3793D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63(I) του 2003</w:t>
            </w:r>
          </w:p>
          <w:p w14:paraId="5C3EE12A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9(Ι) του 2004</w:t>
            </w:r>
          </w:p>
          <w:p w14:paraId="7350F773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241(Ι) του 2004</w:t>
            </w:r>
          </w:p>
          <w:p w14:paraId="0431E5E6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154(Ι) του 2005</w:t>
            </w:r>
          </w:p>
          <w:p w14:paraId="094D6A6C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112(Ι) του 2007</w:t>
            </w:r>
          </w:p>
          <w:p w14:paraId="79F857BF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122(Ι) του 2009</w:t>
            </w:r>
          </w:p>
          <w:p w14:paraId="474B222A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9(Ι) του 2013</w:t>
            </w:r>
          </w:p>
          <w:p w14:paraId="286A6EC4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58(Ι) του 2014</w:t>
            </w:r>
          </w:p>
          <w:p w14:paraId="16280FF3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59(Ι) του 2014</w:t>
            </w:r>
          </w:p>
          <w:p w14:paraId="19F8A057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105(Ι) του 2016</w:t>
            </w:r>
          </w:p>
          <w:p w14:paraId="722BF2E2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106(Ι) του 2016</w:t>
            </w:r>
          </w:p>
          <w:p w14:paraId="1B11BAAB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80(Ι) του 2018</w:t>
            </w:r>
          </w:p>
          <w:p w14:paraId="123301A0" w14:textId="77777777" w:rsidR="009E4187" w:rsidRPr="009E4187" w:rsidRDefault="009E4187" w:rsidP="00550C77">
            <w:pPr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116(Ι) του 2019</w:t>
            </w:r>
          </w:p>
          <w:p w14:paraId="3AD87282" w14:textId="77777777" w:rsidR="00143CE7" w:rsidRDefault="009E4187" w:rsidP="00143CE7">
            <w:pPr>
              <w:tabs>
                <w:tab w:val="left" w:pos="0"/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142(Ι) του 2020</w:t>
            </w:r>
          </w:p>
          <w:p w14:paraId="3797AD19" w14:textId="6FDFFDF1" w:rsidR="00DB437A" w:rsidRPr="009E4187" w:rsidRDefault="00143CE7" w:rsidP="00143CE7">
            <w:pPr>
              <w:tabs>
                <w:tab w:val="left" w:pos="0"/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178</w:t>
            </w:r>
            <w:r w:rsidRPr="009E4187">
              <w:rPr>
                <w:rFonts w:cs="Arial"/>
                <w:szCs w:val="24"/>
                <w:lang w:val="el-GR"/>
              </w:rPr>
              <w:t>(Ι) του 202</w:t>
            </w:r>
            <w:r>
              <w:rPr>
                <w:rFonts w:cs="Arial"/>
                <w:szCs w:val="24"/>
                <w:lang w:val="el-GR"/>
              </w:rPr>
              <w:t>2.</w:t>
            </w:r>
          </w:p>
        </w:tc>
        <w:tc>
          <w:tcPr>
            <w:tcW w:w="3897" w:type="pct"/>
            <w:gridSpan w:val="2"/>
          </w:tcPr>
          <w:p w14:paraId="50D86901" w14:textId="4A0E9F62" w:rsidR="00B01FC9" w:rsidRPr="009E4187" w:rsidRDefault="00B01FC9" w:rsidP="00143CE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  <w:lang w:val="el-GR"/>
              </w:rPr>
            </w:pPr>
            <w:r w:rsidRPr="009E4187">
              <w:rPr>
                <w:rFonts w:cs="Arial"/>
                <w:szCs w:val="24"/>
                <w:lang w:val="el-GR"/>
              </w:rPr>
              <w:t>1.</w:t>
            </w:r>
            <w:r w:rsidR="00550C77">
              <w:rPr>
                <w:rFonts w:cs="Arial"/>
                <w:szCs w:val="24"/>
                <w:lang w:val="el-GR"/>
              </w:rPr>
              <w:tab/>
            </w:r>
            <w:r w:rsidR="00550C77">
              <w:rPr>
                <w:rFonts w:cs="Arial"/>
                <w:szCs w:val="24"/>
                <w:lang w:val="el-GR"/>
              </w:rPr>
              <w:tab/>
            </w:r>
            <w:r w:rsidRPr="009E4187">
              <w:rPr>
                <w:rFonts w:cs="Arial"/>
                <w:szCs w:val="24"/>
                <w:lang w:val="el-GR"/>
              </w:rPr>
              <w:t>Ο παρών Νόμος θα αναφέρεται ως ο περί Προσφύγων (Τροποποιητικός) Νόμος του 202</w:t>
            </w:r>
            <w:r w:rsidR="00143CE7">
              <w:rPr>
                <w:rFonts w:cs="Arial"/>
                <w:szCs w:val="24"/>
                <w:lang w:val="el-GR"/>
              </w:rPr>
              <w:t>3</w:t>
            </w:r>
            <w:r w:rsidRPr="009E4187">
              <w:rPr>
                <w:rFonts w:cs="Arial"/>
                <w:szCs w:val="24"/>
                <w:lang w:val="el-GR"/>
              </w:rPr>
              <w:t xml:space="preserve"> και θα διαβάζεται μαζί με το</w:t>
            </w:r>
            <w:r w:rsidR="00DB437A">
              <w:rPr>
                <w:rFonts w:cs="Arial"/>
                <w:szCs w:val="24"/>
                <w:lang w:val="el-GR"/>
              </w:rPr>
              <w:t>υς</w:t>
            </w:r>
            <w:r w:rsidRPr="009E4187">
              <w:rPr>
                <w:rFonts w:cs="Arial"/>
                <w:szCs w:val="24"/>
                <w:lang w:val="el-GR"/>
              </w:rPr>
              <w:t xml:space="preserve"> περί Προσφύγων Νόμο</w:t>
            </w:r>
            <w:r w:rsidR="00DB437A">
              <w:rPr>
                <w:rFonts w:cs="Arial"/>
                <w:szCs w:val="24"/>
                <w:lang w:val="el-GR"/>
              </w:rPr>
              <w:t>υς</w:t>
            </w:r>
            <w:r w:rsidRPr="009E4187">
              <w:rPr>
                <w:rFonts w:cs="Arial"/>
                <w:szCs w:val="24"/>
                <w:lang w:val="el-GR"/>
              </w:rPr>
              <w:t xml:space="preserve"> του 2000 έως 202</w:t>
            </w:r>
            <w:r w:rsidR="00143CE7">
              <w:rPr>
                <w:rFonts w:cs="Arial"/>
                <w:szCs w:val="24"/>
                <w:lang w:val="el-GR"/>
              </w:rPr>
              <w:t>2</w:t>
            </w:r>
            <w:r w:rsidRPr="009E4187">
              <w:rPr>
                <w:rFonts w:cs="Arial"/>
                <w:szCs w:val="24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Προσφύγων Νόμο</w:t>
            </w:r>
            <w:r w:rsidR="00DB437A">
              <w:rPr>
                <w:rFonts w:cs="Arial"/>
                <w:szCs w:val="24"/>
                <w:lang w:val="el-GR"/>
              </w:rPr>
              <w:t>ι</w:t>
            </w:r>
            <w:r w:rsidRPr="009E4187">
              <w:rPr>
                <w:rFonts w:cs="Arial"/>
                <w:szCs w:val="24"/>
                <w:lang w:val="el-GR"/>
              </w:rPr>
              <w:t xml:space="preserve"> του 2000 έως 202</w:t>
            </w:r>
            <w:r w:rsidR="00143CE7">
              <w:rPr>
                <w:rFonts w:cs="Arial"/>
                <w:szCs w:val="24"/>
                <w:lang w:val="el-GR"/>
              </w:rPr>
              <w:t>3</w:t>
            </w:r>
            <w:r w:rsidRPr="009E4187">
              <w:rPr>
                <w:rFonts w:cs="Arial"/>
                <w:szCs w:val="24"/>
                <w:lang w:val="el-GR"/>
              </w:rPr>
              <w:t>.</w:t>
            </w:r>
          </w:p>
          <w:p w14:paraId="19412BCC" w14:textId="77777777" w:rsidR="00B01FC9" w:rsidRPr="009E4187" w:rsidRDefault="00B01FC9" w:rsidP="00DB437A">
            <w:pPr>
              <w:spacing w:line="360" w:lineRule="auto"/>
              <w:jc w:val="both"/>
              <w:rPr>
                <w:rFonts w:cs="Arial"/>
                <w:szCs w:val="24"/>
                <w:lang w:val="el-GR"/>
              </w:rPr>
            </w:pPr>
          </w:p>
          <w:p w14:paraId="743A022E" w14:textId="77777777" w:rsidR="00B01FC9" w:rsidRPr="009E4187" w:rsidRDefault="00B01FC9" w:rsidP="00DB437A">
            <w:pPr>
              <w:spacing w:line="360" w:lineRule="auto"/>
              <w:jc w:val="both"/>
              <w:rPr>
                <w:rFonts w:cs="Arial"/>
                <w:szCs w:val="24"/>
                <w:lang w:val="el-GR"/>
              </w:rPr>
            </w:pPr>
          </w:p>
        </w:tc>
      </w:tr>
      <w:tr w:rsidR="00143CE7" w:rsidRPr="00DA6A23" w14:paraId="4DB0F9B6" w14:textId="77777777" w:rsidTr="00EE36E2">
        <w:trPr>
          <w:trHeight w:val="56"/>
        </w:trPr>
        <w:tc>
          <w:tcPr>
            <w:tcW w:w="1103" w:type="pct"/>
            <w:gridSpan w:val="2"/>
          </w:tcPr>
          <w:p w14:paraId="2623C497" w14:textId="77777777" w:rsidR="00143CE7" w:rsidRPr="009E4187" w:rsidRDefault="00143CE7" w:rsidP="00DB437A">
            <w:pPr>
              <w:spacing w:line="360" w:lineRule="auto"/>
              <w:rPr>
                <w:rFonts w:cs="Arial"/>
                <w:szCs w:val="24"/>
                <w:lang w:val="el-GR"/>
              </w:rPr>
            </w:pPr>
          </w:p>
        </w:tc>
        <w:tc>
          <w:tcPr>
            <w:tcW w:w="3897" w:type="pct"/>
            <w:gridSpan w:val="2"/>
          </w:tcPr>
          <w:p w14:paraId="4539990A" w14:textId="77777777" w:rsidR="00143CE7" w:rsidRPr="009E4187" w:rsidRDefault="00143CE7" w:rsidP="00143CE7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  <w:lang w:val="el-GR"/>
              </w:rPr>
            </w:pPr>
          </w:p>
        </w:tc>
      </w:tr>
      <w:tr w:rsidR="00B01FC9" w:rsidRPr="00DA6A23" w14:paraId="59BD31B0" w14:textId="77777777" w:rsidTr="00EE36E2">
        <w:trPr>
          <w:trHeight w:val="56"/>
        </w:trPr>
        <w:tc>
          <w:tcPr>
            <w:tcW w:w="1103" w:type="pct"/>
            <w:gridSpan w:val="2"/>
          </w:tcPr>
          <w:p w14:paraId="759B2788" w14:textId="77777777" w:rsidR="00B01FC9" w:rsidRPr="009E4187" w:rsidRDefault="00B01FC9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  <w:r w:rsidRPr="009E4187">
              <w:rPr>
                <w:rFonts w:eastAsia="SimSun" w:cs="Arial"/>
                <w:szCs w:val="24"/>
                <w:lang w:val="el-GR" w:eastAsia="zh-CN"/>
              </w:rPr>
              <w:t>Τροποποίηση</w:t>
            </w:r>
          </w:p>
          <w:p w14:paraId="5C488291" w14:textId="77777777" w:rsidR="00B01FC9" w:rsidRPr="009E4187" w:rsidRDefault="00B01FC9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  <w:r w:rsidRPr="009E4187">
              <w:rPr>
                <w:rFonts w:eastAsia="SimSun" w:cs="Arial"/>
                <w:szCs w:val="24"/>
                <w:lang w:val="el-GR" w:eastAsia="zh-CN"/>
              </w:rPr>
              <w:t>του άρθρου 10</w:t>
            </w:r>
          </w:p>
          <w:p w14:paraId="64C5DFBF" w14:textId="54CB6912" w:rsidR="00B01FC9" w:rsidRPr="009E4187" w:rsidRDefault="00B01FC9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  <w:r w:rsidRPr="009E4187">
              <w:rPr>
                <w:rFonts w:eastAsia="SimSun" w:cs="Arial"/>
                <w:szCs w:val="24"/>
                <w:lang w:val="el-GR" w:eastAsia="zh-CN"/>
              </w:rPr>
              <w:t>του βασικού</w:t>
            </w:r>
          </w:p>
          <w:p w14:paraId="3A5A495E" w14:textId="25025418" w:rsidR="00B01FC9" w:rsidRPr="009E4187" w:rsidRDefault="00B01FC9" w:rsidP="00DB437A">
            <w:pPr>
              <w:spacing w:line="360" w:lineRule="auto"/>
              <w:rPr>
                <w:rFonts w:cs="Arial"/>
                <w:szCs w:val="24"/>
                <w:lang w:val="el-GR"/>
              </w:rPr>
            </w:pPr>
            <w:r w:rsidRPr="009E4187">
              <w:rPr>
                <w:rFonts w:eastAsia="SimSun" w:cs="Arial"/>
                <w:szCs w:val="24"/>
                <w:lang w:val="el-GR" w:eastAsia="zh-CN"/>
              </w:rPr>
              <w:t>νόμου.</w:t>
            </w:r>
          </w:p>
        </w:tc>
        <w:tc>
          <w:tcPr>
            <w:tcW w:w="3897" w:type="pct"/>
            <w:gridSpan w:val="2"/>
          </w:tcPr>
          <w:p w14:paraId="62EA8355" w14:textId="455A2A22" w:rsidR="007E1B0C" w:rsidRPr="009E4187" w:rsidRDefault="00B01FC9" w:rsidP="00DA6A23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color w:val="000000"/>
                <w:szCs w:val="24"/>
                <w:lang w:val="el-GR"/>
              </w:rPr>
            </w:pPr>
            <w:r w:rsidRPr="009E4187">
              <w:rPr>
                <w:rFonts w:cs="Arial"/>
                <w:color w:val="000000"/>
                <w:szCs w:val="24"/>
                <w:lang w:val="el-GR"/>
              </w:rPr>
              <w:t>2.</w:t>
            </w:r>
            <w:r w:rsidR="00B15F4A">
              <w:rPr>
                <w:rFonts w:cs="Arial"/>
                <w:color w:val="000000"/>
                <w:szCs w:val="24"/>
                <w:lang w:val="el-GR"/>
              </w:rPr>
              <w:tab/>
            </w:r>
            <w:r w:rsidRPr="009E4187">
              <w:rPr>
                <w:rFonts w:cs="Arial"/>
                <w:color w:val="000000"/>
                <w:szCs w:val="24"/>
                <w:lang w:val="el-GR"/>
              </w:rPr>
              <w:t xml:space="preserve">Το άρθρο 10 του βασικού νόμου τροποποιείται </w:t>
            </w:r>
            <w:r w:rsidR="002F17AD">
              <w:rPr>
                <w:rFonts w:cs="Arial"/>
                <w:color w:val="000000"/>
                <w:szCs w:val="24"/>
                <w:lang w:val="el-GR"/>
              </w:rPr>
              <w:t xml:space="preserve">με την αντικατάσταση στο τέλος </w:t>
            </w:r>
            <w:r w:rsidR="002F17AD" w:rsidRPr="009E4187">
              <w:rPr>
                <w:rFonts w:cs="Arial"/>
                <w:color w:val="000000"/>
                <w:szCs w:val="24"/>
                <w:lang w:val="el-GR"/>
              </w:rPr>
              <w:t>του εδαφίου (1Η)</w:t>
            </w:r>
            <w:r w:rsidR="002F17AD">
              <w:rPr>
                <w:rFonts w:cs="Arial"/>
                <w:color w:val="000000"/>
                <w:szCs w:val="24"/>
                <w:lang w:val="el-GR"/>
              </w:rPr>
              <w:t xml:space="preserve"> του σημείου της τελείας με το σημείο της άνω και κάτω τελείας και την προσθήκη, αμέσως μετά, της ακόλουθης επιφύλαξης: </w:t>
            </w:r>
          </w:p>
        </w:tc>
      </w:tr>
      <w:tr w:rsidR="00DB437A" w:rsidRPr="00DA6A23" w14:paraId="680B969E" w14:textId="77777777" w:rsidTr="00EE36E2">
        <w:trPr>
          <w:trHeight w:val="56"/>
        </w:trPr>
        <w:tc>
          <w:tcPr>
            <w:tcW w:w="1103" w:type="pct"/>
            <w:gridSpan w:val="2"/>
          </w:tcPr>
          <w:p w14:paraId="31C8EA9F" w14:textId="77777777" w:rsidR="00DB437A" w:rsidRPr="009E4187" w:rsidRDefault="00DB437A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</w:p>
        </w:tc>
        <w:tc>
          <w:tcPr>
            <w:tcW w:w="3897" w:type="pct"/>
            <w:gridSpan w:val="2"/>
          </w:tcPr>
          <w:p w14:paraId="03DD9E39" w14:textId="77777777" w:rsidR="00DB437A" w:rsidRPr="009E4187" w:rsidRDefault="00DB437A" w:rsidP="00DB437A">
            <w:pPr>
              <w:spacing w:line="360" w:lineRule="auto"/>
              <w:jc w:val="both"/>
              <w:rPr>
                <w:rFonts w:cs="Arial"/>
                <w:color w:val="000000"/>
                <w:szCs w:val="24"/>
                <w:lang w:val="el-GR"/>
              </w:rPr>
            </w:pPr>
          </w:p>
        </w:tc>
      </w:tr>
      <w:tr w:rsidR="002F17AD" w:rsidRPr="00DA6A23" w14:paraId="1A85ED7C" w14:textId="77777777" w:rsidTr="002F17AD">
        <w:trPr>
          <w:trHeight w:val="56"/>
        </w:trPr>
        <w:tc>
          <w:tcPr>
            <w:tcW w:w="1100" w:type="pct"/>
          </w:tcPr>
          <w:p w14:paraId="73528B22" w14:textId="77777777" w:rsidR="002F17AD" w:rsidRPr="009E4187" w:rsidRDefault="002F17AD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</w:p>
        </w:tc>
        <w:tc>
          <w:tcPr>
            <w:tcW w:w="3900" w:type="pct"/>
            <w:gridSpan w:val="3"/>
          </w:tcPr>
          <w:p w14:paraId="507102D1" w14:textId="5E6180A8" w:rsidR="002F17AD" w:rsidRDefault="002F17AD" w:rsidP="00DA6A23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color w:val="000000"/>
                <w:szCs w:val="24"/>
                <w:lang w:val="el-GR"/>
              </w:rPr>
            </w:pPr>
            <w:r>
              <w:rPr>
                <w:rFonts w:cs="Arial"/>
                <w:color w:val="000000"/>
                <w:szCs w:val="24"/>
                <w:lang w:val="el-GR"/>
              </w:rPr>
              <w:tab/>
              <w:t xml:space="preserve">«Νοείται ότι, σε περίπτωση άρνησης του </w:t>
            </w:r>
            <w:proofErr w:type="spellStart"/>
            <w:r>
              <w:rPr>
                <w:rFonts w:cs="Arial"/>
                <w:color w:val="000000"/>
                <w:szCs w:val="24"/>
                <w:lang w:val="el-GR"/>
              </w:rPr>
              <w:t>αιτητή</w:t>
            </w:r>
            <w:proofErr w:type="spellEnd"/>
            <w:r>
              <w:rPr>
                <w:rFonts w:cs="Arial"/>
                <w:color w:val="000000"/>
                <w:szCs w:val="24"/>
                <w:lang w:val="el-GR"/>
              </w:rPr>
              <w:t xml:space="preserve"> να συναινέσει στη διενέργεια εξέτασης, τεκμαίρεται ότι το εν λόγω πρόσωπο </w:t>
            </w:r>
            <w:r w:rsidR="00DA6A23">
              <w:rPr>
                <w:rFonts w:cs="Arial"/>
                <w:color w:val="000000"/>
                <w:szCs w:val="24"/>
                <w:lang w:val="el-GR"/>
              </w:rPr>
              <w:t>είναι</w:t>
            </w:r>
            <w:r>
              <w:rPr>
                <w:rFonts w:cs="Arial"/>
                <w:color w:val="000000"/>
                <w:szCs w:val="24"/>
                <w:lang w:val="el-GR"/>
              </w:rPr>
              <w:t xml:space="preserve"> ενήλικας και, σε οποιοδήποτε μεταγενέστερο στάδιο της διαδικασίας, ο </w:t>
            </w:r>
            <w:proofErr w:type="spellStart"/>
            <w:r>
              <w:rPr>
                <w:rFonts w:cs="Arial"/>
                <w:color w:val="000000"/>
                <w:szCs w:val="24"/>
                <w:lang w:val="el-GR"/>
              </w:rPr>
              <w:t>αιτητής</w:t>
            </w:r>
            <w:proofErr w:type="spellEnd"/>
            <w:r>
              <w:rPr>
                <w:rFonts w:cs="Arial"/>
                <w:color w:val="000000"/>
                <w:szCs w:val="24"/>
                <w:lang w:val="el-GR"/>
              </w:rPr>
              <w:t xml:space="preserve"> έχει το δικαίωμα κατάθεσης επιπρόσθετων </w:t>
            </w:r>
            <w:r>
              <w:rPr>
                <w:rFonts w:cs="Arial"/>
                <w:color w:val="000000"/>
                <w:szCs w:val="24"/>
                <w:lang w:val="el-GR"/>
              </w:rPr>
              <w:lastRenderedPageBreak/>
              <w:t>στοιχείων ως προς την ανηλικότητα αυτού ή/και αιτήματος ιατρικής εξέτασης προσδιορισμού της ηλικίας, τα οποία η Υπηρεσία Ασύλου οφείλει να εξετάσει.».</w:t>
            </w:r>
          </w:p>
        </w:tc>
      </w:tr>
      <w:tr w:rsidR="0009150B" w:rsidRPr="00DA6A23" w14:paraId="52221590" w14:textId="77777777" w:rsidTr="002A3DFA">
        <w:trPr>
          <w:trHeight w:val="56"/>
        </w:trPr>
        <w:tc>
          <w:tcPr>
            <w:tcW w:w="1100" w:type="pct"/>
          </w:tcPr>
          <w:p w14:paraId="4C4D66B8" w14:textId="77777777" w:rsidR="0009150B" w:rsidRPr="009E4187" w:rsidRDefault="0009150B" w:rsidP="00DB437A">
            <w:pPr>
              <w:spacing w:line="360" w:lineRule="auto"/>
              <w:rPr>
                <w:rFonts w:eastAsia="SimSun" w:cs="Arial"/>
                <w:szCs w:val="24"/>
                <w:lang w:val="el-GR" w:eastAsia="zh-CN"/>
              </w:rPr>
            </w:pPr>
          </w:p>
        </w:tc>
        <w:tc>
          <w:tcPr>
            <w:tcW w:w="607" w:type="pct"/>
            <w:gridSpan w:val="2"/>
          </w:tcPr>
          <w:p w14:paraId="506A86D2" w14:textId="77777777" w:rsidR="0009150B" w:rsidRDefault="0009150B" w:rsidP="00DB437A">
            <w:pPr>
              <w:spacing w:line="360" w:lineRule="auto"/>
              <w:jc w:val="right"/>
              <w:rPr>
                <w:rFonts w:cs="Arial"/>
                <w:color w:val="000000"/>
                <w:szCs w:val="24"/>
                <w:lang w:val="el-GR"/>
              </w:rPr>
            </w:pPr>
          </w:p>
        </w:tc>
        <w:tc>
          <w:tcPr>
            <w:tcW w:w="3293" w:type="pct"/>
          </w:tcPr>
          <w:p w14:paraId="21C3084C" w14:textId="7EE05AF9" w:rsidR="0009150B" w:rsidRPr="0009150B" w:rsidRDefault="0009150B" w:rsidP="0009150B">
            <w:pPr>
              <w:spacing w:line="360" w:lineRule="auto"/>
              <w:jc w:val="both"/>
              <w:rPr>
                <w:rFonts w:cs="Arial"/>
                <w:color w:val="000000"/>
                <w:szCs w:val="24"/>
                <w:lang w:val="el-GR"/>
              </w:rPr>
            </w:pPr>
          </w:p>
        </w:tc>
      </w:tr>
    </w:tbl>
    <w:p w14:paraId="2671BC14" w14:textId="77777777" w:rsidR="00DA6A23" w:rsidRDefault="00DA6A23" w:rsidP="00BC6CD5">
      <w:pPr>
        <w:rPr>
          <w:rFonts w:cs="Arial"/>
          <w:szCs w:val="24"/>
          <w:lang w:val="el-GR"/>
        </w:rPr>
      </w:pPr>
    </w:p>
    <w:p w14:paraId="2D8D7DEF" w14:textId="250E7620" w:rsidR="00932B51" w:rsidRDefault="00056187" w:rsidP="00BC6CD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Αρ. Φακ. 23.02.063.124</w:t>
      </w:r>
      <w:r w:rsidR="00D26AA3">
        <w:rPr>
          <w:rFonts w:cs="Arial"/>
          <w:szCs w:val="24"/>
          <w:lang w:val="el-GR"/>
        </w:rPr>
        <w:t>-2022</w:t>
      </w:r>
    </w:p>
    <w:p w14:paraId="69700922" w14:textId="0A1B3BC4" w:rsidR="00056187" w:rsidRDefault="00056187" w:rsidP="00BC6CD5">
      <w:pPr>
        <w:rPr>
          <w:rFonts w:cs="Arial"/>
          <w:szCs w:val="24"/>
          <w:lang w:val="el-GR"/>
        </w:rPr>
      </w:pPr>
    </w:p>
    <w:p w14:paraId="51D07C95" w14:textId="77777777" w:rsidR="00056187" w:rsidRDefault="00056187" w:rsidP="00BC6CD5">
      <w:pPr>
        <w:rPr>
          <w:rFonts w:cs="Arial"/>
          <w:szCs w:val="24"/>
          <w:lang w:val="el-GR"/>
        </w:rPr>
      </w:pPr>
    </w:p>
    <w:p w14:paraId="1C543965" w14:textId="77777777" w:rsidR="00BC6CD5" w:rsidRPr="00BC6CD5" w:rsidRDefault="00BC6CD5" w:rsidP="00BC6CD5">
      <w:pPr>
        <w:rPr>
          <w:rFonts w:cs="Arial"/>
          <w:szCs w:val="24"/>
          <w:lang w:val="el-GR"/>
        </w:rPr>
      </w:pPr>
    </w:p>
    <w:p w14:paraId="662AAAB6" w14:textId="7B279192" w:rsidR="00BC6CD5" w:rsidRPr="005803F4" w:rsidRDefault="00BC6CD5" w:rsidP="00BC6CD5">
      <w:pPr>
        <w:tabs>
          <w:tab w:val="left" w:pos="284"/>
          <w:tab w:val="left" w:pos="567"/>
        </w:tabs>
        <w:jc w:val="both"/>
        <w:rPr>
          <w:rFonts w:cs="Arial"/>
          <w:szCs w:val="24"/>
          <w:lang w:val="el-GR"/>
        </w:rPr>
      </w:pPr>
      <w:r w:rsidRPr="005803F4">
        <w:rPr>
          <w:rFonts w:cs="Arial"/>
          <w:szCs w:val="24"/>
          <w:lang w:val="el-GR"/>
        </w:rPr>
        <w:t>Δ</w:t>
      </w:r>
      <w:r w:rsidR="002F17AD" w:rsidRPr="005803F4">
        <w:rPr>
          <w:rFonts w:cs="Arial"/>
          <w:szCs w:val="24"/>
          <w:lang w:val="el-GR"/>
        </w:rPr>
        <w:t xml:space="preserve">. </w:t>
      </w:r>
      <w:r w:rsidRPr="005803F4">
        <w:rPr>
          <w:rFonts w:cs="Arial"/>
          <w:szCs w:val="24"/>
          <w:lang w:val="el-GR"/>
        </w:rPr>
        <w:t>Π</w:t>
      </w:r>
      <w:r w:rsidR="002F17AD" w:rsidRPr="005803F4">
        <w:rPr>
          <w:rFonts w:cs="Arial"/>
          <w:szCs w:val="24"/>
          <w:lang w:val="el-GR"/>
        </w:rPr>
        <w:t>αντελίδου</w:t>
      </w:r>
      <w:r w:rsidRPr="005803F4">
        <w:rPr>
          <w:rFonts w:cs="Arial"/>
          <w:szCs w:val="24"/>
          <w:lang w:val="el-GR"/>
        </w:rPr>
        <w:t>/</w:t>
      </w:r>
      <w:r w:rsidR="002A3DFA" w:rsidRPr="005803F4">
        <w:rPr>
          <w:rFonts w:cs="Arial"/>
          <w:szCs w:val="24"/>
          <w:lang w:val="el-GR"/>
        </w:rPr>
        <w:t>ΧΓ</w:t>
      </w:r>
    </w:p>
    <w:p w14:paraId="3B6C2FF3" w14:textId="36C91BFA" w:rsidR="00B01FC9" w:rsidRPr="009E4187" w:rsidRDefault="005803F4" w:rsidP="00DB437A">
      <w:pPr>
        <w:tabs>
          <w:tab w:val="left" w:pos="696"/>
        </w:tabs>
        <w:spacing w:line="360" w:lineRule="auto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ΜΧ</w:t>
      </w:r>
    </w:p>
    <w:p w14:paraId="6FA18C97" w14:textId="051DC88E" w:rsidR="00335175" w:rsidRPr="009E4187" w:rsidRDefault="00335175" w:rsidP="002A3DFA">
      <w:pPr>
        <w:spacing w:after="120" w:line="360" w:lineRule="auto"/>
        <w:rPr>
          <w:rFonts w:cs="Arial"/>
          <w:szCs w:val="24"/>
          <w:lang w:val="el-GR"/>
        </w:rPr>
      </w:pPr>
    </w:p>
    <w:sectPr w:rsidR="00335175" w:rsidRPr="009E4187" w:rsidSect="00BE10D2">
      <w:headerReference w:type="default" r:id="rId6"/>
      <w:pgSz w:w="11907" w:h="16840" w:code="9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1713" w14:textId="77777777" w:rsidR="000E6CB9" w:rsidRDefault="000E6CB9" w:rsidP="00BE10D2">
      <w:r>
        <w:separator/>
      </w:r>
    </w:p>
  </w:endnote>
  <w:endnote w:type="continuationSeparator" w:id="0">
    <w:p w14:paraId="7E34BC22" w14:textId="77777777" w:rsidR="000E6CB9" w:rsidRDefault="000E6CB9" w:rsidP="00BE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368E" w14:textId="77777777" w:rsidR="000E6CB9" w:rsidRDefault="000E6CB9" w:rsidP="00BE10D2">
      <w:r>
        <w:separator/>
      </w:r>
    </w:p>
  </w:footnote>
  <w:footnote w:type="continuationSeparator" w:id="0">
    <w:p w14:paraId="032BE79D" w14:textId="77777777" w:rsidR="000E6CB9" w:rsidRDefault="000E6CB9" w:rsidP="00BE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704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17A4A6" w14:textId="6A09BE7E" w:rsidR="00BE10D2" w:rsidRDefault="00BE10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1B9A6" w14:textId="77777777" w:rsidR="00BE10D2" w:rsidRDefault="00BE1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C9"/>
    <w:rsid w:val="000024D7"/>
    <w:rsid w:val="00056187"/>
    <w:rsid w:val="0009150B"/>
    <w:rsid w:val="000E6CB9"/>
    <w:rsid w:val="00143CE7"/>
    <w:rsid w:val="00233B38"/>
    <w:rsid w:val="002A3DFA"/>
    <w:rsid w:val="002E4BB0"/>
    <w:rsid w:val="002F11ED"/>
    <w:rsid w:val="002F17AD"/>
    <w:rsid w:val="0032424B"/>
    <w:rsid w:val="00331DEE"/>
    <w:rsid w:val="00332E0B"/>
    <w:rsid w:val="00335175"/>
    <w:rsid w:val="00364258"/>
    <w:rsid w:val="003D2C97"/>
    <w:rsid w:val="003D6AC6"/>
    <w:rsid w:val="00480D98"/>
    <w:rsid w:val="004B2759"/>
    <w:rsid w:val="00512C88"/>
    <w:rsid w:val="00550C77"/>
    <w:rsid w:val="005754FC"/>
    <w:rsid w:val="005803F4"/>
    <w:rsid w:val="005B1E70"/>
    <w:rsid w:val="005C0928"/>
    <w:rsid w:val="005F3F94"/>
    <w:rsid w:val="00605737"/>
    <w:rsid w:val="006111B2"/>
    <w:rsid w:val="0071340C"/>
    <w:rsid w:val="007E1B0C"/>
    <w:rsid w:val="007F4F6A"/>
    <w:rsid w:val="008978C2"/>
    <w:rsid w:val="0090791E"/>
    <w:rsid w:val="00932B51"/>
    <w:rsid w:val="009E4187"/>
    <w:rsid w:val="00A250EE"/>
    <w:rsid w:val="00B01FC9"/>
    <w:rsid w:val="00B15F4A"/>
    <w:rsid w:val="00B17096"/>
    <w:rsid w:val="00BC6CD5"/>
    <w:rsid w:val="00BE10D2"/>
    <w:rsid w:val="00C02949"/>
    <w:rsid w:val="00C65E19"/>
    <w:rsid w:val="00CB07C8"/>
    <w:rsid w:val="00CB6761"/>
    <w:rsid w:val="00D26AA3"/>
    <w:rsid w:val="00D5634E"/>
    <w:rsid w:val="00DA6A23"/>
    <w:rsid w:val="00DB0668"/>
    <w:rsid w:val="00DB437A"/>
    <w:rsid w:val="00DB5735"/>
    <w:rsid w:val="00E321F9"/>
    <w:rsid w:val="00EE36E2"/>
    <w:rsid w:val="00F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9646"/>
  <w15:chartTrackingRefBased/>
  <w15:docId w15:val="{F95C8B87-F7E7-443E-97EE-911800E7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01FC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50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D2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1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D2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ASSIOTOU CHRYSTALLA</cp:lastModifiedBy>
  <cp:revision>4</cp:revision>
  <cp:lastPrinted>2022-07-06T09:54:00Z</cp:lastPrinted>
  <dcterms:created xsi:type="dcterms:W3CDTF">2023-07-05T06:11:00Z</dcterms:created>
  <dcterms:modified xsi:type="dcterms:W3CDTF">2023-07-10T09:13:00Z</dcterms:modified>
</cp:coreProperties>
</file>