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E20E" w14:textId="7E9B2C5A" w:rsidR="001375D3" w:rsidRPr="00AB6156" w:rsidRDefault="00AB6156" w:rsidP="00AB6156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caps/>
          <w:lang w:val="el-GR"/>
        </w:rPr>
        <w:t xml:space="preserve">ΝΟΜΟΣ ΠΟΥ ΤΡΟΠΟΠΟΙΕΙ τους </w:t>
      </w:r>
      <w:r w:rsidR="001375D3" w:rsidRPr="00AB6156">
        <w:rPr>
          <w:rFonts w:ascii="Arial" w:hAnsi="Arial" w:cs="Arial"/>
          <w:bCs/>
          <w:lang w:val="el-GR"/>
        </w:rPr>
        <w:t>ΠΕΡΙ</w:t>
      </w:r>
      <w:r>
        <w:rPr>
          <w:rFonts w:ascii="Arial" w:hAnsi="Arial" w:cs="Arial"/>
          <w:bCs/>
          <w:lang w:val="el-GR"/>
        </w:rPr>
        <w:t xml:space="preserve"> ΤΗΣ</w:t>
      </w:r>
      <w:r w:rsidR="001375D3" w:rsidRPr="00AB6156">
        <w:rPr>
          <w:rFonts w:ascii="Arial" w:hAnsi="Arial" w:cs="Arial"/>
          <w:bCs/>
          <w:lang w:val="el-GR"/>
        </w:rPr>
        <w:t xml:space="preserve"> ΑΠΟΣΠΑΣΗΣ ΕΡΓΑΖΟΜΕΝΩΝ ΣΤΟ ΠΛΑΙΣΙΟ</w:t>
      </w:r>
      <w:r>
        <w:rPr>
          <w:rFonts w:ascii="Arial" w:hAnsi="Arial" w:cs="Arial"/>
          <w:bCs/>
          <w:lang w:val="el-GR"/>
        </w:rPr>
        <w:t xml:space="preserve"> ΤΗΣ</w:t>
      </w:r>
      <w:r w:rsidR="001375D3" w:rsidRPr="00AB6156">
        <w:rPr>
          <w:rFonts w:ascii="Arial" w:hAnsi="Arial" w:cs="Arial"/>
          <w:bCs/>
          <w:lang w:val="el-GR"/>
        </w:rPr>
        <w:t xml:space="preserve"> ΠΑΡΟΧΗΣ ΥΠΗΡΕΣΙΩΝ</w:t>
      </w:r>
      <w:r>
        <w:rPr>
          <w:rFonts w:ascii="Arial" w:hAnsi="Arial" w:cs="Arial"/>
          <w:bCs/>
          <w:lang w:val="el-GR"/>
        </w:rPr>
        <w:t xml:space="preserve"> ΚΑΙ ΓΙΑ ΣΥΝΑΦΗ ΘΕΜΑΤΑ</w:t>
      </w:r>
      <w:r w:rsidR="001375D3" w:rsidRPr="00AB6156">
        <w:rPr>
          <w:rFonts w:ascii="Arial" w:hAnsi="Arial" w:cs="Arial"/>
          <w:bCs/>
          <w:lang w:val="el-GR"/>
        </w:rPr>
        <w:t xml:space="preserve"> ΝΟΜΟ</w:t>
      </w:r>
      <w:r>
        <w:rPr>
          <w:rFonts w:ascii="Arial" w:hAnsi="Arial" w:cs="Arial"/>
          <w:bCs/>
          <w:lang w:val="el-GR"/>
        </w:rPr>
        <w:t>Υ</w:t>
      </w:r>
      <w:r w:rsidR="001375D3" w:rsidRPr="00AB6156">
        <w:rPr>
          <w:rFonts w:ascii="Arial" w:hAnsi="Arial" w:cs="Arial"/>
          <w:bCs/>
          <w:lang w:val="el-GR"/>
        </w:rPr>
        <w:t xml:space="preserve">Σ ΤΟΥ </w:t>
      </w:r>
      <w:r>
        <w:rPr>
          <w:rFonts w:ascii="Arial" w:hAnsi="Arial" w:cs="Arial"/>
          <w:bCs/>
          <w:lang w:val="el-GR"/>
        </w:rPr>
        <w:t>2017 ΚΑΙ 2020</w:t>
      </w:r>
    </w:p>
    <w:p w14:paraId="780C1AEF" w14:textId="77777777" w:rsidR="001375D3" w:rsidRDefault="001375D3" w:rsidP="001375D3">
      <w:pPr>
        <w:pStyle w:val="Header"/>
        <w:jc w:val="center"/>
        <w:rPr>
          <w:rFonts w:ascii="Arial" w:hAnsi="Arial" w:cs="Arial"/>
          <w:b/>
          <w:u w:val="single"/>
          <w:lang w:val="el-GR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7371"/>
      </w:tblGrid>
      <w:tr w:rsidR="001375D3" w:rsidRPr="00DC284E" w14:paraId="0D41F315" w14:textId="77777777" w:rsidTr="007726B3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3723997" w14:textId="77777777" w:rsidR="001375D3" w:rsidRPr="00AB6156" w:rsidRDefault="001375D3" w:rsidP="00320632">
            <w:pPr>
              <w:pStyle w:val="BodyText"/>
              <w:spacing w:after="0" w:line="360" w:lineRule="auto"/>
              <w:rPr>
                <w:lang w:val="el-GR"/>
              </w:rPr>
            </w:pPr>
            <w:r w:rsidRPr="00AB6156">
              <w:rPr>
                <w:lang w:val="el-GR"/>
              </w:rPr>
              <w:t>Προοίμιο.</w:t>
            </w:r>
          </w:p>
          <w:p w14:paraId="008A93B0" w14:textId="0F74F63A" w:rsidR="00F86F81" w:rsidRPr="00AB6156" w:rsidRDefault="00F86F81" w:rsidP="00F86F81">
            <w:pPr>
              <w:spacing w:line="360" w:lineRule="auto"/>
              <w:rPr>
                <w:rFonts w:cs="Arial"/>
                <w:lang w:val="el-GR"/>
              </w:rPr>
            </w:pPr>
            <w:r w:rsidRPr="00AB6156">
              <w:rPr>
                <w:rFonts w:cs="Arial"/>
                <w:lang w:val="el-GR"/>
              </w:rPr>
              <w:t>Επίσημη Εφημερίδα της Ε.Ε.</w:t>
            </w:r>
            <w:r>
              <w:rPr>
                <w:rFonts w:cs="Arial"/>
                <w:lang w:val="el-GR"/>
              </w:rPr>
              <w:t>:</w:t>
            </w:r>
          </w:p>
          <w:p w14:paraId="5F50856D" w14:textId="77777777" w:rsidR="00F86F81" w:rsidRPr="00AB6156" w:rsidRDefault="00F86F81" w:rsidP="00F86F81">
            <w:pPr>
              <w:spacing w:line="360" w:lineRule="auto"/>
              <w:rPr>
                <w:rFonts w:cs="Arial"/>
                <w:lang w:val="el-GR"/>
              </w:rPr>
            </w:pPr>
            <w:r w:rsidRPr="00AB6156">
              <w:rPr>
                <w:rFonts w:cs="Arial"/>
              </w:rPr>
              <w:t>L</w:t>
            </w:r>
            <w:r w:rsidRPr="00AB6156">
              <w:rPr>
                <w:rFonts w:cs="Arial"/>
                <w:lang w:val="el-GR"/>
              </w:rPr>
              <w:t>.159,</w:t>
            </w:r>
          </w:p>
          <w:p w14:paraId="2F1B932C" w14:textId="77777777" w:rsidR="00F86F81" w:rsidRPr="00AB6156" w:rsidRDefault="00F86F81" w:rsidP="00F86F81">
            <w:pPr>
              <w:spacing w:line="360" w:lineRule="auto"/>
              <w:rPr>
                <w:rFonts w:cs="Arial"/>
                <w:lang w:val="el-GR"/>
              </w:rPr>
            </w:pPr>
            <w:r w:rsidRPr="00AB6156">
              <w:rPr>
                <w:rFonts w:cs="Arial"/>
                <w:lang w:val="el-GR"/>
              </w:rPr>
              <w:t>28.05.2014,</w:t>
            </w:r>
          </w:p>
          <w:p w14:paraId="50180596" w14:textId="4FE9C57E" w:rsidR="001375D3" w:rsidRPr="00AB6156" w:rsidRDefault="00F86F81" w:rsidP="00F86F81">
            <w:pPr>
              <w:pStyle w:val="BodyText"/>
              <w:spacing w:after="0" w:line="360" w:lineRule="auto"/>
              <w:rPr>
                <w:lang w:val="el-GR"/>
              </w:rPr>
            </w:pPr>
            <w:r w:rsidRPr="00AB6156">
              <w:rPr>
                <w:rFonts w:cs="Arial"/>
                <w:lang w:val="el-GR"/>
              </w:rPr>
              <w:t>σ.11.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49B1A04" w14:textId="3C4B8ED2" w:rsidR="001375D3" w:rsidRDefault="001375D3" w:rsidP="001343A1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  <w:r>
              <w:rPr>
                <w:lang w:val="el-GR"/>
              </w:rPr>
              <w:t xml:space="preserve">Για σκοπούς </w:t>
            </w:r>
            <w:r w:rsidR="00AB6156">
              <w:rPr>
                <w:lang w:val="el-GR"/>
              </w:rPr>
              <w:t>ορθότερης</w:t>
            </w:r>
            <w:r>
              <w:rPr>
                <w:lang w:val="el-GR"/>
              </w:rPr>
              <w:t xml:space="preserve"> </w:t>
            </w:r>
            <w:r w:rsidRPr="000D79C4">
              <w:rPr>
                <w:lang w:val="el-GR"/>
              </w:rPr>
              <w:t xml:space="preserve">εναρμόνισης με </w:t>
            </w:r>
            <w:r>
              <w:rPr>
                <w:lang w:val="el-GR"/>
              </w:rPr>
              <w:t>την π</w:t>
            </w:r>
            <w:r w:rsidRPr="000D79C4">
              <w:rPr>
                <w:lang w:val="el-GR"/>
              </w:rPr>
              <w:t>ράξ</w:t>
            </w:r>
            <w:r>
              <w:rPr>
                <w:lang w:val="el-GR"/>
              </w:rPr>
              <w:t>η</w:t>
            </w:r>
            <w:r w:rsidRPr="000D79C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της </w:t>
            </w:r>
            <w:r w:rsidRPr="000D79C4">
              <w:rPr>
                <w:lang w:val="el-GR"/>
              </w:rPr>
              <w:t xml:space="preserve">Ευρωπαϊκής </w:t>
            </w:r>
            <w:r>
              <w:rPr>
                <w:lang w:val="el-GR"/>
              </w:rPr>
              <w:t xml:space="preserve">Ένωσης </w:t>
            </w:r>
            <w:r w:rsidRPr="000D79C4">
              <w:rPr>
                <w:lang w:val="el-GR"/>
              </w:rPr>
              <w:t>με τίτλο</w:t>
            </w:r>
            <w:r w:rsidR="00AB6156">
              <w:rPr>
                <w:lang w:val="el-GR"/>
              </w:rPr>
              <w:t xml:space="preserve"> «</w:t>
            </w:r>
            <w:r w:rsidR="00AB6156" w:rsidRPr="00917E7B">
              <w:rPr>
                <w:lang w:val="el-GR"/>
              </w:rPr>
              <w:t>Οδηγ</w:t>
            </w:r>
            <w:r w:rsidR="00AB6156">
              <w:rPr>
                <w:lang w:val="el-GR"/>
              </w:rPr>
              <w:t>ία 2014/67/ΕΚ</w:t>
            </w:r>
            <w:r w:rsidR="00AB6156" w:rsidRPr="00917E7B">
              <w:rPr>
                <w:lang w:val="el-GR"/>
              </w:rPr>
              <w:t xml:space="preserve"> του Ευρωπαϊκού </w:t>
            </w:r>
            <w:r w:rsidR="00AB6156">
              <w:rPr>
                <w:lang w:val="el-GR"/>
              </w:rPr>
              <w:t>Κοινοβουλίου και του Συ</w:t>
            </w:r>
            <w:r w:rsidR="00AB6156" w:rsidRPr="00917E7B">
              <w:rPr>
                <w:lang w:val="el-GR"/>
              </w:rPr>
              <w:t>μ</w:t>
            </w:r>
            <w:r w:rsidR="00AB6156">
              <w:rPr>
                <w:lang w:val="el-GR"/>
              </w:rPr>
              <w:t>βουλίου της 15η</w:t>
            </w:r>
            <w:r w:rsidR="00AB6156" w:rsidRPr="00917E7B">
              <w:rPr>
                <w:lang w:val="el-GR"/>
              </w:rPr>
              <w:t xml:space="preserve">ς </w:t>
            </w:r>
            <w:r w:rsidR="00AB6156">
              <w:rPr>
                <w:lang w:val="el-GR"/>
              </w:rPr>
              <w:t xml:space="preserve">Μαΐου 2014 για την εφαρμογή της οδηγίας 96/71/ΕΚ σχετικά με την απόσπαση εργαζομένων στο πλαίσιο παροχής υπηρεσιών και την τροποποίηση του </w:t>
            </w:r>
            <w:r w:rsidR="00F86F81">
              <w:rPr>
                <w:lang w:val="el-GR"/>
              </w:rPr>
              <w:t>κ</w:t>
            </w:r>
            <w:r w:rsidR="00AB6156">
              <w:rPr>
                <w:lang w:val="el-GR"/>
              </w:rPr>
              <w:t>ανονισμού (ΕΕ) αριθ.1024/2012 σχετικά με τη διοικητική συνεργασία μέσω του Συστήματος Πληροφόρησης για την εσωτερική αγορά (</w:t>
            </w:r>
            <w:r w:rsidR="00F86F81" w:rsidRPr="00F86F81">
              <w:rPr>
                <w:lang w:val="el-GR"/>
              </w:rPr>
              <w:t>“</w:t>
            </w:r>
            <w:r w:rsidR="00F86F81">
              <w:rPr>
                <w:lang w:val="el-GR"/>
              </w:rPr>
              <w:t>κ</w:t>
            </w:r>
            <w:r w:rsidR="00AB6156">
              <w:rPr>
                <w:lang w:val="el-GR"/>
              </w:rPr>
              <w:t>ανονισμός ΙΜΙ</w:t>
            </w:r>
            <w:r w:rsidR="00F86F81" w:rsidRPr="00F86F81">
              <w:rPr>
                <w:lang w:val="el-GR"/>
              </w:rPr>
              <w:t>”</w:t>
            </w:r>
            <w:r w:rsidR="00AB6156">
              <w:rPr>
                <w:rFonts w:cs="Arial"/>
                <w:lang w:val="el-GR"/>
              </w:rPr>
              <w:t>)»,</w:t>
            </w:r>
          </w:p>
        </w:tc>
      </w:tr>
      <w:tr w:rsidR="001375D3" w:rsidRPr="00DC284E" w14:paraId="7343F35F" w14:textId="77777777" w:rsidTr="007726B3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3617281F" w14:textId="77777777" w:rsidR="001375D3" w:rsidRPr="00AB6156" w:rsidRDefault="001375D3" w:rsidP="00320632">
            <w:pPr>
              <w:pStyle w:val="BodyText"/>
              <w:spacing w:after="0" w:line="360" w:lineRule="auto"/>
              <w:rPr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16B0FA5" w14:textId="77777777" w:rsidR="001375D3" w:rsidRPr="000D79C4" w:rsidRDefault="001375D3" w:rsidP="001375D3">
            <w:pPr>
              <w:jc w:val="both"/>
              <w:rPr>
                <w:lang w:val="el-GR"/>
              </w:rPr>
            </w:pPr>
          </w:p>
        </w:tc>
      </w:tr>
      <w:tr w:rsidR="001375D3" w:rsidRPr="00DC284E" w14:paraId="79D13885" w14:textId="77777777" w:rsidTr="007726B3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A4D4463" w14:textId="77777777" w:rsidR="001375D3" w:rsidRPr="00AB6156" w:rsidRDefault="001375D3" w:rsidP="00320632">
            <w:pPr>
              <w:pStyle w:val="BodyText"/>
              <w:spacing w:after="0" w:line="360" w:lineRule="auto"/>
              <w:rPr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1454769" w14:textId="3F046771" w:rsidR="001375D3" w:rsidRDefault="00E1773B" w:rsidP="00E1773B">
            <w:pPr>
              <w:tabs>
                <w:tab w:val="left" w:pos="397"/>
              </w:tabs>
              <w:spacing w:line="360" w:lineRule="auto"/>
              <w:jc w:val="both"/>
              <w:rPr>
                <w:rFonts w:cs="Arial"/>
                <w:bCs/>
                <w:lang w:val="el-GR"/>
              </w:rPr>
            </w:pPr>
            <w:r>
              <w:rPr>
                <w:rFonts w:cs="Arial"/>
                <w:bCs/>
                <w:lang w:val="el-GR"/>
              </w:rPr>
              <w:tab/>
            </w:r>
            <w:r w:rsidR="001375D3">
              <w:rPr>
                <w:rFonts w:cs="Arial"/>
                <w:bCs/>
                <w:lang w:val="el-GR"/>
              </w:rPr>
              <w:t>Η Βουλή των Αντιπροσώπων ψηφίζει ως ακολούθως:</w:t>
            </w:r>
          </w:p>
        </w:tc>
      </w:tr>
      <w:tr w:rsidR="001375D3" w:rsidRPr="00DC284E" w14:paraId="15C992C6" w14:textId="77777777" w:rsidTr="007726B3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A723B0D" w14:textId="77777777" w:rsidR="001375D3" w:rsidRPr="00AB6156" w:rsidRDefault="001375D3" w:rsidP="00320632">
            <w:pPr>
              <w:pStyle w:val="BodyText"/>
              <w:spacing w:after="0" w:line="360" w:lineRule="auto"/>
              <w:rPr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B5061ED" w14:textId="77777777" w:rsidR="001375D3" w:rsidRDefault="001375D3" w:rsidP="001375D3">
            <w:pPr>
              <w:ind w:firstLine="720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1375D3" w:rsidRPr="00DC284E" w14:paraId="10B9E458" w14:textId="77777777" w:rsidTr="007726B3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11068F4" w14:textId="77777777" w:rsidR="001375D3" w:rsidRPr="00AB6156" w:rsidRDefault="001375D3" w:rsidP="00320632">
            <w:pPr>
              <w:pStyle w:val="BodyText"/>
              <w:spacing w:after="0" w:line="360" w:lineRule="auto"/>
              <w:rPr>
                <w:lang w:val="el-GR"/>
              </w:rPr>
            </w:pPr>
            <w:r w:rsidRPr="00AB6156">
              <w:rPr>
                <w:lang w:val="el-GR"/>
              </w:rPr>
              <w:t>Συνοπτικός</w:t>
            </w:r>
          </w:p>
          <w:p w14:paraId="1D974D3B" w14:textId="77777777" w:rsidR="001375D3" w:rsidRPr="00AB6156" w:rsidRDefault="001375D3" w:rsidP="00320632">
            <w:pPr>
              <w:pStyle w:val="BodyText"/>
              <w:spacing w:after="0" w:line="360" w:lineRule="auto"/>
              <w:rPr>
                <w:lang w:val="el-GR"/>
              </w:rPr>
            </w:pPr>
            <w:r w:rsidRPr="00AB6156">
              <w:rPr>
                <w:lang w:val="el-GR"/>
              </w:rPr>
              <w:t>τίτλος.</w:t>
            </w:r>
          </w:p>
          <w:p w14:paraId="507A9C2F" w14:textId="77777777" w:rsidR="001375D3" w:rsidRPr="00AB6156" w:rsidRDefault="001375D3" w:rsidP="00320632">
            <w:pPr>
              <w:pStyle w:val="BodyText"/>
              <w:spacing w:after="0" w:line="360" w:lineRule="auto"/>
              <w:rPr>
                <w:lang w:val="el-GR"/>
              </w:rPr>
            </w:pPr>
          </w:p>
          <w:p w14:paraId="714058D8" w14:textId="77777777" w:rsidR="001375D3" w:rsidRPr="00AB6156" w:rsidRDefault="001375D3" w:rsidP="007726B3">
            <w:pPr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 w:rsidRPr="00AB6156">
              <w:rPr>
                <w:rFonts w:cs="Arial"/>
                <w:lang w:val="el-GR"/>
              </w:rPr>
              <w:t>63(Ι) του 2017</w:t>
            </w:r>
          </w:p>
          <w:p w14:paraId="4C9D527A" w14:textId="77777777" w:rsidR="001375D3" w:rsidRPr="00AB6156" w:rsidRDefault="001375D3" w:rsidP="007726B3">
            <w:pPr>
              <w:spacing w:line="360" w:lineRule="auto"/>
              <w:ind w:right="57"/>
              <w:jc w:val="right"/>
              <w:rPr>
                <w:rFonts w:cs="Arial"/>
                <w:lang w:val="el-GR"/>
              </w:rPr>
            </w:pPr>
            <w:r w:rsidRPr="00AB6156">
              <w:rPr>
                <w:rFonts w:cs="Arial"/>
                <w:lang w:val="el-GR"/>
              </w:rPr>
              <w:t>158(Ι) του 2020.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A71F467" w14:textId="79E2EB08" w:rsidR="001375D3" w:rsidRPr="00F86F81" w:rsidRDefault="001375D3" w:rsidP="00F86F81">
            <w:pPr>
              <w:pStyle w:val="ListParagraph"/>
              <w:numPr>
                <w:ilvl w:val="0"/>
                <w:numId w:val="2"/>
              </w:numPr>
              <w:tabs>
                <w:tab w:val="left" w:pos="397"/>
              </w:tabs>
              <w:spacing w:line="360" w:lineRule="auto"/>
              <w:ind w:left="0" w:firstLine="0"/>
              <w:jc w:val="both"/>
              <w:rPr>
                <w:rFonts w:cs="Arial"/>
                <w:szCs w:val="26"/>
                <w:lang w:val="el-GR"/>
              </w:rPr>
            </w:pPr>
            <w:r w:rsidRPr="00F86F81">
              <w:rPr>
                <w:rFonts w:cs="Arial"/>
                <w:lang w:val="el-GR"/>
              </w:rPr>
              <w:t>Ο παρών Νόμος θα αναφέρεται ως ο περί</w:t>
            </w:r>
            <w:r w:rsidR="00F86F81">
              <w:rPr>
                <w:rFonts w:cs="Arial"/>
                <w:lang w:val="el-GR"/>
              </w:rPr>
              <w:t xml:space="preserve"> της</w:t>
            </w:r>
            <w:r w:rsidRPr="00F86F81">
              <w:rPr>
                <w:rFonts w:cs="Arial"/>
                <w:lang w:val="el-GR"/>
              </w:rPr>
              <w:t xml:space="preserve"> Απόσπασης Εργαζομένων στο Πλαίσιο </w:t>
            </w:r>
            <w:r w:rsidR="00F86F81">
              <w:rPr>
                <w:rFonts w:cs="Arial"/>
                <w:lang w:val="el-GR"/>
              </w:rPr>
              <w:t xml:space="preserve">της </w:t>
            </w:r>
            <w:r w:rsidRPr="00F86F81">
              <w:rPr>
                <w:rFonts w:cs="Arial"/>
                <w:lang w:val="el-GR"/>
              </w:rPr>
              <w:t>Παροχής Υπηρεσιών</w:t>
            </w:r>
            <w:r w:rsidR="00F86F81">
              <w:rPr>
                <w:rFonts w:cs="Arial"/>
                <w:lang w:val="el-GR"/>
              </w:rPr>
              <w:t xml:space="preserve"> και για </w:t>
            </w:r>
            <w:r w:rsidR="00DC284E">
              <w:rPr>
                <w:rFonts w:cs="Arial"/>
                <w:lang w:val="el-GR"/>
              </w:rPr>
              <w:t>σ</w:t>
            </w:r>
            <w:r w:rsidR="00F86F81">
              <w:rPr>
                <w:rFonts w:cs="Arial"/>
                <w:lang w:val="el-GR"/>
              </w:rPr>
              <w:t xml:space="preserve">υναφή </w:t>
            </w:r>
            <w:r w:rsidR="00DC284E">
              <w:rPr>
                <w:rFonts w:cs="Arial"/>
                <w:lang w:val="el-GR"/>
              </w:rPr>
              <w:t>θ</w:t>
            </w:r>
            <w:r w:rsidR="00F86F81">
              <w:rPr>
                <w:rFonts w:cs="Arial"/>
                <w:lang w:val="el-GR"/>
              </w:rPr>
              <w:t>έματα</w:t>
            </w:r>
            <w:r w:rsidRPr="00F86F81">
              <w:rPr>
                <w:rFonts w:cs="Arial"/>
                <w:lang w:val="el-GR"/>
              </w:rPr>
              <w:t xml:space="preserve"> (Τροποποιητικός) Νόμος του 2022 και θα διαβάζεται μαζί με το</w:t>
            </w:r>
            <w:r w:rsidR="00F86F81">
              <w:rPr>
                <w:rFonts w:cs="Arial"/>
                <w:lang w:val="el-GR"/>
              </w:rPr>
              <w:t>υς</w:t>
            </w:r>
            <w:r w:rsidRPr="00F86F81">
              <w:rPr>
                <w:rFonts w:cs="Arial"/>
                <w:lang w:val="el-GR"/>
              </w:rPr>
              <w:t xml:space="preserve"> περί </w:t>
            </w:r>
            <w:r w:rsidR="00F86F81">
              <w:rPr>
                <w:rFonts w:cs="Arial"/>
                <w:lang w:val="el-GR"/>
              </w:rPr>
              <w:t xml:space="preserve">της </w:t>
            </w:r>
            <w:r w:rsidRPr="00F86F81">
              <w:rPr>
                <w:rFonts w:cs="Arial"/>
                <w:lang w:val="el-GR"/>
              </w:rPr>
              <w:t xml:space="preserve">Απόσπασης Εργαζομένων στο Πλαίσιο </w:t>
            </w:r>
            <w:r w:rsidR="00F86F81">
              <w:rPr>
                <w:rFonts w:cs="Arial"/>
                <w:lang w:val="el-GR"/>
              </w:rPr>
              <w:t xml:space="preserve">της </w:t>
            </w:r>
            <w:r w:rsidRPr="00F86F81">
              <w:rPr>
                <w:rFonts w:cs="Arial"/>
                <w:lang w:val="el-GR"/>
              </w:rPr>
              <w:t>Παροχής Υπηρεσιών και για συναφή θέματα Νόμους του 2017 και 2020 (που στο εξής θα αναφέρ</w:t>
            </w:r>
            <w:r w:rsidR="00F86F81">
              <w:rPr>
                <w:rFonts w:cs="Arial"/>
                <w:lang w:val="el-GR"/>
              </w:rPr>
              <w:t>ον</w:t>
            </w:r>
            <w:r w:rsidRPr="00F86F81">
              <w:rPr>
                <w:rFonts w:cs="Arial"/>
                <w:lang w:val="el-GR"/>
              </w:rPr>
              <w:t xml:space="preserve">ται ως </w:t>
            </w:r>
            <w:r w:rsidR="00F86F81" w:rsidRPr="00F86F81">
              <w:rPr>
                <w:rFonts w:cs="Arial"/>
                <w:lang w:val="el-GR"/>
              </w:rPr>
              <w:t>«</w:t>
            </w:r>
            <w:r w:rsidRPr="00F86F81">
              <w:rPr>
                <w:rFonts w:cs="Arial"/>
                <w:lang w:val="el-GR"/>
              </w:rPr>
              <w:t xml:space="preserve">ο βασικός νόμος») και ο βασικός νόμος και ο παρών Νόμος θα αναφέρονται μαζί ως οι περί </w:t>
            </w:r>
            <w:r w:rsidR="00F86F81">
              <w:rPr>
                <w:rFonts w:cs="Arial"/>
                <w:lang w:val="el-GR"/>
              </w:rPr>
              <w:t xml:space="preserve">της </w:t>
            </w:r>
            <w:r w:rsidRPr="00F86F81">
              <w:rPr>
                <w:rFonts w:cs="Arial"/>
                <w:lang w:val="el-GR"/>
              </w:rPr>
              <w:t>Απόσπασης Εργαζομένων στο Πλαίσιο</w:t>
            </w:r>
            <w:r w:rsidR="00F86F81">
              <w:rPr>
                <w:rFonts w:cs="Arial"/>
                <w:lang w:val="el-GR"/>
              </w:rPr>
              <w:t xml:space="preserve"> της</w:t>
            </w:r>
            <w:r w:rsidRPr="00F86F81">
              <w:rPr>
                <w:rFonts w:cs="Arial"/>
                <w:lang w:val="el-GR"/>
              </w:rPr>
              <w:t xml:space="preserve"> Παροχής Υπηρεσιών </w:t>
            </w:r>
            <w:r w:rsidR="00F86F81">
              <w:rPr>
                <w:rFonts w:cs="Arial"/>
                <w:lang w:val="el-GR"/>
              </w:rPr>
              <w:t xml:space="preserve">και για συναφή θέματα </w:t>
            </w:r>
            <w:r w:rsidRPr="00F86F81">
              <w:rPr>
                <w:rFonts w:cs="Arial"/>
                <w:lang w:val="el-GR"/>
              </w:rPr>
              <w:t xml:space="preserve">Νόμοι του 2017 </w:t>
            </w:r>
            <w:r w:rsidR="00F86F81">
              <w:rPr>
                <w:rFonts w:cs="Arial"/>
                <w:lang w:val="el-GR"/>
              </w:rPr>
              <w:t>έως</w:t>
            </w:r>
            <w:r w:rsidRPr="00F86F81">
              <w:rPr>
                <w:rFonts w:cs="Arial"/>
                <w:lang w:val="el-GR"/>
              </w:rPr>
              <w:t xml:space="preserve"> 2022.</w:t>
            </w:r>
          </w:p>
        </w:tc>
      </w:tr>
      <w:tr w:rsidR="001375D3" w:rsidRPr="00DC284E" w14:paraId="081725C4" w14:textId="77777777" w:rsidTr="007726B3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679BE0A" w14:textId="77777777" w:rsidR="001375D3" w:rsidRPr="00AB6156" w:rsidRDefault="001375D3" w:rsidP="00320632">
            <w:pPr>
              <w:pStyle w:val="BodyText"/>
              <w:spacing w:after="0" w:line="360" w:lineRule="auto"/>
              <w:rPr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77C56B5" w14:textId="77777777" w:rsidR="001375D3" w:rsidRDefault="001375D3" w:rsidP="001375D3">
            <w:pPr>
              <w:ind w:firstLine="720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1375D3" w:rsidRPr="00DC284E" w14:paraId="68217FD7" w14:textId="77777777" w:rsidTr="007726B3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10BF93D" w14:textId="008A4DBE" w:rsidR="001375D3" w:rsidRPr="00AB6156" w:rsidRDefault="001375D3" w:rsidP="00E1773B">
            <w:pPr>
              <w:spacing w:line="360" w:lineRule="auto"/>
              <w:rPr>
                <w:rFonts w:cs="Arial"/>
                <w:lang w:val="el-GR"/>
              </w:rPr>
            </w:pPr>
            <w:r w:rsidRPr="00AB6156">
              <w:rPr>
                <w:rFonts w:cs="Arial"/>
                <w:lang w:val="el-GR"/>
              </w:rPr>
              <w:t xml:space="preserve">Τροποποίηση του άρθρου 11 του βασικού νόμου.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3658164" w14:textId="1F404B02" w:rsidR="001375D3" w:rsidRPr="00E1773B" w:rsidRDefault="001375D3" w:rsidP="00E1773B">
            <w:pPr>
              <w:pStyle w:val="ListParagraph"/>
              <w:numPr>
                <w:ilvl w:val="0"/>
                <w:numId w:val="2"/>
              </w:numPr>
              <w:tabs>
                <w:tab w:val="left" w:pos="397"/>
              </w:tabs>
              <w:spacing w:line="360" w:lineRule="auto"/>
              <w:ind w:left="0" w:firstLine="0"/>
              <w:jc w:val="both"/>
              <w:rPr>
                <w:rFonts w:cs="Arial"/>
                <w:lang w:val="el-GR"/>
              </w:rPr>
            </w:pPr>
            <w:r w:rsidRPr="00E1773B">
              <w:rPr>
                <w:rFonts w:cs="Arial"/>
                <w:lang w:val="el-GR"/>
              </w:rPr>
              <w:t>Το άρθρο 11 του βασικού νόμου τροποποιείται με την αντικατάσταση της παραγράφου (β) του εδαφίου (1)</w:t>
            </w:r>
            <w:r w:rsidR="00E1773B">
              <w:rPr>
                <w:rFonts w:cs="Arial"/>
                <w:lang w:val="el-GR"/>
              </w:rPr>
              <w:t xml:space="preserve"> αυτού</w:t>
            </w:r>
            <w:r w:rsidRPr="00E1773B">
              <w:rPr>
                <w:rFonts w:cs="Arial"/>
                <w:lang w:val="el-GR"/>
              </w:rPr>
              <w:t xml:space="preserve"> με την ακόλουθη παράγραφο:</w:t>
            </w:r>
          </w:p>
        </w:tc>
      </w:tr>
      <w:tr w:rsidR="001375D3" w:rsidRPr="00DC284E" w14:paraId="100DB88C" w14:textId="77777777" w:rsidTr="007726B3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83242E1" w14:textId="77777777" w:rsidR="001375D3" w:rsidRPr="00AB6156" w:rsidRDefault="001375D3" w:rsidP="00320632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B3CA187" w14:textId="77777777" w:rsidR="001375D3" w:rsidRDefault="001375D3" w:rsidP="001375D3">
            <w:pPr>
              <w:jc w:val="both"/>
              <w:rPr>
                <w:rFonts w:cs="Arial"/>
                <w:lang w:val="el-GR"/>
              </w:rPr>
            </w:pPr>
          </w:p>
        </w:tc>
      </w:tr>
      <w:tr w:rsidR="001375D3" w:rsidRPr="00DC284E" w14:paraId="29C7B7AF" w14:textId="77777777" w:rsidTr="007726B3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96D9A1D" w14:textId="77777777" w:rsidR="001375D3" w:rsidRPr="00AB6156" w:rsidRDefault="001375D3" w:rsidP="00320632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CBE40C5" w14:textId="115F84C6" w:rsidR="001375D3" w:rsidRDefault="00E1773B" w:rsidP="00E1773B">
            <w:pPr>
              <w:tabs>
                <w:tab w:val="left" w:pos="320"/>
                <w:tab w:val="left" w:pos="887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  <w:r w:rsidR="00881CB6">
              <w:rPr>
                <w:rFonts w:cs="Arial"/>
                <w:lang w:val="el-GR"/>
              </w:rPr>
              <w:t>«(β)</w:t>
            </w:r>
            <w:r>
              <w:rPr>
                <w:rFonts w:cs="Arial"/>
                <w:lang w:val="el-GR"/>
              </w:rPr>
              <w:tab/>
            </w:r>
            <w:r w:rsidR="001375D3">
              <w:rPr>
                <w:rFonts w:cs="Arial"/>
                <w:lang w:val="el-GR"/>
              </w:rPr>
              <w:t xml:space="preserve">κατάσταση των αποσπασμένων, στην οποία καταγράφονται το όνομα, το επίθετο, ο αριθμός </w:t>
            </w:r>
            <w:r w:rsidR="000A297C">
              <w:rPr>
                <w:rFonts w:cs="Arial"/>
                <w:lang w:val="el-GR"/>
              </w:rPr>
              <w:t>και η χώρα έκδοσης της ταυτότητας ή/και του διαβατηρίου,</w:t>
            </w:r>
            <w:r w:rsidR="001375D3">
              <w:rPr>
                <w:rFonts w:cs="Arial"/>
                <w:lang w:val="el-GR"/>
              </w:rPr>
              <w:t xml:space="preserve"> η ημερομηνία γέννησης και το φύλο</w:t>
            </w:r>
            <w:r w:rsidR="000A297C">
              <w:rPr>
                <w:rFonts w:cs="Arial"/>
                <w:lang w:val="el-GR"/>
              </w:rPr>
              <w:t xml:space="preserve"> εκάστου εξ αυτών</w:t>
            </w:r>
            <w:r w:rsidR="001375D3">
              <w:rPr>
                <w:rFonts w:cs="Arial"/>
                <w:lang w:val="el-GR"/>
              </w:rPr>
              <w:t>.».</w:t>
            </w:r>
          </w:p>
        </w:tc>
      </w:tr>
    </w:tbl>
    <w:p w14:paraId="34582BB1" w14:textId="187564F1" w:rsidR="000A297C" w:rsidRDefault="000A297C" w:rsidP="000A297C">
      <w:pPr>
        <w:spacing w:line="360" w:lineRule="auto"/>
        <w:rPr>
          <w:sz w:val="20"/>
          <w:szCs w:val="20"/>
          <w:lang w:val="el-GR"/>
        </w:rPr>
      </w:pPr>
      <w:proofErr w:type="spellStart"/>
      <w:r>
        <w:rPr>
          <w:sz w:val="20"/>
          <w:szCs w:val="20"/>
          <w:lang w:val="el-GR"/>
        </w:rPr>
        <w:t>Αρ</w:t>
      </w:r>
      <w:proofErr w:type="spellEnd"/>
      <w:r>
        <w:rPr>
          <w:sz w:val="20"/>
          <w:szCs w:val="20"/>
          <w:lang w:val="el-GR"/>
        </w:rPr>
        <w:t xml:space="preserve">. </w:t>
      </w:r>
      <w:proofErr w:type="spellStart"/>
      <w:r>
        <w:rPr>
          <w:sz w:val="20"/>
          <w:szCs w:val="20"/>
          <w:lang w:val="el-GR"/>
        </w:rPr>
        <w:t>Φακ</w:t>
      </w:r>
      <w:proofErr w:type="spellEnd"/>
      <w:r>
        <w:rPr>
          <w:sz w:val="20"/>
          <w:szCs w:val="20"/>
          <w:lang w:val="el-GR"/>
        </w:rPr>
        <w:t>.: 23.01.063.131-2022</w:t>
      </w:r>
    </w:p>
    <w:p w14:paraId="13881D0F" w14:textId="2C926CDC" w:rsidR="000A297C" w:rsidRPr="000A297C" w:rsidRDefault="000A297C" w:rsidP="000A297C">
      <w:pPr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ΧΚ/ΧΧ</w:t>
      </w:r>
    </w:p>
    <w:sectPr w:rsidR="000A297C" w:rsidRPr="000A297C" w:rsidSect="005850F4">
      <w:pgSz w:w="11906" w:h="16838"/>
      <w:pgMar w:top="1021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A9E"/>
    <w:multiLevelType w:val="hybridMultilevel"/>
    <w:tmpl w:val="026C2BEE"/>
    <w:lvl w:ilvl="0" w:tplc="17D2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309"/>
    <w:multiLevelType w:val="hybridMultilevel"/>
    <w:tmpl w:val="223A74C2"/>
    <w:lvl w:ilvl="0" w:tplc="395E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14268">
    <w:abstractNumId w:val="1"/>
  </w:num>
  <w:num w:numId="2" w16cid:durableId="95861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C7"/>
    <w:rsid w:val="00054D7E"/>
    <w:rsid w:val="000A297C"/>
    <w:rsid w:val="001343A1"/>
    <w:rsid w:val="001375D3"/>
    <w:rsid w:val="001855E6"/>
    <w:rsid w:val="003460C7"/>
    <w:rsid w:val="005850F4"/>
    <w:rsid w:val="005B30FC"/>
    <w:rsid w:val="006F3AB4"/>
    <w:rsid w:val="007726B3"/>
    <w:rsid w:val="00881CB6"/>
    <w:rsid w:val="00941AFF"/>
    <w:rsid w:val="0096757C"/>
    <w:rsid w:val="00AA0CBB"/>
    <w:rsid w:val="00AB6156"/>
    <w:rsid w:val="00D32B70"/>
    <w:rsid w:val="00DC284E"/>
    <w:rsid w:val="00E1773B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EE1A"/>
  <w15:chartTrackingRefBased/>
  <w15:docId w15:val="{E56C0150-023E-43A4-BC3E-1F7A12CF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5D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375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375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75D3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7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8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Stylianou</dc:creator>
  <cp:keywords/>
  <dc:description/>
  <cp:lastModifiedBy>MANTOVANI</cp:lastModifiedBy>
  <cp:revision>2</cp:revision>
  <cp:lastPrinted>2022-04-15T11:00:00Z</cp:lastPrinted>
  <dcterms:created xsi:type="dcterms:W3CDTF">2022-10-05T05:32:00Z</dcterms:created>
  <dcterms:modified xsi:type="dcterms:W3CDTF">2022-10-05T05:32:00Z</dcterms:modified>
</cp:coreProperties>
</file>