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7628" w14:textId="0CBD06EB" w:rsidR="004324A8" w:rsidRPr="00C32206" w:rsidRDefault="004324A8" w:rsidP="00A06BB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32206">
        <w:rPr>
          <w:rFonts w:ascii="Arial" w:eastAsia="SimSun" w:hAnsi="Arial" w:cs="Arial"/>
          <w:sz w:val="24"/>
          <w:szCs w:val="24"/>
          <w:lang w:eastAsia="zh-CN"/>
        </w:rPr>
        <w:t>ΝΟΜΟΣ ΠΟΥ ΤΡΟΠΟΠΟΙΕΙ ΤΟΥΣ ΠΕΡΙ ΦΟΡΟΛΟΓΙΑΣ ΤΟΥ ΕΙΣΟΔΗΜΑΤΟΣ</w:t>
      </w:r>
    </w:p>
    <w:p w14:paraId="3C53DC22" w14:textId="6EB1DC66" w:rsidR="00D14B49" w:rsidRDefault="004324A8" w:rsidP="00A06BB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C32206">
        <w:rPr>
          <w:rFonts w:ascii="Arial" w:eastAsia="SimSun" w:hAnsi="Arial" w:cs="Arial"/>
          <w:sz w:val="24"/>
          <w:szCs w:val="24"/>
          <w:lang w:eastAsia="zh-CN"/>
        </w:rPr>
        <w:t xml:space="preserve">ΝΟΜΟΥΣ ΤΟΥ 2002 </w:t>
      </w:r>
      <w:r w:rsidR="0072689D" w:rsidRPr="00C32206">
        <w:rPr>
          <w:rFonts w:ascii="Arial" w:eastAsia="SimSun" w:hAnsi="Arial" w:cs="Arial"/>
          <w:sz w:val="24"/>
          <w:szCs w:val="24"/>
          <w:lang w:eastAsia="zh-CN"/>
        </w:rPr>
        <w:t xml:space="preserve">ΕΩΣ </w:t>
      </w:r>
      <w:r w:rsidR="00D15DE2" w:rsidRPr="00C32206">
        <w:rPr>
          <w:rFonts w:ascii="Arial" w:eastAsia="SimSun" w:hAnsi="Arial" w:cs="Arial"/>
          <w:sz w:val="24"/>
          <w:szCs w:val="24"/>
          <w:lang w:eastAsia="zh-CN"/>
        </w:rPr>
        <w:t>(ΑΡ.</w:t>
      </w:r>
      <w:r w:rsidR="0072689D" w:rsidRPr="00C32206">
        <w:rPr>
          <w:rFonts w:ascii="Arial" w:eastAsia="SimSun" w:hAnsi="Arial" w:cs="Arial"/>
          <w:sz w:val="24"/>
          <w:szCs w:val="24"/>
          <w:lang w:eastAsia="zh-CN"/>
        </w:rPr>
        <w:t xml:space="preserve"> 6</w:t>
      </w:r>
      <w:r w:rsidR="00D15DE2" w:rsidRPr="00C32206">
        <w:rPr>
          <w:rFonts w:ascii="Arial" w:eastAsia="SimSun" w:hAnsi="Arial" w:cs="Arial"/>
          <w:sz w:val="24"/>
          <w:szCs w:val="24"/>
          <w:lang w:eastAsia="zh-CN"/>
        </w:rPr>
        <w:t>)</w:t>
      </w:r>
      <w:r w:rsidRPr="00C32206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72689D" w:rsidRPr="00C32206">
        <w:rPr>
          <w:rFonts w:ascii="Arial" w:eastAsia="SimSun" w:hAnsi="Arial" w:cs="Arial"/>
          <w:sz w:val="24"/>
          <w:szCs w:val="24"/>
          <w:lang w:eastAsia="zh-CN"/>
        </w:rPr>
        <w:t xml:space="preserve">ΤΟΥ </w:t>
      </w:r>
      <w:r w:rsidRPr="00C32206">
        <w:rPr>
          <w:rFonts w:ascii="Arial" w:eastAsia="SimSun" w:hAnsi="Arial" w:cs="Arial"/>
          <w:sz w:val="24"/>
          <w:szCs w:val="24"/>
          <w:lang w:eastAsia="zh-CN"/>
        </w:rPr>
        <w:t>2022</w:t>
      </w:r>
    </w:p>
    <w:p w14:paraId="38612380" w14:textId="77777777" w:rsidR="00BC5BB8" w:rsidRPr="00C32206" w:rsidRDefault="00BC5BB8" w:rsidP="00A06BB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1211"/>
        <w:gridCol w:w="742"/>
        <w:gridCol w:w="292"/>
        <w:gridCol w:w="781"/>
        <w:gridCol w:w="4485"/>
        <w:gridCol w:w="15"/>
      </w:tblGrid>
      <w:tr w:rsidR="00BC5BB8" w14:paraId="08B9D252" w14:textId="77777777" w:rsidTr="00805778">
        <w:trPr>
          <w:gridAfter w:val="1"/>
          <w:wAfter w:w="15" w:type="dxa"/>
        </w:trPr>
        <w:tc>
          <w:tcPr>
            <w:tcW w:w="2112" w:type="dxa"/>
          </w:tcPr>
          <w:p w14:paraId="770690F2" w14:textId="77777777" w:rsidR="00BC5BB8" w:rsidRDefault="00BC5BB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11" w:type="dxa"/>
            <w:gridSpan w:val="5"/>
          </w:tcPr>
          <w:p w14:paraId="51F39577" w14:textId="1FC19329" w:rsidR="00BC5BB8" w:rsidRDefault="00A06BB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  <w:r w:rsidR="00E6481D" w:rsidRPr="00C32206">
              <w:rPr>
                <w:rFonts w:ascii="Arial" w:eastAsia="SimSun" w:hAnsi="Arial" w:cs="Arial"/>
                <w:sz w:val="24"/>
                <w:szCs w:val="24"/>
                <w:lang w:eastAsia="zh-CN"/>
              </w:rPr>
              <w:t>Η Βουλή των Αντιπροσώπων ψηφίζει ως ακολούθως:</w:t>
            </w:r>
          </w:p>
        </w:tc>
      </w:tr>
      <w:tr w:rsidR="00E6481D" w14:paraId="0BD35F27" w14:textId="77777777" w:rsidTr="00805778">
        <w:trPr>
          <w:gridAfter w:val="1"/>
          <w:wAfter w:w="15" w:type="dxa"/>
        </w:trPr>
        <w:tc>
          <w:tcPr>
            <w:tcW w:w="2112" w:type="dxa"/>
          </w:tcPr>
          <w:p w14:paraId="4690A128" w14:textId="77777777" w:rsidR="00E6481D" w:rsidRDefault="00E6481D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511" w:type="dxa"/>
            <w:gridSpan w:val="5"/>
          </w:tcPr>
          <w:p w14:paraId="35835EAA" w14:textId="77777777" w:rsidR="00E6481D" w:rsidRDefault="00E6481D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4324A8" w:rsidRPr="00C32206" w14:paraId="1BBCD53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3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7B7393B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1B1B53B1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τίτλος.</w:t>
            </w:r>
          </w:p>
          <w:p w14:paraId="02667D2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118(I) του 2002</w:t>
            </w:r>
          </w:p>
          <w:p w14:paraId="30DCF2F4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230(Ι) του 2002</w:t>
            </w:r>
          </w:p>
          <w:p w14:paraId="276138AF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162(Ι) του 2003</w:t>
            </w:r>
          </w:p>
          <w:p w14:paraId="57C86B56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195(Ι) του 2004</w:t>
            </w:r>
          </w:p>
          <w:p w14:paraId="3ECAB34F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92(Ι) του 2005</w:t>
            </w:r>
          </w:p>
          <w:p w14:paraId="014DBB37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113(Ι) του 2006</w:t>
            </w:r>
          </w:p>
          <w:p w14:paraId="1E13D478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80(Ι) του 2007</w:t>
            </w:r>
          </w:p>
          <w:p w14:paraId="79CACED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138(Ι) του 2007</w:t>
            </w:r>
          </w:p>
          <w:p w14:paraId="746F06BB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32(I) του 2009</w:t>
            </w:r>
          </w:p>
          <w:p w14:paraId="626221B4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45(Ι) του 2009</w:t>
            </w:r>
          </w:p>
          <w:p w14:paraId="69B3D446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74(Ι) του 2009</w:t>
            </w:r>
          </w:p>
          <w:p w14:paraId="32E3721F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110(Ι) του 2009</w:t>
            </w:r>
          </w:p>
          <w:p w14:paraId="5A9DF04B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41(Ι) του 2010</w:t>
            </w:r>
          </w:p>
          <w:p w14:paraId="78184FB3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133(Ι) του 2010</w:t>
            </w:r>
          </w:p>
          <w:p w14:paraId="57B679CA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116(Ι) του 2011</w:t>
            </w:r>
          </w:p>
          <w:p w14:paraId="0E6B2CA7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197(Ι) του 2011</w:t>
            </w:r>
          </w:p>
          <w:p w14:paraId="409CB638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102(Ι) του 2012</w:t>
            </w:r>
          </w:p>
          <w:p w14:paraId="57075AFC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188(Ι) του 2012</w:t>
            </w:r>
          </w:p>
          <w:p w14:paraId="503A4AD1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19(Ι) του 2013</w:t>
            </w:r>
          </w:p>
          <w:p w14:paraId="67550286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26(Ι) του 2013</w:t>
            </w:r>
          </w:p>
          <w:p w14:paraId="434EBD46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27(Ι) του 2013</w:t>
            </w:r>
          </w:p>
          <w:p w14:paraId="3EC0042A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17(Ι) του 2014</w:t>
            </w:r>
          </w:p>
          <w:p w14:paraId="676CA203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115(Ι) του 2014</w:t>
            </w:r>
          </w:p>
          <w:p w14:paraId="4D90365D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134(Ι) του 2014</w:t>
            </w:r>
          </w:p>
          <w:p w14:paraId="30826F7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170(Ι) του 2014</w:t>
            </w:r>
          </w:p>
          <w:p w14:paraId="16FC0938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116(Ι) του 2015</w:t>
            </w:r>
          </w:p>
          <w:p w14:paraId="5DFA7804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187(Ι) του 2015</w:t>
            </w:r>
          </w:p>
          <w:p w14:paraId="6CDB2703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212(Ι) του 2015</w:t>
            </w:r>
          </w:p>
          <w:p w14:paraId="2E749E1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lastRenderedPageBreak/>
              <w:t xml:space="preserve">110(I) του 2016 </w:t>
            </w:r>
          </w:p>
          <w:p w14:paraId="4AE0D54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135(I) του 2016 </w:t>
            </w:r>
          </w:p>
          <w:p w14:paraId="2E63F717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119(I) του 2017 </w:t>
            </w:r>
          </w:p>
          <w:p w14:paraId="4C0AFA75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134(I) του 2017 </w:t>
            </w:r>
          </w:p>
          <w:p w14:paraId="5C3730D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165(I) του 2017 </w:t>
            </w:r>
          </w:p>
          <w:p w14:paraId="4C58CBB8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51(I) του 2018</w:t>
            </w:r>
          </w:p>
          <w:p w14:paraId="058C2D1C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 96(I) του 2018 </w:t>
            </w:r>
          </w:p>
          <w:p w14:paraId="6DAB47C9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122(I) του 2018 </w:t>
            </w:r>
          </w:p>
          <w:p w14:paraId="5EEDE83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139(I) του 2018</w:t>
            </w:r>
          </w:p>
          <w:p w14:paraId="67F1C1D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27(I) του 2019 </w:t>
            </w:r>
          </w:p>
          <w:p w14:paraId="40A75D95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28(I) του 2019 </w:t>
            </w:r>
          </w:p>
          <w:p w14:paraId="6FBDE13C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63(I) του 2019 </w:t>
            </w:r>
          </w:p>
          <w:p w14:paraId="6276BF45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151(I) του 2019 </w:t>
            </w:r>
          </w:p>
          <w:p w14:paraId="0094994E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152(I) του 2019 </w:t>
            </w:r>
          </w:p>
          <w:p w14:paraId="5FC9F3A4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173(I) του 2019</w:t>
            </w:r>
          </w:p>
          <w:p w14:paraId="6194BE28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45(Ι) του 2020</w:t>
            </w:r>
          </w:p>
          <w:p w14:paraId="224FF93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58(I) του 2020 </w:t>
            </w:r>
          </w:p>
          <w:p w14:paraId="7117C5E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  66(I) του 2020 </w:t>
            </w:r>
          </w:p>
          <w:p w14:paraId="380F5D52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80(I) του 2020 </w:t>
            </w:r>
          </w:p>
          <w:p w14:paraId="407BF41F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95(I) του 2020</w:t>
            </w:r>
          </w:p>
          <w:p w14:paraId="6E51213A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151(I) του 2020 </w:t>
            </w:r>
          </w:p>
          <w:p w14:paraId="3974915A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179(I) του 2020 </w:t>
            </w:r>
          </w:p>
          <w:p w14:paraId="47F8F719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 180(I) του 2020</w:t>
            </w:r>
          </w:p>
          <w:p w14:paraId="352C45E9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31(I) του 2021</w:t>
            </w:r>
          </w:p>
          <w:p w14:paraId="7E82CE96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178(I) του 2021 </w:t>
            </w:r>
          </w:p>
          <w:p w14:paraId="7B3C539D" w14:textId="77777777" w:rsidR="004324A8" w:rsidRPr="00C32206" w:rsidRDefault="004324A8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193(I) του 2021</w:t>
            </w:r>
          </w:p>
          <w:p w14:paraId="1B513430" w14:textId="3E8D08A8" w:rsidR="004324A8" w:rsidRPr="00C32206" w:rsidRDefault="00010D32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31(I) του 2022</w:t>
            </w:r>
          </w:p>
          <w:p w14:paraId="024FC094" w14:textId="77777777" w:rsidR="00B9079F" w:rsidRPr="00C32206" w:rsidRDefault="00802811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77(Ι) του 2022</w:t>
            </w:r>
          </w:p>
          <w:p w14:paraId="2398A44D" w14:textId="77777777" w:rsidR="00B9079F" w:rsidRPr="00C32206" w:rsidRDefault="00B9079F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89(Ι) του 2022</w:t>
            </w:r>
          </w:p>
          <w:p w14:paraId="101B63B7" w14:textId="77777777" w:rsidR="00B9079F" w:rsidRPr="00C32206" w:rsidRDefault="00B9079F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101(Ι) του 2022</w:t>
            </w:r>
          </w:p>
          <w:p w14:paraId="603D8B89" w14:textId="77777777" w:rsidR="00B9079F" w:rsidRPr="00C32206" w:rsidRDefault="00B9079F" w:rsidP="00B3191C">
            <w:pPr>
              <w:tabs>
                <w:tab w:val="left" w:pos="284"/>
                <w:tab w:val="left" w:pos="567"/>
              </w:tabs>
              <w:spacing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...(Ι) του 2022</w:t>
            </w:r>
          </w:p>
          <w:p w14:paraId="154BCAA4" w14:textId="74E1EAC7" w:rsidR="004324A8" w:rsidRPr="00C32206" w:rsidRDefault="00B9079F" w:rsidP="00B3191C">
            <w:pPr>
              <w:tabs>
                <w:tab w:val="left" w:pos="284"/>
                <w:tab w:val="left" w:pos="567"/>
              </w:tabs>
              <w:spacing w:line="360" w:lineRule="auto"/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...(Ι) του 2022</w:t>
            </w:r>
            <w:r w:rsidR="00802811" w:rsidRPr="00C32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39215" w14:textId="4C704C79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A06BB8">
              <w:rPr>
                <w:rFonts w:ascii="Arial" w:hAnsi="Arial" w:cs="Arial"/>
                <w:sz w:val="24"/>
                <w:szCs w:val="24"/>
              </w:rPr>
              <w:tab/>
            </w:r>
            <w:r w:rsidR="00A06BB8">
              <w:rPr>
                <w:rFonts w:ascii="Arial" w:hAnsi="Arial" w:cs="Arial"/>
                <w:sz w:val="24"/>
                <w:szCs w:val="24"/>
              </w:rPr>
              <w:tab/>
            </w:r>
            <w:r w:rsidRPr="00C32206">
              <w:rPr>
                <w:rFonts w:ascii="Arial" w:hAnsi="Arial" w:cs="Arial"/>
                <w:sz w:val="24"/>
                <w:szCs w:val="24"/>
              </w:rPr>
              <w:t>Ο παρών Νόμος θα αναφέρεται ως ο περί Φορολογίας του Εισοδήματος (Τροποποιητικός) (</w:t>
            </w:r>
            <w:proofErr w:type="spellStart"/>
            <w:r w:rsidRPr="00C32206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Pr="00C322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7938" w:rsidRPr="00C32206">
              <w:rPr>
                <w:rFonts w:ascii="Arial" w:hAnsi="Arial" w:cs="Arial"/>
                <w:sz w:val="24"/>
                <w:szCs w:val="24"/>
              </w:rPr>
              <w:t>7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) Νόμος του 2022 και θα διαβάζεται μαζί με τους περί Φορολογίας του Εισοδήματος Νόμους του 2002 </w:t>
            </w:r>
            <w:r w:rsidR="009B7938" w:rsidRPr="00C32206">
              <w:rPr>
                <w:rFonts w:ascii="Arial" w:hAnsi="Arial" w:cs="Arial"/>
                <w:sz w:val="24"/>
                <w:szCs w:val="24"/>
              </w:rPr>
              <w:t>έως (</w:t>
            </w:r>
            <w:proofErr w:type="spellStart"/>
            <w:r w:rsidR="009B7938" w:rsidRPr="00C32206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9B7938" w:rsidRPr="00C32206">
              <w:rPr>
                <w:rFonts w:ascii="Arial" w:hAnsi="Arial" w:cs="Arial"/>
                <w:sz w:val="24"/>
                <w:szCs w:val="24"/>
              </w:rPr>
              <w:t xml:space="preserve">. 6) του 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2022 (που στο εξής θα αναφέρονται ως «ο βασικός νόμος») και ο βασικός νόμος και ο παρών </w:t>
            </w:r>
            <w:r w:rsidR="0029220B">
              <w:rPr>
                <w:rFonts w:ascii="Arial" w:hAnsi="Arial" w:cs="Arial"/>
                <w:sz w:val="24"/>
                <w:szCs w:val="24"/>
              </w:rPr>
              <w:t>Ν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όμος θα αναφέρονται μαζί ως </w:t>
            </w:r>
            <w:r w:rsidR="00B73D99">
              <w:rPr>
                <w:rFonts w:ascii="Arial" w:hAnsi="Arial" w:cs="Arial"/>
                <w:sz w:val="24"/>
                <w:szCs w:val="24"/>
              </w:rPr>
              <w:t>οι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 περί Φορολογίας του Εισοδήματος Νόμο</w:t>
            </w:r>
            <w:r w:rsidR="00E30668" w:rsidRPr="00C32206">
              <w:rPr>
                <w:rFonts w:ascii="Arial" w:hAnsi="Arial" w:cs="Arial"/>
                <w:sz w:val="24"/>
                <w:szCs w:val="24"/>
              </w:rPr>
              <w:t>ι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 του 2002 </w:t>
            </w:r>
            <w:r w:rsidR="009B7938" w:rsidRPr="00C32206">
              <w:rPr>
                <w:rFonts w:ascii="Arial" w:hAnsi="Arial" w:cs="Arial"/>
                <w:sz w:val="24"/>
                <w:szCs w:val="24"/>
              </w:rPr>
              <w:t>έως</w:t>
            </w:r>
            <w:r w:rsidR="008003B8" w:rsidRPr="00C3220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8003B8" w:rsidRPr="00C32206">
              <w:rPr>
                <w:rFonts w:ascii="Arial" w:hAnsi="Arial" w:cs="Arial"/>
                <w:sz w:val="24"/>
                <w:szCs w:val="24"/>
              </w:rPr>
              <w:t>Αρ</w:t>
            </w:r>
            <w:proofErr w:type="spellEnd"/>
            <w:r w:rsidR="008003B8" w:rsidRPr="00C3220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7938" w:rsidRPr="00C32206">
              <w:rPr>
                <w:rFonts w:ascii="Arial" w:hAnsi="Arial" w:cs="Arial"/>
                <w:sz w:val="24"/>
                <w:szCs w:val="24"/>
              </w:rPr>
              <w:t>7</w:t>
            </w:r>
            <w:r w:rsidR="008003B8" w:rsidRPr="00C32206">
              <w:rPr>
                <w:rFonts w:ascii="Arial" w:hAnsi="Arial" w:cs="Arial"/>
                <w:sz w:val="24"/>
                <w:szCs w:val="24"/>
              </w:rPr>
              <w:t>)</w:t>
            </w:r>
            <w:r w:rsidRPr="00C32206">
              <w:rPr>
                <w:rFonts w:ascii="Arial" w:hAnsi="Arial" w:cs="Arial"/>
                <w:sz w:val="24"/>
                <w:szCs w:val="24"/>
              </w:rPr>
              <w:t xml:space="preserve"> του 2022.</w:t>
            </w:r>
          </w:p>
          <w:p w14:paraId="52582CD5" w14:textId="0E11FBD7" w:rsidR="007E0351" w:rsidRPr="00C32206" w:rsidRDefault="007E0351" w:rsidP="00A06BB8">
            <w:pPr>
              <w:tabs>
                <w:tab w:val="left" w:pos="284"/>
                <w:tab w:val="left" w:pos="567"/>
              </w:tabs>
              <w:spacing w:line="36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F72046" w14:textId="3D9E0DF9" w:rsidR="007E0351" w:rsidRPr="00C32206" w:rsidRDefault="007E0351" w:rsidP="00A06BB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738ADC8D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6E21" w:rsidRPr="00C32206" w14:paraId="25742E47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4092EA6" w14:textId="77777777" w:rsidR="00BF6E21" w:rsidRPr="00C32206" w:rsidRDefault="00BF6E21" w:rsidP="00A06BB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4F6F77" w14:textId="77777777" w:rsidR="00BF6E21" w:rsidRPr="00C32206" w:rsidRDefault="00BF6E21" w:rsidP="00A06BB8">
            <w:pPr>
              <w:pStyle w:val="ListParagraph"/>
              <w:tabs>
                <w:tab w:val="clear" w:pos="4961"/>
                <w:tab w:val="left" w:pos="284"/>
              </w:tabs>
              <w:spacing w:line="360" w:lineRule="auto"/>
              <w:ind w:left="0"/>
              <w:contextualSpacing w:val="0"/>
              <w:rPr>
                <w:rFonts w:cs="Arial"/>
                <w:bCs/>
                <w:lang w:val="el-GR"/>
              </w:rPr>
            </w:pPr>
          </w:p>
        </w:tc>
      </w:tr>
      <w:tr w:rsidR="004324A8" w:rsidRPr="00C32206" w14:paraId="1EFBCFF5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DE730C0" w14:textId="77777777" w:rsidR="00E050C4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Τροποποίηση</w:t>
            </w:r>
          </w:p>
          <w:p w14:paraId="61EB5834" w14:textId="17FFC1FC" w:rsidR="00E050C4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του άρθρου 9</w:t>
            </w:r>
            <w:r w:rsidR="00E050C4" w:rsidRPr="00C32206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</w:p>
          <w:p w14:paraId="23EC34F1" w14:textId="5F579E6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lastRenderedPageBreak/>
              <w:t>του</w:t>
            </w:r>
            <w:r w:rsidR="00E050C4" w:rsidRPr="00C322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206">
              <w:rPr>
                <w:rFonts w:ascii="Arial" w:hAnsi="Arial" w:cs="Arial"/>
                <w:sz w:val="24"/>
                <w:szCs w:val="24"/>
              </w:rPr>
              <w:t>βασικού νόμου.</w:t>
            </w: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B7BDDE" w14:textId="5303346F" w:rsidR="004324A8" w:rsidRPr="00C32206" w:rsidRDefault="004324A8" w:rsidP="00B3191C">
            <w:pPr>
              <w:pStyle w:val="ListParagraph"/>
              <w:tabs>
                <w:tab w:val="clear" w:pos="4961"/>
                <w:tab w:val="left" w:pos="284"/>
              </w:tabs>
              <w:spacing w:line="360" w:lineRule="auto"/>
              <w:ind w:left="0"/>
              <w:contextualSpacing w:val="0"/>
              <w:rPr>
                <w:rFonts w:cs="Arial"/>
                <w:bCs/>
                <w:lang w:val="el-GR"/>
              </w:rPr>
            </w:pPr>
            <w:r w:rsidRPr="00C32206">
              <w:rPr>
                <w:rFonts w:cs="Arial"/>
                <w:bCs/>
                <w:lang w:val="el-GR"/>
              </w:rPr>
              <w:lastRenderedPageBreak/>
              <w:t>2.</w:t>
            </w:r>
            <w:r w:rsidR="00B3191C">
              <w:rPr>
                <w:rFonts w:cs="Arial"/>
                <w:bCs/>
                <w:lang w:val="el-GR"/>
              </w:rPr>
              <w:tab/>
            </w:r>
            <w:r w:rsidR="00B3191C">
              <w:rPr>
                <w:rFonts w:cs="Arial"/>
                <w:bCs/>
                <w:lang w:val="el-GR"/>
              </w:rPr>
              <w:tab/>
            </w:r>
            <w:r w:rsidRPr="00C32206">
              <w:rPr>
                <w:rFonts w:cs="Arial"/>
                <w:bCs/>
                <w:lang w:val="el-GR"/>
              </w:rPr>
              <w:t xml:space="preserve">Το </w:t>
            </w:r>
            <w:r w:rsidR="00B9079F" w:rsidRPr="00C32206">
              <w:rPr>
                <w:rFonts w:cs="Arial"/>
                <w:bCs/>
                <w:lang w:val="el-GR"/>
              </w:rPr>
              <w:t xml:space="preserve">εδάφιο (1) του </w:t>
            </w:r>
            <w:r w:rsidRPr="00C32206">
              <w:rPr>
                <w:rFonts w:cs="Arial"/>
                <w:bCs/>
                <w:lang w:val="el-GR"/>
              </w:rPr>
              <w:t>άρθρο</w:t>
            </w:r>
            <w:r w:rsidR="00B9079F" w:rsidRPr="00C32206">
              <w:rPr>
                <w:rFonts w:cs="Arial"/>
                <w:bCs/>
                <w:lang w:val="el-GR"/>
              </w:rPr>
              <w:t>υ</w:t>
            </w:r>
            <w:r w:rsidRPr="00C32206">
              <w:rPr>
                <w:rFonts w:cs="Arial"/>
                <w:bCs/>
                <w:lang w:val="el-GR"/>
              </w:rPr>
              <w:t xml:space="preserve"> 9Α του βασικού νόμου τροποποιείται ως ακολούθως:</w:t>
            </w:r>
          </w:p>
        </w:tc>
      </w:tr>
      <w:tr w:rsidR="004324A8" w:rsidRPr="00C32206" w14:paraId="0C448773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D65A978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02334AB" w14:textId="7BF1229F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F7864" w:rsidRPr="00C32206">
              <w:rPr>
                <w:rFonts w:ascii="Arial" w:hAnsi="Arial" w:cs="Arial"/>
                <w:sz w:val="24"/>
                <w:szCs w:val="24"/>
              </w:rPr>
              <w:t>(α)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A82FF4" w14:textId="22E99BEF" w:rsidR="004324A8" w:rsidRPr="00C32206" w:rsidRDefault="005F7864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</w:t>
            </w:r>
            <w:r w:rsidR="004324A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 τη διαγραφή</w:t>
            </w:r>
            <w:r w:rsidR="00347BC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της λέξης «φυσικό» (</w:t>
            </w:r>
            <w:r w:rsidR="00347BC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πρώτη γραμμή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)·</w:t>
            </w:r>
            <w:r w:rsidR="00347BC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324A8" w:rsidRPr="00C32206" w14:paraId="12674820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C0D068B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AC0CC13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1DCFB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7D4AF7B4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F46BD48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7D83BD5" w14:textId="204A1166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F7864" w:rsidRPr="00C32206">
              <w:rPr>
                <w:rFonts w:ascii="Arial" w:hAnsi="Arial" w:cs="Arial"/>
                <w:sz w:val="24"/>
                <w:szCs w:val="24"/>
              </w:rPr>
              <w:t>(β)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B8647" w14:textId="5787B62B" w:rsidR="004324A8" w:rsidRPr="00C32206" w:rsidRDefault="005F7864" w:rsidP="00CE0CE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με</w:t>
            </w:r>
            <w:r w:rsidR="004324A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την προσθήκη</w:t>
            </w:r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, </w:t>
            </w:r>
            <w:r w:rsidR="007F2D0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αμέσως μετά την </w:t>
            </w:r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παράγραφο (</w:t>
            </w:r>
            <w:proofErr w:type="spellStart"/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</w:t>
            </w:r>
            <w:proofErr w:type="spellEnd"/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της </w:t>
            </w:r>
            <w:r w:rsidR="007F2D0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επιφύλαξη</w:t>
            </w:r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ς αυτού, </w:t>
            </w:r>
            <w:r w:rsidR="007F2D0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της ακόλουθης</w:t>
            </w:r>
            <w:r w:rsidR="007C0AC6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νέας παραγράφου</w:t>
            </w:r>
            <w:r w:rsidR="0020404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CE0CEC" w:rsidRPr="00C32206" w14:paraId="480D1267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BA66ED5" w14:textId="77777777" w:rsidR="00CE0CEC" w:rsidRPr="00C32206" w:rsidRDefault="00CE0CEC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AF6B6B9" w14:textId="77777777" w:rsidR="00CE0CEC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CCACC6" w14:textId="77777777" w:rsidR="00CE0CEC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E050C4" w:rsidRPr="00C32206" w14:paraId="20AF127C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E92D221" w14:textId="77777777" w:rsidR="00E050C4" w:rsidRPr="00C32206" w:rsidRDefault="00E050C4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19433E0" w14:textId="77777777" w:rsidR="00E050C4" w:rsidRPr="00C32206" w:rsidRDefault="00E050C4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96E3D3" w14:textId="446291BF" w:rsidR="00E050C4" w:rsidRPr="00C32206" w:rsidRDefault="007C0AC6" w:rsidP="00CE7937">
            <w:pPr>
              <w:tabs>
                <w:tab w:val="left" w:pos="284"/>
                <w:tab w:val="left" w:pos="627"/>
              </w:tabs>
              <w:spacing w:line="360" w:lineRule="auto"/>
              <w:ind w:left="627" w:hanging="627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«(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</w:t>
            </w:r>
            <w:r w:rsidR="00CE793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στην περίπτωση επενδυτή νομικού προσώπου, το οποίο είναι ανεξάρτητος επενδυτής εκπίπτει το </w:t>
            </w:r>
            <w:r w:rsidR="0055276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τριάντα τοις εκατό 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30%</w:t>
            </w:r>
            <w:r w:rsidR="0055276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των δαπανών που διενεργούνται είτε απευθείας, είτε μέσω επενδυτικού ταμείου, είτε μέσω εναλλακτικής πλατφόρμας διαπραγμάτευσης και μόνο για επενδύσεις ιδίων κεφαλαίων</w:t>
            </w:r>
            <w:r w:rsidR="00CE793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»</w:t>
            </w:r>
            <w:r w:rsidR="00CE793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</w:p>
        </w:tc>
      </w:tr>
      <w:tr w:rsidR="00CE0CEC" w:rsidRPr="00C32206" w14:paraId="48B9D2A6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49017A7" w14:textId="77777777" w:rsidR="00CE0CEC" w:rsidRPr="00C32206" w:rsidRDefault="00CE0CEC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6E820FC" w14:textId="77777777" w:rsidR="00CE0CEC" w:rsidRPr="00C32206" w:rsidRDefault="00CE0CEC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4629AE" w14:textId="77777777" w:rsidR="00CE0CEC" w:rsidRPr="00C32206" w:rsidRDefault="00CE0CEC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1B608323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00DB126" w14:textId="0B8424F2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851C2EA" w14:textId="546ACC70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52764" w:rsidRPr="00C32206">
              <w:rPr>
                <w:rFonts w:ascii="Arial" w:hAnsi="Arial" w:cs="Arial"/>
                <w:sz w:val="24"/>
                <w:szCs w:val="24"/>
              </w:rPr>
              <w:t>(γ)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F691F" w14:textId="2B1EFD2D" w:rsidR="004324A8" w:rsidRPr="00C32206" w:rsidRDefault="007F2D0A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με </w:t>
            </w:r>
            <w:r w:rsidR="00BF6E2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την </w:t>
            </w:r>
            <w:proofErr w:type="spellStart"/>
            <w:r w:rsidR="00BF6E2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ανα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ρίθμηση</w:t>
            </w:r>
            <w:proofErr w:type="spellEnd"/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των υφιστάμενων </w:t>
            </w:r>
            <w:r w:rsidR="0055276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παραγράφων 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iv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 και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</w:t>
            </w:r>
            <w:r w:rsidR="0055276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της επιφύλαξης αυτού,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55276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σε παραγράφους</w:t>
            </w:r>
            <w:r w:rsidR="0049768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iv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),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vii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 και (</w:t>
            </w:r>
            <w:r w:rsidR="00E050C4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viii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  <w:r w:rsidR="0049768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αντίστοιχα</w:t>
            </w:r>
            <w:r w:rsidR="0049768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</w:p>
        </w:tc>
      </w:tr>
      <w:tr w:rsidR="00E050C4" w:rsidRPr="00C32206" w14:paraId="3D01E462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856ECF9" w14:textId="77777777" w:rsidR="00E050C4" w:rsidRPr="00C32206" w:rsidRDefault="00E050C4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9CDF6DB" w14:textId="77777777" w:rsidR="00E050C4" w:rsidRPr="00C32206" w:rsidRDefault="00E050C4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8406B4" w14:textId="77777777" w:rsidR="00E050C4" w:rsidRPr="00C32206" w:rsidRDefault="00E050C4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780E9390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0938405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63C9766" w14:textId="313E7D82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497685" w:rsidRPr="00C32206">
              <w:rPr>
                <w:rFonts w:ascii="Arial" w:hAnsi="Arial" w:cs="Arial"/>
                <w:sz w:val="24"/>
                <w:szCs w:val="24"/>
              </w:rPr>
              <w:t>(δ)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88E6E4" w14:textId="6BA4C5FA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με την προσθήκη </w:t>
            </w:r>
            <w:r w:rsidR="00347BC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στο τέλος της παραγράφου (v) της επιφύλαξης </w:t>
            </w:r>
            <w:r w:rsidR="00E917B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αυτού, ως έχει αναριθμηθεί σύμφωνα με τα πιο πάνω, 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της φράσης «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όπως ορίζεται σ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το άρθρο 33 του παρόντος Νόμου»</w:t>
            </w:r>
            <w:r w:rsidR="00E917B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324A8" w:rsidRPr="00C32206" w14:paraId="6033C583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23FFA3D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B6FEAF9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96331E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195769B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D2D1499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57BFB8A" w14:textId="4E27CD7D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917BA" w:rsidRPr="00C32206">
              <w:rPr>
                <w:rFonts w:ascii="Arial" w:hAnsi="Arial" w:cs="Arial"/>
                <w:sz w:val="24"/>
                <w:szCs w:val="24"/>
              </w:rPr>
              <w:t>(ε)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C8FDB" w14:textId="66983430" w:rsidR="00E3066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με την προσθήκη</w:t>
            </w:r>
            <w:r w:rsidR="00E917B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αμέσως μετά την </w:t>
            </w:r>
            <w:r w:rsidR="00E917B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παράγραφο 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viii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), </w:t>
            </w:r>
            <w:r w:rsidR="005C4F2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ως έχει αναριθμηθεί σύμφωνα με τα πιο πάνω, </w:t>
            </w:r>
            <w:r w:rsidR="006F0E4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των ακόλουθων νέων </w:t>
            </w:r>
            <w:r w:rsidR="005C4F2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παραγράφων: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428D5" w:rsidRPr="00C32206" w14:paraId="11BC49A9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563620A" w14:textId="77777777" w:rsidR="000428D5" w:rsidRPr="00C32206" w:rsidRDefault="000428D5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0B4D2BA" w14:textId="77777777" w:rsidR="000428D5" w:rsidRPr="00C32206" w:rsidRDefault="000428D5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051325" w14:textId="77777777" w:rsidR="000428D5" w:rsidRPr="00C32206" w:rsidRDefault="000428D5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2C9CB467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97FC725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607ABF9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2F5D433A" w14:textId="79843376" w:rsidR="004324A8" w:rsidRPr="00C32206" w:rsidRDefault="005D3922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«(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ix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8E4C2" w14:textId="428F0AA1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οι χρηματοπιστωτικοί διαμεσολαβητές και οι διαχειριστές του</w:t>
            </w:r>
            <w:r w:rsidR="0032409E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ς μπορούν να επωφεληθούν από τη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φορολογικ</w:t>
            </w:r>
            <w:r w:rsidR="0032409E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ή έκπτωση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μόνον </w:t>
            </w:r>
            <w:r w:rsidR="0032409E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εάν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ενεργούν ως 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συνεπενδυτές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ή από κοινού δανειοδότες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, νοούμενου ότι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δεν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χορηγ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είται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9B74F9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καμία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φορολογικ</w:t>
            </w:r>
            <w:r w:rsidR="009B74F9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ή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9B74F9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έκπτωση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σε σχέση με τις υπηρεσίες που παρέχονται από τον ενδιάμεσο χρηματοπιστωτικό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οργανισμό ή τους διαχειριστές του για την εφαρμογή του μέτρου</w:t>
            </w:r>
            <w:r w:rsidR="009B74F9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 όπως καθορίζεται στην παράγραφο 90 των Κατευθυντήρων Γραμμών Χρηματοδότης Επιχειρηματικού Κινδύνου (ΚΓΧΕΚ)</w:t>
            </w:r>
            <w:r w:rsidR="00226D6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4324A8" w:rsidRPr="00C32206" w14:paraId="31AEC715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7954798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4E88C46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485A5583" w14:textId="5853F2C1" w:rsidR="004324A8" w:rsidRPr="00C32206" w:rsidRDefault="005D3922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(x)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8F54A3" w14:textId="6B3BD680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σε περίπτωση εταιρικού επενδυτή οι επιλέξιμες μετοχές πρέπει να 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είναι συνήθεις πλήρους κινδύνου (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ordinary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shares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και να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διατηρούνται στην κατοχή του επενδυτή για τουλάχιστον </w:t>
            </w:r>
            <w:r w:rsidR="005C4F2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τρία 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3</w:t>
            </w:r>
            <w:r w:rsidR="005C4F2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  <w:r w:rsidR="00DB52BF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έτη, όπως καθορίζετ</w:t>
            </w:r>
            <w:r w:rsidR="0090793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αι στην παράγραφο 152 των ΚΓΧΕΚ</w:t>
            </w:r>
            <w:r w:rsidR="00226D6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</w:p>
        </w:tc>
      </w:tr>
      <w:tr w:rsidR="004324A8" w:rsidRPr="00C32206" w14:paraId="1CC17041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5DA746D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8B15AA2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6EEB4F1" w14:textId="23816203" w:rsidR="004324A8" w:rsidRPr="00C32206" w:rsidRDefault="00226D67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xi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A07550" w14:textId="0861E9AD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η έκπτωση δε</w:t>
            </w:r>
            <w:r w:rsidR="005C4F2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ν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μπορεί να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χρησιμοποιηθεί για υποστήριξη εξαγορών επιλέξιμης επιχείρησης, ούτε για υποστήριξη εξαγωγικών δραστηριοτήτων προς τρίτες χώρες ή 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άλλα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κράτη μέλη </w:t>
            </w:r>
            <w:r w:rsidR="000C207C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ούτε δύναται να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χρησιμοποιηθεί από επιλέξιμη επιχείρηση για εισαγωγή αγαθών, όπως καθορίζεται στις παραγράφους 27 μέχρι 29 των </w:t>
            </w:r>
            <w:r w:rsidR="00B463A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ΚΓΧΕΚ.</w:t>
            </w:r>
            <w:r w:rsidR="00C60270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»</w:t>
            </w:r>
            <w:r w:rsidR="00226D6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·</w:t>
            </w:r>
          </w:p>
        </w:tc>
      </w:tr>
      <w:tr w:rsidR="004324A8" w:rsidRPr="00C32206" w14:paraId="48BCEA74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3FC408F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F458AB6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14:paraId="69E73D02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1C6E36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2DEEFEFB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27B4001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D53345E" w14:textId="5B9958A4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5C4F24" w:rsidRPr="00C32206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C4F24" w:rsidRPr="00C32206">
              <w:rPr>
                <w:rFonts w:ascii="Arial" w:hAnsi="Arial" w:cs="Arial"/>
                <w:sz w:val="24"/>
                <w:szCs w:val="24"/>
              </w:rPr>
              <w:t>στ</w:t>
            </w:r>
            <w:proofErr w:type="spellEnd"/>
            <w:r w:rsidR="005C4F24" w:rsidRPr="00C3220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0CB100" w14:textId="4F0E8BA2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με</w:t>
            </w:r>
            <w:r w:rsidR="00B463A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την προσθήκη</w:t>
            </w:r>
            <w:r w:rsidR="0090793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στο τέλος της </w:t>
            </w:r>
            <w:r w:rsidR="00B463A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7F2D0A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επιφύλαξης της παραγράφου (β)</w:t>
            </w:r>
            <w:r w:rsidR="0090793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31490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του ορισμού </w:t>
            </w:r>
            <w:r w:rsidR="009E5FFD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του όρου </w:t>
            </w:r>
            <w:r w:rsidR="0031490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«καινοτόμος μικρή και μεσαία επιχείρηση (ΜΜΕ)», </w:t>
            </w:r>
            <w:r w:rsidR="009E5FFD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αμέσως </w:t>
            </w:r>
            <w:r w:rsidR="00B463A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μετά τη λέξη «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="00441D6B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και</w:t>
            </w:r>
            <w:r w:rsidR="00B463A4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»</w:t>
            </w:r>
            <w:r w:rsidR="00907931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(</w:t>
            </w:r>
            <w:r w:rsidR="0031490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όγδοη γραμμή), </w:t>
            </w:r>
            <w:r w:rsidR="0099274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της ακόλουθης φράσης</w:t>
            </w:r>
            <w:r w:rsidR="00C60270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: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E5FFD" w:rsidRPr="00C32206" w14:paraId="5E241B63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B6529C9" w14:textId="77777777" w:rsidR="009E5FFD" w:rsidRPr="00C32206" w:rsidRDefault="009E5FFD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300FA1B" w14:textId="77777777" w:rsidR="009E5FFD" w:rsidRPr="00C32206" w:rsidRDefault="009E5FFD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87C1D6" w14:textId="77777777" w:rsidR="009E5FFD" w:rsidRPr="00C32206" w:rsidRDefault="009E5FFD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0153F4EC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4B89C94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795BB8D9" w14:textId="77777777" w:rsidR="004324A8" w:rsidRPr="00C32206" w:rsidRDefault="004324A8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CF49ED" w14:textId="7CEA8954" w:rsidR="004324A8" w:rsidRPr="00C32206" w:rsidRDefault="009E5FFD" w:rsidP="00931A67">
            <w:pPr>
              <w:tabs>
                <w:tab w:val="left" w:pos="284"/>
                <w:tab w:val="left" w:pos="567"/>
              </w:tabs>
              <w:spacing w:line="360" w:lineRule="auto"/>
              <w:ind w:left="750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«η επιχείρηση που λαμβάνει επενδύσεις επί συνεχόμενης βάσης δεν έχει συνδεθεί, κατά την έννοια του άρθρου 3 παράγραφος 3 του Παραρτήματος Ι του Κανονισμού (ΕΕ) αριθ. 651/2014, με άλλη επιχείρηση εκτός από τον ενδιάμεσο χρηματοπιστωτικό οργανισμό ή τον ανεξάρτητο ιδιώτη επενδυτή που παρέχει κεφάλαια χρηματοδότησης επιχειρηματικού κινδύνου στο πλαίσιο του μέτρου, εάν η νέα οντότητα πληροί τις προϋποθέσεις του ορισμού των ΜΜΕ, και»·</w:t>
            </w:r>
          </w:p>
        </w:tc>
      </w:tr>
      <w:tr w:rsidR="003A437B" w:rsidRPr="00C32206" w14:paraId="5A694E00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2EFBFA5" w14:textId="77777777" w:rsidR="003A437B" w:rsidRPr="00C32206" w:rsidRDefault="003A437B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0297FAD5" w14:textId="77777777" w:rsidR="003A437B" w:rsidRPr="00C32206" w:rsidRDefault="003A437B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E6159" w14:textId="77777777" w:rsidR="003A437B" w:rsidRPr="00C32206" w:rsidRDefault="003A437B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60E484FE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CE7C3D3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2503113" w14:textId="505B3EDE" w:rsidR="004324A8" w:rsidRPr="00C32206" w:rsidRDefault="00CE0CEC" w:rsidP="00CE0CEC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E5FFD" w:rsidRPr="00C32206">
              <w:rPr>
                <w:rFonts w:ascii="Arial" w:hAnsi="Arial" w:cs="Arial"/>
                <w:sz w:val="24"/>
                <w:szCs w:val="24"/>
              </w:rPr>
              <w:t>(ζ)</w:t>
            </w:r>
          </w:p>
        </w:tc>
        <w:tc>
          <w:tcPr>
            <w:tcW w:w="6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A24959" w14:textId="48BF7DA0" w:rsidR="00992745" w:rsidRPr="00C32206" w:rsidRDefault="00C60270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με την αντικατάσταση </w:t>
            </w:r>
            <w:r w:rsidR="003A437B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από </w:t>
            </w:r>
            <w:r w:rsidR="00DA6F47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την παράγραφο (γ) του ορισμού </w:t>
            </w:r>
            <w:r w:rsidR="003A437B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του όρου </w:t>
            </w:r>
            <w:r w:rsidR="0031490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«καινοτόμος μικρή και μεσαία επιχείρηση (ΜΜΕ)» </w:t>
            </w:r>
            <w:r w:rsidR="00DA6F47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της φράσης «η οποία έχει εγκριθεί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με</w:t>
            </w:r>
            <w:r w:rsidR="00DA6F47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την εξής διαδικασία</w:t>
            </w:r>
            <w:r w:rsidR="00CC1E2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DA6F47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</w:t>
            </w:r>
            <w:r w:rsidR="00CC1E2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»</w:t>
            </w:r>
            <w:r w:rsidR="001E2804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="00CC1E2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με τη φράση «η οποία έχει εγκριθεί ως τέτοια, από το Υπουργείο Οικονομικών ή άλλη αρμόδια αρχή που θα υποδείξει ο Υπουργός Οικονομικών κατόπιν αιτήσεως και αξιολόγησης ως ακολούθως:»</w:t>
            </w:r>
            <w:r w:rsidR="00C11C95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και την αντικατάσταση της υποπαραγράφου (1) αυτής, με την ακόλουθη υποπαράγραφο:</w:t>
            </w:r>
          </w:p>
        </w:tc>
      </w:tr>
      <w:tr w:rsidR="004324A8" w:rsidRPr="00C32206" w14:paraId="0019ED3C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9CEDDD0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02050B9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5B316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1F1E6" w14:textId="4C04BEB9" w:rsidR="00992745" w:rsidRPr="00C32206" w:rsidRDefault="00992745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5B62C7" w:rsidRPr="00C32206" w14:paraId="0A92A4CB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D187F1E" w14:textId="77777777" w:rsidR="005B62C7" w:rsidRPr="00C32206" w:rsidRDefault="005B62C7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FD18C39" w14:textId="77777777" w:rsidR="005B62C7" w:rsidRPr="00C32206" w:rsidRDefault="005B62C7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D36F5" w14:textId="2E638690" w:rsidR="005B62C7" w:rsidRPr="00C32206" w:rsidRDefault="00480DFB" w:rsidP="00365079">
            <w:pPr>
              <w:tabs>
                <w:tab w:val="left" w:pos="442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«(1)(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21D16" w14:textId="0A203CF1" w:rsidR="005B62C7" w:rsidRPr="00C32206" w:rsidRDefault="00895E03" w:rsidP="003E7F76">
            <w:pPr>
              <w:tabs>
                <w:tab w:val="left" w:pos="284"/>
                <w:tab w:val="left" w:pos="567"/>
                <w:tab w:val="left" w:pos="1788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Κατηγορία Α:</w:t>
            </w:r>
            <w:r w:rsidR="00DF3BA7" w:rsidRPr="00DF3BA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Υφιστάμενες επιχειρήσεις με οικονομικό ιστορικό:</w:t>
            </w:r>
          </w:p>
        </w:tc>
      </w:tr>
      <w:tr w:rsidR="0032575D" w:rsidRPr="00C32206" w14:paraId="0FA6C999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042CED7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E05E459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606CC" w14:textId="77777777" w:rsidR="0032575D" w:rsidRPr="00C32206" w:rsidRDefault="0032575D" w:rsidP="0032575D">
            <w:pPr>
              <w:tabs>
                <w:tab w:val="left" w:pos="442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0F7920" w14:textId="77777777" w:rsidR="0032575D" w:rsidRPr="00C32206" w:rsidRDefault="0032575D" w:rsidP="0032575D">
            <w:pPr>
              <w:tabs>
                <w:tab w:val="left" w:pos="284"/>
                <w:tab w:val="left" w:pos="567"/>
                <w:tab w:val="left" w:pos="1788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4324A8" w:rsidRPr="00C32206" w14:paraId="392A0C58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DAEC0D4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4288166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8FB67" w14:textId="77777777" w:rsidR="004324A8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B59A0" w14:textId="29407741" w:rsidR="00C55384" w:rsidRPr="00C32206" w:rsidRDefault="004324A8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Η επιχείρηση υποβάλλει </w:t>
            </w:r>
            <w:r w:rsidR="00757D32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πιστοποιητικό/</w:t>
            </w:r>
            <w:r w:rsidR="00DF3BA7" w:rsidRPr="00DF3BA7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757D32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βεβαίωση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από </w:t>
            </w:r>
            <w:r w:rsidR="00757D32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εγκεκριμένο ε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λεγκτή, στην οποία πιστοποιείται ότι οι δαπάνες έρευνας και ανάπτυξης</w:t>
            </w:r>
            <w:r w:rsidR="00757D32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,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="00757D32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όπως αναγνωρίζονται με βάση τα διεθνή λογιστικά πρότυπα,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αντιπροσωπεύουν τουλάχιστον το</w:t>
            </w:r>
            <w:r w:rsidR="00895E03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δέκα τοις εκατό 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10%</w:t>
            </w:r>
            <w:r w:rsidR="00895E03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του συνόλου των λειτουργικών της δαπανών</w:t>
            </w:r>
            <w:r w:rsidR="00895E03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:</w:t>
            </w:r>
          </w:p>
        </w:tc>
      </w:tr>
      <w:tr w:rsidR="00895E03" w:rsidRPr="00C32206" w14:paraId="19BC1BC2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8694FA4" w14:textId="77777777" w:rsidR="00895E03" w:rsidRPr="00C32206" w:rsidRDefault="00895E03" w:rsidP="005D2324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B211CBF" w14:textId="77777777" w:rsidR="00895E03" w:rsidRPr="00C32206" w:rsidRDefault="00895E03" w:rsidP="005D2324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8A0E2" w14:textId="77777777" w:rsidR="00895E03" w:rsidRPr="00C32206" w:rsidRDefault="00895E03" w:rsidP="005D2324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20BB3F" w14:textId="77777777" w:rsidR="00895E03" w:rsidRPr="00C32206" w:rsidRDefault="00895E03" w:rsidP="005D2324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C55384" w:rsidRPr="00C32206" w14:paraId="45C36F6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D284ECF" w14:textId="77777777" w:rsidR="00C55384" w:rsidRPr="00C32206" w:rsidRDefault="00C55384" w:rsidP="00A06BB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E640F93" w14:textId="77777777" w:rsidR="00C55384" w:rsidRPr="00C32206" w:rsidRDefault="00C55384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652F8" w14:textId="77777777" w:rsidR="00C55384" w:rsidRPr="00C32206" w:rsidRDefault="00C55384" w:rsidP="00A06BB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9C265" w14:textId="1200B31D" w:rsidR="00C55384" w:rsidRPr="00C32206" w:rsidRDefault="00895E03" w:rsidP="00AC7875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   </w:t>
            </w:r>
            <w:r w:rsidR="00AC787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Νοείται ότι, το πιστοποιητικό/βεβαίωση συνάδει με τις ελεγμένες οικονομικές καταστάσεις της επιχείρησης, οι οποίες αποδεικνύουν τις δαπάνες για έρευνα και ανάπτυξη σε ένα (1) τουλάχιστον από τα τρία (3) προηγούμενα φορολογικά έτη.</w:t>
            </w:r>
          </w:p>
        </w:tc>
      </w:tr>
      <w:tr w:rsidR="00805778" w:rsidRPr="00C32206" w14:paraId="2DF05B56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ECA0826" w14:textId="77777777" w:rsidR="00805778" w:rsidRPr="00C32206" w:rsidRDefault="00805778" w:rsidP="0032537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7A78182" w14:textId="77777777" w:rsidR="00805778" w:rsidRPr="00C32206" w:rsidRDefault="00805778" w:rsidP="0032537F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01AB0" w14:textId="77777777" w:rsidR="00805778" w:rsidRPr="00C32206" w:rsidRDefault="00805778" w:rsidP="0032537F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CB032" w14:textId="77777777" w:rsidR="00805778" w:rsidRPr="00C32206" w:rsidRDefault="00805778" w:rsidP="0032537F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2537F" w:rsidRPr="00C32206" w14:paraId="23A6A52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9C0B6E1" w14:textId="77777777" w:rsidR="0032537F" w:rsidRPr="00C32206" w:rsidRDefault="0032537F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134D75E" w14:textId="77777777" w:rsidR="0032537F" w:rsidRPr="00C32206" w:rsidRDefault="0032537F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6EDC5" w14:textId="2CC4DE1D" w:rsidR="0032537F" w:rsidRDefault="0032537F" w:rsidP="00365079">
            <w:pPr>
              <w:tabs>
                <w:tab w:val="left" w:pos="442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 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4C5004" w14:textId="4D49FA5E" w:rsidR="0032537F" w:rsidRPr="00C32206" w:rsidRDefault="0032537F" w:rsidP="0032537F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Κατηγορία Β: </w:t>
            </w:r>
            <w:r w:rsidRPr="00805778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Επιχειρήσεις σε φάση εκκίνησης, χωρίς οικονομικό ιστορικό:</w:t>
            </w:r>
          </w:p>
        </w:tc>
      </w:tr>
      <w:tr w:rsidR="0032575D" w:rsidRPr="00C32206" w14:paraId="5D49AE00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940A25F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FA1FC6B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D498C" w14:textId="77777777" w:rsidR="0032575D" w:rsidRDefault="0032575D" w:rsidP="0032575D">
            <w:pPr>
              <w:tabs>
                <w:tab w:val="left" w:pos="442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B4DF0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805778" w:rsidRPr="00C32206" w14:paraId="3795E7F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0B331AE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585D866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B8205" w14:textId="7E93C1B1" w:rsidR="00805778" w:rsidRPr="00C32206" w:rsidRDefault="00365079" w:rsidP="00365079">
            <w:pPr>
              <w:tabs>
                <w:tab w:val="left" w:pos="442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="00805778"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7BFCE" w14:textId="2BCCAE99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Η επιχείρηση υποβάλλει επιχειρηματικό σχέδιο στο οποίο περιγράφεται η ικανότητα για ανάπτυξη νέων ή σαφώς βελτιωμένων προϊόντων, υπηρεσιών ή διαδικασιών με υψηλό τεχνολογικό ή βιομηχανικό ρίσκο, που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lastRenderedPageBreak/>
              <w:t>χαρακτηρίζονται ως καινοτόμα στον τομέα ή στην αγορά τους.</w:t>
            </w:r>
          </w:p>
        </w:tc>
      </w:tr>
      <w:tr w:rsidR="0032537F" w:rsidRPr="00C32206" w14:paraId="6C080049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9ABAAA8" w14:textId="77777777" w:rsidR="0032537F" w:rsidRPr="00C32206" w:rsidRDefault="0032537F" w:rsidP="0032537F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69BEB157" w14:textId="77777777" w:rsidR="0032537F" w:rsidRPr="00C32206" w:rsidRDefault="0032537F" w:rsidP="0032537F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64D4A" w14:textId="77777777" w:rsidR="0032537F" w:rsidRDefault="0032537F" w:rsidP="0032537F">
            <w:pPr>
              <w:tabs>
                <w:tab w:val="left" w:pos="442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0054C" w14:textId="77777777" w:rsidR="0032537F" w:rsidRPr="00C32206" w:rsidRDefault="0032537F" w:rsidP="0032537F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2537F" w:rsidRPr="00C32206" w14:paraId="7F7416CE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BCE6BB4" w14:textId="77777777" w:rsidR="0032537F" w:rsidRPr="00C32206" w:rsidRDefault="0032537F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906A378" w14:textId="77777777" w:rsidR="0032537F" w:rsidRPr="00C32206" w:rsidRDefault="0032537F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A0C94" w14:textId="43BA4B06" w:rsidR="0032537F" w:rsidRDefault="0032537F" w:rsidP="00365079">
            <w:pPr>
              <w:tabs>
                <w:tab w:val="left" w:pos="442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Pr="00C21D05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iii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818FBD" w14:textId="7A112264" w:rsidR="0032537F" w:rsidRPr="00C32206" w:rsidRDefault="0032537F" w:rsidP="0032537F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Κατηγορία Γ: Επιχειρήσεις που λαμβάνουν πιστοποιητικό χωρίς αξιολόγηση:</w:t>
            </w:r>
          </w:p>
        </w:tc>
      </w:tr>
      <w:tr w:rsidR="0032575D" w:rsidRPr="00C32206" w14:paraId="0B5804B5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46901F1C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206456C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0850" w14:textId="77777777" w:rsidR="0032575D" w:rsidRDefault="0032575D" w:rsidP="0032575D">
            <w:pPr>
              <w:tabs>
                <w:tab w:val="left" w:pos="442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5DB3A" w14:textId="77777777" w:rsidR="0032575D" w:rsidRPr="00C32206" w:rsidRDefault="0032575D" w:rsidP="0032575D">
            <w:pPr>
              <w:tabs>
                <w:tab w:val="left" w:pos="284"/>
                <w:tab w:val="left" w:pos="567"/>
              </w:tabs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365079" w:rsidRPr="00C32206" w14:paraId="307D37C6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82DDE15" w14:textId="77777777" w:rsidR="00365079" w:rsidRPr="00C32206" w:rsidRDefault="00365079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52ADABB0" w14:textId="77777777" w:rsidR="00365079" w:rsidRPr="00C32206" w:rsidRDefault="00365079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5387" w14:textId="503CEAC2" w:rsidR="00365079" w:rsidRPr="00C32206" w:rsidRDefault="00365079" w:rsidP="00365079">
            <w:pPr>
              <w:tabs>
                <w:tab w:val="left" w:pos="442"/>
              </w:tabs>
              <w:spacing w:line="360" w:lineRule="auto"/>
              <w:ind w:right="-40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16506" w14:textId="3381EEF2" w:rsidR="00365079" w:rsidRPr="00C32206" w:rsidRDefault="00365079" w:rsidP="00365079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Επιχειρήσεις οι οποίες πληρούν τουλάχιστον ένα από τα πιο κάτω κριτήρια, κατά τα τελευταία τρία (3) χρόνια:</w:t>
            </w:r>
          </w:p>
        </w:tc>
      </w:tr>
      <w:tr w:rsidR="00805778" w:rsidRPr="00C32206" w14:paraId="22FD619B" w14:textId="77777777" w:rsidTr="00365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95FD5C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1625BA0C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F0925" w14:textId="17E17734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5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56D43" w14:textId="12F35AB5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FB5834" w:rsidRPr="00C32206" w14:paraId="0880DCEA" w14:textId="77777777" w:rsidTr="00FB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6D964EF9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3A60943A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52F5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E46540" w14:textId="2A15944A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αα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24B55" w14:textId="7100475E" w:rsidR="00FB5834" w:rsidRPr="00C32206" w:rsidRDefault="00FB5834" w:rsidP="00FB583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Η επιχείρηση έχει εξασφαλίσει χρηματοδότηση από ένα εκ των προγραμμάτων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SME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Instrument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(Φάση Ι ή και Φάση ΙΙ),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EIC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Pathfinder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και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EIC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Accelerator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του Χρηματοδοτικού Προγράμματος της ΕΕ Ορίζοντας 2020, ή από ένα εκ των Προγραμμάτων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EIC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Pathfinder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και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EIC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Accelerator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του Χρηματοδοτικού Προγράμματος της ΕΕ Οριζόντιας Ευρώπη 2021-27.</w:t>
            </w:r>
          </w:p>
        </w:tc>
      </w:tr>
      <w:tr w:rsidR="00FB5834" w:rsidRPr="00C32206" w14:paraId="3688344E" w14:textId="77777777" w:rsidTr="00FB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27D2566D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B4A6B57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4B6FC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CEC94E0" w14:textId="26AF921A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ββ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8191D" w14:textId="19C0BB06" w:rsidR="00FB5834" w:rsidRPr="00C32206" w:rsidRDefault="00FB5834" w:rsidP="00FB583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Η επιχείρηση έχει λάβει Σφραγίδα Αριστείας (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Seal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of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Excellence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) στα προγράμματα που αναφέρονται πιο πάνω. </w:t>
            </w:r>
          </w:p>
        </w:tc>
      </w:tr>
      <w:tr w:rsidR="00FB5834" w:rsidRPr="00C32206" w14:paraId="07A02C4B" w14:textId="77777777" w:rsidTr="00FB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14FF905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4113A91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88FE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3945A94" w14:textId="015344C5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γγ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3C598" w14:textId="70B6A0EB" w:rsidR="00FB5834" w:rsidRPr="00C32206" w:rsidRDefault="00FB5834" w:rsidP="00FB583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Η επιχείρηση έχει εξασφαλίσει χρηματοδότηση από τα προγράμματα Καινοτομίας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PRE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-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SEED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,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SEED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ή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INNOVATE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ή από άλλα αντίστοιχα Προγράμματα Καινοτομίας που θα ανακοινωθούν στο πλαίσιο των Εθνικών Προγραμμάτων Πλαισίου για Έρευνα και Καινοτομία του Ιδρύματος Έρευνας και Καινοτομίας. </w:t>
            </w:r>
          </w:p>
        </w:tc>
      </w:tr>
      <w:tr w:rsidR="00FB5834" w:rsidRPr="00C32206" w14:paraId="78505016" w14:textId="77777777" w:rsidTr="00FB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13C327C1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40D8C485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FF00" w14:textId="77777777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FE974B" w14:textId="691D7D13" w:rsidR="00FB5834" w:rsidRPr="00C32206" w:rsidRDefault="00FB5834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(</w:t>
            </w:r>
            <w:proofErr w:type="spellStart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δδ</w:t>
            </w:r>
            <w:proofErr w:type="spellEnd"/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EC81F" w14:textId="487F2198" w:rsidR="00FB5834" w:rsidRPr="00C32206" w:rsidRDefault="00FB5834" w:rsidP="00FB583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Η επιχείρηση έχει εξασφαλίσει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Startup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val="en-US" w:eastAsia="zh-CN"/>
              </w:rPr>
              <w:t>Visa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.».</w:t>
            </w:r>
          </w:p>
        </w:tc>
      </w:tr>
      <w:tr w:rsidR="00791F13" w:rsidRPr="00C32206" w14:paraId="2CAC9B92" w14:textId="77777777" w:rsidTr="00FB5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5BD8CE5F" w14:textId="77777777" w:rsidR="00791F13" w:rsidRPr="00C32206" w:rsidRDefault="00791F13" w:rsidP="00805778">
            <w:pPr>
              <w:tabs>
                <w:tab w:val="left" w:pos="284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14:paraId="2771FD49" w14:textId="77777777" w:rsidR="00791F13" w:rsidRPr="00C32206" w:rsidRDefault="00791F13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AD23" w14:textId="77777777" w:rsidR="00791F13" w:rsidRPr="00C32206" w:rsidRDefault="00791F13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150CD4" w14:textId="77777777" w:rsidR="00791F13" w:rsidRPr="00C32206" w:rsidRDefault="00791F13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9F730" w14:textId="77777777" w:rsidR="00791F13" w:rsidRPr="00C32206" w:rsidRDefault="00791F13" w:rsidP="00FB5834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  <w:tr w:rsidR="00805778" w:rsidRPr="00C32206" w14:paraId="48596F2A" w14:textId="77777777" w:rsidTr="00805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34C85319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Έναρξη και </w:t>
            </w:r>
          </w:p>
          <w:p w14:paraId="576DF04C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λήξη της </w:t>
            </w:r>
          </w:p>
          <w:p w14:paraId="04DFFFD9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ισχύος του </w:t>
            </w:r>
          </w:p>
          <w:p w14:paraId="3AED540A" w14:textId="75C7965A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 xml:space="preserve">παρόντος </w:t>
            </w:r>
          </w:p>
          <w:p w14:paraId="257F8359" w14:textId="432F4D2B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32206">
              <w:rPr>
                <w:rFonts w:ascii="Arial" w:hAnsi="Arial" w:cs="Arial"/>
                <w:sz w:val="24"/>
                <w:szCs w:val="24"/>
              </w:rPr>
              <w:t>Νόμου.</w:t>
            </w: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B8FC86" w14:textId="7543414F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ind w:hanging="108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 3. </w:t>
            </w:r>
            <w:r w:rsidR="00791F13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ab/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>Ο παρών Νόμος τίθεται σε ισχύ τη 14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vertAlign w:val="superscript"/>
                <w:lang w:eastAsia="zh-CN"/>
              </w:rPr>
              <w:t>η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Φεβρουαρίου 2022  και λήγει την 31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vertAlign w:val="superscript"/>
                <w:lang w:eastAsia="zh-CN"/>
              </w:rPr>
              <w:t>η</w:t>
            </w:r>
            <w:r w:rsidRPr="00C32206"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  <w:t xml:space="preserve"> Δεκεμβρίου 2023.</w:t>
            </w:r>
          </w:p>
          <w:p w14:paraId="7DB29DB7" w14:textId="77777777" w:rsidR="00805778" w:rsidRPr="00C32206" w:rsidRDefault="00805778" w:rsidP="00805778">
            <w:pPr>
              <w:tabs>
                <w:tab w:val="left" w:pos="284"/>
                <w:tab w:val="left" w:pos="567"/>
              </w:tabs>
              <w:spacing w:line="360" w:lineRule="auto"/>
              <w:jc w:val="both"/>
              <w:rPr>
                <w:rFonts w:ascii="Arial" w:eastAsia="SimSun" w:hAnsi="Arial" w:cs="Arial"/>
                <w:bCs/>
                <w:sz w:val="24"/>
                <w:szCs w:val="24"/>
                <w:lang w:eastAsia="zh-CN"/>
              </w:rPr>
            </w:pPr>
          </w:p>
        </w:tc>
      </w:tr>
    </w:tbl>
    <w:p w14:paraId="74CF006D" w14:textId="77777777" w:rsidR="00791F13" w:rsidRDefault="00791F13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8C78D7E" w14:textId="6FA6430A" w:rsidR="00791F13" w:rsidRDefault="00791F13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866CD3E" w14:textId="6A0FFF7C" w:rsidR="00887A0F" w:rsidRDefault="00887A0F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2C92692" w14:textId="77777777" w:rsidR="00A03E8D" w:rsidRDefault="00A03E8D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E9729C9" w14:textId="553425CB" w:rsidR="00C55384" w:rsidRDefault="009555D4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32206">
        <w:rPr>
          <w:rFonts w:ascii="Arial" w:hAnsi="Arial" w:cs="Arial"/>
          <w:sz w:val="24"/>
          <w:szCs w:val="24"/>
        </w:rPr>
        <w:t>Αρ</w:t>
      </w:r>
      <w:proofErr w:type="spellEnd"/>
      <w:r w:rsidRPr="00C3220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2206">
        <w:rPr>
          <w:rFonts w:ascii="Arial" w:hAnsi="Arial" w:cs="Arial"/>
          <w:sz w:val="24"/>
          <w:szCs w:val="24"/>
        </w:rPr>
        <w:t>Φακ</w:t>
      </w:r>
      <w:proofErr w:type="spellEnd"/>
      <w:r w:rsidRPr="00C32206">
        <w:rPr>
          <w:rFonts w:ascii="Arial" w:hAnsi="Arial" w:cs="Arial"/>
          <w:sz w:val="24"/>
          <w:szCs w:val="24"/>
        </w:rPr>
        <w:t>.:  23.01.063.121-2022</w:t>
      </w:r>
    </w:p>
    <w:p w14:paraId="4C9ACF50" w14:textId="77777777" w:rsidR="00A03E8D" w:rsidRPr="00C32206" w:rsidRDefault="00A03E8D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1984794" w14:textId="2FCD66FD" w:rsidR="009555D4" w:rsidRPr="00CF1C9F" w:rsidRDefault="001F0FEA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CF1C9F">
        <w:rPr>
          <w:rFonts w:ascii="Arial" w:hAnsi="Arial" w:cs="Arial"/>
          <w:sz w:val="16"/>
          <w:szCs w:val="16"/>
          <w:lang w:val="en-US"/>
        </w:rPr>
        <w:t>K</w:t>
      </w:r>
      <w:r w:rsidRPr="00CF1C9F">
        <w:rPr>
          <w:rFonts w:ascii="Arial" w:hAnsi="Arial" w:cs="Arial"/>
          <w:sz w:val="16"/>
          <w:szCs w:val="16"/>
        </w:rPr>
        <w:t>Π/</w:t>
      </w:r>
      <w:r w:rsidR="00175388" w:rsidRPr="00CF1C9F">
        <w:rPr>
          <w:rFonts w:ascii="Arial" w:hAnsi="Arial" w:cs="Arial"/>
          <w:sz w:val="16"/>
          <w:szCs w:val="16"/>
          <w:lang w:val="en-US"/>
        </w:rPr>
        <w:t>MV</w:t>
      </w:r>
    </w:p>
    <w:p w14:paraId="3738400A" w14:textId="03FD8EB0" w:rsidR="009555D4" w:rsidRPr="00C32206" w:rsidRDefault="009555D4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1579B41" w14:textId="77777777" w:rsidR="009555D4" w:rsidRPr="00C32206" w:rsidRDefault="009555D4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A7E981F" w14:textId="77777777" w:rsidR="00A174B9" w:rsidRPr="00C32206" w:rsidRDefault="00A174B9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59EBC7F" w14:textId="77777777" w:rsidR="00A174B9" w:rsidRPr="00C32206" w:rsidRDefault="00A174B9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55B228CE" w14:textId="77777777" w:rsidR="00A174B9" w:rsidRPr="00C32206" w:rsidRDefault="00A174B9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ED44A6B" w14:textId="77777777" w:rsidR="00A174B9" w:rsidRPr="00C32206" w:rsidRDefault="00A174B9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1067415" w14:textId="7ADCB20A" w:rsidR="00A174B9" w:rsidRPr="00C32206" w:rsidRDefault="00A174B9" w:rsidP="00A06BB8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A174B9" w:rsidRPr="00C32206" w:rsidSect="00C32206">
      <w:headerReference w:type="default" r:id="rId8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455" w14:textId="77777777" w:rsidR="00CE59F7" w:rsidRDefault="00CE59F7" w:rsidP="00840999">
      <w:pPr>
        <w:spacing w:after="0" w:line="240" w:lineRule="auto"/>
      </w:pPr>
      <w:r>
        <w:separator/>
      </w:r>
    </w:p>
  </w:endnote>
  <w:endnote w:type="continuationSeparator" w:id="0">
    <w:p w14:paraId="7AE9AF03" w14:textId="77777777" w:rsidR="00CE59F7" w:rsidRDefault="00CE59F7" w:rsidP="0084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8890B" w14:textId="77777777" w:rsidR="00CE59F7" w:rsidRDefault="00CE59F7" w:rsidP="00840999">
      <w:pPr>
        <w:spacing w:after="0" w:line="240" w:lineRule="auto"/>
      </w:pPr>
      <w:r>
        <w:separator/>
      </w:r>
    </w:p>
  </w:footnote>
  <w:footnote w:type="continuationSeparator" w:id="0">
    <w:p w14:paraId="66A2F5AD" w14:textId="77777777" w:rsidR="00CE59F7" w:rsidRDefault="00CE59F7" w:rsidP="0084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1785551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AFBD3FD" w14:textId="50A3F009" w:rsidR="00840999" w:rsidRPr="005E7C00" w:rsidRDefault="00840999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5E7C00">
          <w:rPr>
            <w:rFonts w:ascii="Arial" w:hAnsi="Arial" w:cs="Arial"/>
            <w:sz w:val="24"/>
            <w:szCs w:val="24"/>
          </w:rPr>
          <w:fldChar w:fldCharType="begin"/>
        </w:r>
        <w:r w:rsidRPr="005E7C0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E7C00">
          <w:rPr>
            <w:rFonts w:ascii="Arial" w:hAnsi="Arial" w:cs="Arial"/>
            <w:sz w:val="24"/>
            <w:szCs w:val="24"/>
          </w:rPr>
          <w:fldChar w:fldCharType="separate"/>
        </w:r>
        <w:r w:rsidR="00C63774" w:rsidRPr="005E7C00">
          <w:rPr>
            <w:rFonts w:ascii="Arial" w:hAnsi="Arial" w:cs="Arial"/>
            <w:noProof/>
            <w:sz w:val="24"/>
            <w:szCs w:val="24"/>
          </w:rPr>
          <w:t>6</w:t>
        </w:r>
        <w:r w:rsidRPr="005E7C0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014BB6B0" w14:textId="77777777" w:rsidR="00840999" w:rsidRDefault="00840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B2325"/>
    <w:multiLevelType w:val="hybridMultilevel"/>
    <w:tmpl w:val="724640BC"/>
    <w:lvl w:ilvl="0" w:tplc="924ACAE2">
      <w:start w:val="1"/>
      <w:numFmt w:val="decimal"/>
      <w:lvlText w:val="%1."/>
      <w:lvlJc w:val="left"/>
      <w:pPr>
        <w:ind w:left="40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A8"/>
    <w:rsid w:val="00000C5B"/>
    <w:rsid w:val="00003C55"/>
    <w:rsid w:val="00010D32"/>
    <w:rsid w:val="00023CD1"/>
    <w:rsid w:val="00023E8F"/>
    <w:rsid w:val="000428D5"/>
    <w:rsid w:val="000633AC"/>
    <w:rsid w:val="0009280C"/>
    <w:rsid w:val="000B5471"/>
    <w:rsid w:val="000C207C"/>
    <w:rsid w:val="000C261B"/>
    <w:rsid w:val="000D4C25"/>
    <w:rsid w:val="00123882"/>
    <w:rsid w:val="00154CA4"/>
    <w:rsid w:val="00175388"/>
    <w:rsid w:val="00184B82"/>
    <w:rsid w:val="001A66DE"/>
    <w:rsid w:val="001E2804"/>
    <w:rsid w:val="001F0FEA"/>
    <w:rsid w:val="001F3249"/>
    <w:rsid w:val="00204045"/>
    <w:rsid w:val="002160AA"/>
    <w:rsid w:val="00226D67"/>
    <w:rsid w:val="002664FC"/>
    <w:rsid w:val="0029220B"/>
    <w:rsid w:val="00292588"/>
    <w:rsid w:val="002F074B"/>
    <w:rsid w:val="003006A9"/>
    <w:rsid w:val="003029F2"/>
    <w:rsid w:val="00314908"/>
    <w:rsid w:val="0032409E"/>
    <w:rsid w:val="0032537F"/>
    <w:rsid w:val="0032575D"/>
    <w:rsid w:val="00347BC1"/>
    <w:rsid w:val="00354439"/>
    <w:rsid w:val="0036157C"/>
    <w:rsid w:val="00365079"/>
    <w:rsid w:val="0037472D"/>
    <w:rsid w:val="003A437B"/>
    <w:rsid w:val="003D488A"/>
    <w:rsid w:val="003E7F76"/>
    <w:rsid w:val="004324A8"/>
    <w:rsid w:val="004353AE"/>
    <w:rsid w:val="00441D6B"/>
    <w:rsid w:val="00480DFB"/>
    <w:rsid w:val="00497685"/>
    <w:rsid w:val="004B1E71"/>
    <w:rsid w:val="004F05BD"/>
    <w:rsid w:val="00542739"/>
    <w:rsid w:val="00552764"/>
    <w:rsid w:val="00584AF1"/>
    <w:rsid w:val="00593BA5"/>
    <w:rsid w:val="005B62C7"/>
    <w:rsid w:val="005C4F24"/>
    <w:rsid w:val="005D2324"/>
    <w:rsid w:val="005D3922"/>
    <w:rsid w:val="005E6A64"/>
    <w:rsid w:val="005E7C00"/>
    <w:rsid w:val="005F7864"/>
    <w:rsid w:val="006007A4"/>
    <w:rsid w:val="00686CCE"/>
    <w:rsid w:val="006A062E"/>
    <w:rsid w:val="006C49A9"/>
    <w:rsid w:val="006F0E41"/>
    <w:rsid w:val="0072689D"/>
    <w:rsid w:val="00757D32"/>
    <w:rsid w:val="00791F13"/>
    <w:rsid w:val="00795667"/>
    <w:rsid w:val="007B3E99"/>
    <w:rsid w:val="007B651B"/>
    <w:rsid w:val="007C0AC6"/>
    <w:rsid w:val="007E0351"/>
    <w:rsid w:val="007F2D0A"/>
    <w:rsid w:val="008003B8"/>
    <w:rsid w:val="00802811"/>
    <w:rsid w:val="00805778"/>
    <w:rsid w:val="00840999"/>
    <w:rsid w:val="00856D28"/>
    <w:rsid w:val="00857864"/>
    <w:rsid w:val="00860CCF"/>
    <w:rsid w:val="00871DD5"/>
    <w:rsid w:val="00887A0F"/>
    <w:rsid w:val="00895E03"/>
    <w:rsid w:val="00896C86"/>
    <w:rsid w:val="008E6726"/>
    <w:rsid w:val="008F68FC"/>
    <w:rsid w:val="00907931"/>
    <w:rsid w:val="00931A67"/>
    <w:rsid w:val="009555D4"/>
    <w:rsid w:val="00992745"/>
    <w:rsid w:val="009A1FB2"/>
    <w:rsid w:val="009B74F9"/>
    <w:rsid w:val="009B7938"/>
    <w:rsid w:val="009B7D38"/>
    <w:rsid w:val="009E5FFD"/>
    <w:rsid w:val="00A03E8D"/>
    <w:rsid w:val="00A06BB8"/>
    <w:rsid w:val="00A174B9"/>
    <w:rsid w:val="00A26684"/>
    <w:rsid w:val="00A36C85"/>
    <w:rsid w:val="00AB1B4E"/>
    <w:rsid w:val="00AC7875"/>
    <w:rsid w:val="00AD5806"/>
    <w:rsid w:val="00B02204"/>
    <w:rsid w:val="00B0292A"/>
    <w:rsid w:val="00B159F9"/>
    <w:rsid w:val="00B3191C"/>
    <w:rsid w:val="00B463A4"/>
    <w:rsid w:val="00B55CBF"/>
    <w:rsid w:val="00B66C4B"/>
    <w:rsid w:val="00B73D99"/>
    <w:rsid w:val="00B8085E"/>
    <w:rsid w:val="00B9079F"/>
    <w:rsid w:val="00BC5BB8"/>
    <w:rsid w:val="00BF6E21"/>
    <w:rsid w:val="00C11C95"/>
    <w:rsid w:val="00C21D05"/>
    <w:rsid w:val="00C32206"/>
    <w:rsid w:val="00C5432A"/>
    <w:rsid w:val="00C55384"/>
    <w:rsid w:val="00C60270"/>
    <w:rsid w:val="00C63774"/>
    <w:rsid w:val="00C92BD6"/>
    <w:rsid w:val="00CB281A"/>
    <w:rsid w:val="00CC1E28"/>
    <w:rsid w:val="00CE0CEC"/>
    <w:rsid w:val="00CE59F7"/>
    <w:rsid w:val="00CE7937"/>
    <w:rsid w:val="00CF1C9F"/>
    <w:rsid w:val="00D03F4A"/>
    <w:rsid w:val="00D061C2"/>
    <w:rsid w:val="00D14B49"/>
    <w:rsid w:val="00D15DE2"/>
    <w:rsid w:val="00D4357F"/>
    <w:rsid w:val="00D7663F"/>
    <w:rsid w:val="00D951B4"/>
    <w:rsid w:val="00DA6F47"/>
    <w:rsid w:val="00DB52BF"/>
    <w:rsid w:val="00DF044A"/>
    <w:rsid w:val="00DF3B3C"/>
    <w:rsid w:val="00DF3BA7"/>
    <w:rsid w:val="00E050C4"/>
    <w:rsid w:val="00E16B6A"/>
    <w:rsid w:val="00E30668"/>
    <w:rsid w:val="00E634C3"/>
    <w:rsid w:val="00E6481D"/>
    <w:rsid w:val="00E917BA"/>
    <w:rsid w:val="00EB59E5"/>
    <w:rsid w:val="00EC37BB"/>
    <w:rsid w:val="00EE2469"/>
    <w:rsid w:val="00F44E15"/>
    <w:rsid w:val="00F548C4"/>
    <w:rsid w:val="00FB5834"/>
    <w:rsid w:val="00FC7C6A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398B"/>
  <w15:chartTrackingRefBased/>
  <w15:docId w15:val="{4CF8C6B6-1BF8-4C41-88DF-040F0E9C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C5B"/>
    <w:rPr>
      <w:rFonts w:ascii="Tahoma" w:hAnsi="Tahoma"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4A8"/>
    <w:pPr>
      <w:widowControl w:val="0"/>
      <w:tabs>
        <w:tab w:val="left" w:pos="567"/>
        <w:tab w:val="left" w:pos="4961"/>
      </w:tabs>
      <w:spacing w:after="0" w:line="480" w:lineRule="auto"/>
      <w:ind w:left="720"/>
      <w:contextualSpacing/>
      <w:jc w:val="both"/>
    </w:pPr>
    <w:rPr>
      <w:rFonts w:ascii="Arial" w:eastAsia="SimSun" w:hAnsi="Arial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F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F2"/>
    <w:rPr>
      <w:rFonts w:ascii="Segoe UI" w:hAnsi="Segoe UI" w:cs="Segoe UI"/>
      <w:sz w:val="18"/>
      <w:szCs w:val="18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99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45"/>
    <w:rPr>
      <w:rFonts w:ascii="Tahoma" w:hAnsi="Tahoma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45"/>
    <w:rPr>
      <w:rFonts w:ascii="Tahoma" w:hAnsi="Tahoma"/>
      <w:b/>
      <w:bCs/>
      <w:sz w:val="20"/>
      <w:szCs w:val="20"/>
      <w:lang w:val="el-GR"/>
    </w:rPr>
  </w:style>
  <w:style w:type="paragraph" w:customStyle="1" w:styleId="Char1">
    <w:name w:val="Char1"/>
    <w:basedOn w:val="Normal"/>
    <w:semiHidden/>
    <w:rsid w:val="00023E8F"/>
    <w:pPr>
      <w:spacing w:line="240" w:lineRule="exact"/>
    </w:pPr>
    <w:rPr>
      <w:rFonts w:eastAsia="Times New Roman" w:cs="Times New Roman"/>
      <w:sz w:val="20"/>
      <w:szCs w:val="20"/>
      <w:lang w:val="en-US"/>
    </w:rPr>
  </w:style>
  <w:style w:type="character" w:customStyle="1" w:styleId="toc-instrument-enum">
    <w:name w:val="toc-instrument-enum"/>
    <w:basedOn w:val="DefaultParagraphFont"/>
    <w:rsid w:val="00010D32"/>
  </w:style>
  <w:style w:type="paragraph" w:styleId="Header">
    <w:name w:val="header"/>
    <w:basedOn w:val="Normal"/>
    <w:link w:val="HeaderChar"/>
    <w:uiPriority w:val="99"/>
    <w:unhideWhenUsed/>
    <w:rsid w:val="00840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999"/>
    <w:rPr>
      <w:rFonts w:ascii="Tahoma" w:hAnsi="Tahoma"/>
      <w:sz w:val="18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840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99"/>
    <w:rPr>
      <w:rFonts w:ascii="Tahoma" w:hAnsi="Tahoma"/>
      <w:sz w:val="18"/>
      <w:lang w:val="el-GR"/>
    </w:rPr>
  </w:style>
  <w:style w:type="paragraph" w:styleId="Revision">
    <w:name w:val="Revision"/>
    <w:hidden/>
    <w:uiPriority w:val="99"/>
    <w:semiHidden/>
    <w:rsid w:val="00C5432A"/>
    <w:pPr>
      <w:spacing w:after="0" w:line="240" w:lineRule="auto"/>
    </w:pPr>
    <w:rPr>
      <w:rFonts w:ascii="Tahoma" w:hAnsi="Tahoma"/>
      <w:sz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9982-5ED9-4EC7-B8A8-CDE2CFC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Maria Vakana</cp:lastModifiedBy>
  <cp:revision>41</cp:revision>
  <cp:lastPrinted>2022-07-13T07:38:00Z</cp:lastPrinted>
  <dcterms:created xsi:type="dcterms:W3CDTF">2022-06-14T11:45:00Z</dcterms:created>
  <dcterms:modified xsi:type="dcterms:W3CDTF">2022-07-13T08:53:00Z</dcterms:modified>
</cp:coreProperties>
</file>