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BAD9" w14:textId="0E45C3C9" w:rsidR="00C831EC" w:rsidRPr="00F5608B" w:rsidRDefault="00C831EC" w:rsidP="00C831E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CC47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ΝΟΜΟΣ ΠΟΥ ΤΡΟΠΟΠΟΙΕΙ ΤΟ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l-GR"/>
        </w:rPr>
        <w:t>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</w:t>
      </w:r>
      <w:r w:rsidRPr="003B1C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Pr="00CC47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ΠΕΡΙ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ΜΕΤΑΒΙΒΑΣΕΩΣ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KAI</w:t>
      </w:r>
      <w:r w:rsidRPr="003B1C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ΥΠΟΘΗΚΕΥΣΕΩΣ ΑΚΙΝΗΤΩΝ </w:t>
      </w:r>
      <w:r w:rsidRPr="00CC47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ΝΟΜΟ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ΥΣ </w:t>
      </w:r>
      <w:r w:rsidR="00F560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ΤΟΥ 1965 ΕΩΣ (ΑΡ. 2) ΤΟΥ 2022</w:t>
      </w:r>
    </w:p>
    <w:p w14:paraId="4B0392BF" w14:textId="63218639" w:rsidR="00A00A6E" w:rsidRDefault="00A00A6E" w:rsidP="000923D9"/>
    <w:p w14:paraId="353F02C8" w14:textId="1497A13B" w:rsidR="00C831EC" w:rsidRDefault="00C831EC" w:rsidP="00440AE5">
      <w:pPr>
        <w:tabs>
          <w:tab w:val="left" w:pos="1985"/>
          <w:tab w:val="left" w:pos="255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tab/>
      </w:r>
      <w:r w:rsidR="00440AE5">
        <w:tab/>
      </w:r>
      <w:r w:rsidRPr="00CC47A1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H</w:t>
      </w:r>
      <w:r w:rsidRPr="00CC47A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Βουλή των Αντιπροσώπων ψηφίζει ως ακολούθως:</w:t>
      </w:r>
    </w:p>
    <w:p w14:paraId="5914A3D8" w14:textId="07DE6DD0" w:rsidR="00A00A6E" w:rsidRDefault="00A00A6E" w:rsidP="000923D9"/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1008"/>
        <w:gridCol w:w="2226"/>
        <w:gridCol w:w="483"/>
        <w:gridCol w:w="4017"/>
      </w:tblGrid>
      <w:tr w:rsidR="00A00A6E" w:rsidRPr="00CC24B2" w14:paraId="6546823C" w14:textId="77777777" w:rsidTr="00440AE5">
        <w:trPr>
          <w:trHeight w:val="2493"/>
        </w:trPr>
        <w:tc>
          <w:tcPr>
            <w:tcW w:w="1009" w:type="pct"/>
            <w:shd w:val="clear" w:color="auto" w:fill="auto"/>
            <w:hideMark/>
          </w:tcPr>
          <w:p w14:paraId="58B46413" w14:textId="77777777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Συνοπτικός </w:t>
            </w:r>
          </w:p>
          <w:p w14:paraId="1B701056" w14:textId="77777777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τίτλος.</w:t>
            </w:r>
          </w:p>
          <w:p w14:paraId="352F6824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9 του 1965</w:t>
            </w:r>
          </w:p>
          <w:p w14:paraId="76BB100E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51 του 1970 </w:t>
            </w:r>
          </w:p>
          <w:p w14:paraId="0163E745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3 του 1978 </w:t>
            </w:r>
          </w:p>
          <w:p w14:paraId="70ABF10B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6 του 1981 </w:t>
            </w:r>
          </w:p>
          <w:p w14:paraId="0F4B2EEF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181(I) του 2002 </w:t>
            </w:r>
          </w:p>
          <w:p w14:paraId="5254301C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59(I) του 2006 </w:t>
            </w:r>
          </w:p>
          <w:p w14:paraId="02C67F3D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122(I) του 2007 </w:t>
            </w:r>
          </w:p>
          <w:p w14:paraId="140BEB34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52(I) του 2008 </w:t>
            </w:r>
          </w:p>
          <w:p w14:paraId="284AEB88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26(I) του 2010 </w:t>
            </w:r>
          </w:p>
          <w:p w14:paraId="5D3A8F61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120(I) του 2011 </w:t>
            </w:r>
          </w:p>
          <w:p w14:paraId="2A9B6750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142(I) του 2014 </w:t>
            </w:r>
          </w:p>
          <w:p w14:paraId="26D73132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197(I) του 2014 </w:t>
            </w:r>
          </w:p>
          <w:p w14:paraId="2887096E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4(I) του 2015 </w:t>
            </w:r>
          </w:p>
          <w:p w14:paraId="5F8198A0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27(Ι) του 2015 </w:t>
            </w:r>
          </w:p>
          <w:p w14:paraId="09C91FE6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32(Ι) του 2015 </w:t>
            </w:r>
          </w:p>
          <w:p w14:paraId="03D97201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42(Ι) του 2015 </w:t>
            </w:r>
          </w:p>
          <w:p w14:paraId="47F753B9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46(Ι) του 2015 </w:t>
            </w:r>
          </w:p>
          <w:p w14:paraId="7653C55B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53(I) του 2015 </w:t>
            </w:r>
          </w:p>
          <w:p w14:paraId="06C73C82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75(I) του 2015 </w:t>
            </w:r>
          </w:p>
          <w:p w14:paraId="2468F1DD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76(Ι) του 2015 </w:t>
            </w:r>
          </w:p>
          <w:p w14:paraId="69136C52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133(I) του 2015 </w:t>
            </w:r>
          </w:p>
          <w:p w14:paraId="292F791B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139(I) του 2015 </w:t>
            </w:r>
          </w:p>
          <w:p w14:paraId="1944221D" w14:textId="77777777" w:rsidR="00A00A6E" w:rsidRPr="000008A1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08A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198(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0008A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του</w:t>
            </w:r>
            <w:r w:rsidRPr="000008A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2015 </w:t>
            </w:r>
          </w:p>
          <w:p w14:paraId="65DD66AF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87(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2018 </w:t>
            </w:r>
          </w:p>
          <w:p w14:paraId="79B93198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118(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50B0953F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138(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215A63A3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61(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23AD1E36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195(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436CC7B9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212(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3F36D056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98(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 του 2021</w:t>
            </w:r>
          </w:p>
          <w:p w14:paraId="6971442D" w14:textId="77777777" w:rsid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185(Ι) του 2021</w:t>
            </w:r>
          </w:p>
          <w:p w14:paraId="7897F510" w14:textId="77777777" w:rsidR="00F5608B" w:rsidRDefault="00F5608B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82(Ι) του 2022</w:t>
            </w:r>
          </w:p>
          <w:p w14:paraId="0C760E4F" w14:textId="06AABC3D" w:rsidR="00A00A6E" w:rsidRPr="00F5608B" w:rsidRDefault="00F5608B" w:rsidP="002E629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147(Ι) του 2022</w:t>
            </w:r>
            <w:r w:rsidR="00A00A6E"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991" w:type="pct"/>
            <w:gridSpan w:val="4"/>
            <w:shd w:val="clear" w:color="auto" w:fill="auto"/>
            <w:hideMark/>
          </w:tcPr>
          <w:p w14:paraId="280F9CBB" w14:textId="4BFBEF2E" w:rsidR="00A00A6E" w:rsidRPr="00F5608B" w:rsidRDefault="00A00A6E" w:rsidP="00F560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 xml:space="preserve">1. </w:t>
            </w:r>
            <w:r w:rsidR="00F5608B"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Ο παρών Νόμος θα αναφέρεται ως ο περί Μεταβιβάσεως και  Υποθηκεύσεως Ακινήτων (Τροποποιητικός) </w:t>
            </w:r>
            <w:r w:rsidR="00F5608B"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="00F5608B"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="00F5608B"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. 3) 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Νόμος του 2022 και θα διαβάζεται μαζί με τους περί Μεταβιβάσεως και Υποθηκεύσεως Ακινήτων Νόμους του 1965 έως (</w:t>
            </w:r>
            <w:proofErr w:type="spellStart"/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  <w:r w:rsidR="00837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2) του 202</w:t>
            </w:r>
            <w:r w:rsidR="00F5608B"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(που στο εξής θα αναφέρονται ως «ο βασικός νόμος») και ο </w:t>
            </w:r>
            <w:r w:rsidRPr="00F5608B">
              <w:rPr>
                <w:rFonts w:ascii="Arial" w:hAnsi="Arial" w:cs="Arial"/>
                <w:sz w:val="24"/>
                <w:szCs w:val="24"/>
              </w:rPr>
              <w:t xml:space="preserve">βασικός νόμος και ο παρών Νόμος θα αναφέρονται μαζί ως οι περί Μεταβιβάσεως και Υποθηκεύσεως Ακινήτων Νόμοι του 1965 έως </w:t>
            </w:r>
            <w:r w:rsidR="00F5608B" w:rsidRPr="00F560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F5608B" w:rsidRPr="00F5608B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5608B" w:rsidRPr="00F5608B">
              <w:rPr>
                <w:rFonts w:ascii="Arial" w:hAnsi="Arial" w:cs="Arial"/>
                <w:sz w:val="24"/>
                <w:szCs w:val="24"/>
              </w:rPr>
              <w:t xml:space="preserve">. 3) του </w:t>
            </w:r>
            <w:r w:rsidRPr="00F5608B">
              <w:rPr>
                <w:rFonts w:ascii="Arial" w:hAnsi="Arial" w:cs="Arial"/>
                <w:sz w:val="24"/>
                <w:szCs w:val="24"/>
              </w:rPr>
              <w:t>2022.</w:t>
            </w:r>
          </w:p>
          <w:p w14:paraId="79FC75F7" w14:textId="77777777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6297" w:rsidRPr="00CC24B2" w14:paraId="08ADCA6D" w14:textId="77777777" w:rsidTr="00440AE5">
        <w:trPr>
          <w:trHeight w:val="405"/>
        </w:trPr>
        <w:tc>
          <w:tcPr>
            <w:tcW w:w="1009" w:type="pct"/>
            <w:shd w:val="clear" w:color="auto" w:fill="auto"/>
          </w:tcPr>
          <w:p w14:paraId="26BED342" w14:textId="77777777" w:rsidR="002E6297" w:rsidRPr="00F5608B" w:rsidRDefault="002E6297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91" w:type="pct"/>
            <w:gridSpan w:val="4"/>
            <w:shd w:val="clear" w:color="auto" w:fill="auto"/>
          </w:tcPr>
          <w:p w14:paraId="01BB475F" w14:textId="77777777" w:rsidR="002E6297" w:rsidRPr="00F5608B" w:rsidRDefault="002E6297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A00A6E" w:rsidRPr="00CC24B2" w14:paraId="407105BD" w14:textId="77777777" w:rsidTr="00440AE5">
        <w:trPr>
          <w:trHeight w:val="405"/>
        </w:trPr>
        <w:tc>
          <w:tcPr>
            <w:tcW w:w="1009" w:type="pct"/>
            <w:shd w:val="clear" w:color="auto" w:fill="auto"/>
          </w:tcPr>
          <w:p w14:paraId="5CFF1B3A" w14:textId="77777777" w:rsidR="00A00A6E" w:rsidRPr="00F5608B" w:rsidRDefault="00A00A6E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Τροποποίηση του άρθρου 18 του βασικού νόμου.</w:t>
            </w:r>
          </w:p>
        </w:tc>
        <w:tc>
          <w:tcPr>
            <w:tcW w:w="3991" w:type="pct"/>
            <w:gridSpan w:val="4"/>
            <w:shd w:val="clear" w:color="auto" w:fill="auto"/>
          </w:tcPr>
          <w:p w14:paraId="41C45B55" w14:textId="109B1B1E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2. </w:t>
            </w:r>
            <w:r w:rsid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Το άρθρο 18 του βασικού νόμου τροποποιείται με την αντικατάσταση της παραγράφου (γ) του εδαφίου (3) αυτού με την ακόλουθη παράγραφο</w:t>
            </w:r>
            <w:r w:rsidR="0098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:</w:t>
            </w:r>
          </w:p>
          <w:p w14:paraId="24F0AEDC" w14:textId="77777777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F5608B" w:rsidRPr="00CC24B2" w14:paraId="4E1CB8AE" w14:textId="77777777" w:rsidTr="00440AE5">
        <w:trPr>
          <w:trHeight w:val="405"/>
        </w:trPr>
        <w:tc>
          <w:tcPr>
            <w:tcW w:w="1009" w:type="pct"/>
            <w:shd w:val="clear" w:color="auto" w:fill="auto"/>
          </w:tcPr>
          <w:p w14:paraId="351A9EE2" w14:textId="77777777" w:rsidR="00F5608B" w:rsidRPr="00F5608B" w:rsidRDefault="00F5608B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pct"/>
            <w:shd w:val="clear" w:color="auto" w:fill="auto"/>
          </w:tcPr>
          <w:p w14:paraId="594E079C" w14:textId="77777777" w:rsidR="00F5608B" w:rsidRPr="00F5608B" w:rsidRDefault="00F5608B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70" w:type="pct"/>
            <w:gridSpan w:val="3"/>
            <w:shd w:val="clear" w:color="auto" w:fill="auto"/>
          </w:tcPr>
          <w:p w14:paraId="2186DEC4" w14:textId="77777777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A00A6E" w:rsidRPr="00CC24B2" w14:paraId="2E744A0F" w14:textId="77777777" w:rsidTr="00440AE5">
        <w:trPr>
          <w:trHeight w:val="405"/>
        </w:trPr>
        <w:tc>
          <w:tcPr>
            <w:tcW w:w="1009" w:type="pct"/>
            <w:shd w:val="clear" w:color="auto" w:fill="auto"/>
          </w:tcPr>
          <w:p w14:paraId="4AF5F901" w14:textId="77777777" w:rsidR="00A00A6E" w:rsidRPr="00F5608B" w:rsidRDefault="00A00A6E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pct"/>
            <w:shd w:val="clear" w:color="auto" w:fill="auto"/>
          </w:tcPr>
          <w:p w14:paraId="595E70EE" w14:textId="77777777" w:rsidR="00A00A6E" w:rsidRPr="00F5608B" w:rsidRDefault="00A00A6E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«(γ)</w:t>
            </w:r>
          </w:p>
        </w:tc>
        <w:tc>
          <w:tcPr>
            <w:tcW w:w="3470" w:type="pct"/>
            <w:gridSpan w:val="3"/>
            <w:shd w:val="clear" w:color="auto" w:fill="auto"/>
          </w:tcPr>
          <w:p w14:paraId="25A462F0" w14:textId="3DB67DAF" w:rsidR="00A00A6E" w:rsidRPr="00F5608B" w:rsidRDefault="00A00A6E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βεβαίωση από τον Έφορο Φορολογίας ότι</w:t>
            </w:r>
            <w:r w:rsidR="0098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</w:t>
            </w:r>
          </w:p>
        </w:tc>
      </w:tr>
      <w:tr w:rsidR="00F5608B" w:rsidRPr="00CC24B2" w14:paraId="106E99BA" w14:textId="77777777" w:rsidTr="00440AE5">
        <w:trPr>
          <w:trHeight w:val="405"/>
        </w:trPr>
        <w:tc>
          <w:tcPr>
            <w:tcW w:w="1009" w:type="pct"/>
            <w:shd w:val="clear" w:color="auto" w:fill="auto"/>
          </w:tcPr>
          <w:p w14:paraId="79D6B616" w14:textId="77777777" w:rsidR="00F5608B" w:rsidRPr="00F5608B" w:rsidRDefault="00F5608B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pct"/>
            <w:shd w:val="clear" w:color="auto" w:fill="auto"/>
          </w:tcPr>
          <w:p w14:paraId="3D14713D" w14:textId="77777777" w:rsidR="00F5608B" w:rsidRPr="00F5608B" w:rsidRDefault="00F5608B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70" w:type="pct"/>
            <w:gridSpan w:val="3"/>
            <w:shd w:val="clear" w:color="auto" w:fill="auto"/>
          </w:tcPr>
          <w:p w14:paraId="544905C1" w14:textId="77777777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F5608B" w:rsidRPr="00CC24B2" w14:paraId="481D8850" w14:textId="77777777" w:rsidTr="00440AE5">
        <w:trPr>
          <w:trHeight w:val="405"/>
        </w:trPr>
        <w:tc>
          <w:tcPr>
            <w:tcW w:w="1009" w:type="pct"/>
            <w:shd w:val="clear" w:color="auto" w:fill="auto"/>
          </w:tcPr>
          <w:p w14:paraId="371E984C" w14:textId="77777777" w:rsidR="00F5608B" w:rsidRPr="00F5608B" w:rsidRDefault="00F5608B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pct"/>
            <w:shd w:val="clear" w:color="auto" w:fill="auto"/>
          </w:tcPr>
          <w:p w14:paraId="2BC56437" w14:textId="77777777" w:rsidR="00F5608B" w:rsidRPr="00F5608B" w:rsidRDefault="00F5608B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9" w:type="pct"/>
            <w:shd w:val="clear" w:color="auto" w:fill="auto"/>
          </w:tcPr>
          <w:p w14:paraId="25911B22" w14:textId="77777777" w:rsid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2775D8EA" w14:textId="77777777" w:rsidR="00F5608B" w:rsidRDefault="00F5608B" w:rsidP="00F560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1D27E2B1" w14:textId="7DEDD0F2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52 του 1980</w:t>
            </w:r>
          </w:p>
          <w:p w14:paraId="1E30562D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135 του 1990 </w:t>
            </w:r>
          </w:p>
          <w:p w14:paraId="3F66C6D4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70(Ι) του 1994 </w:t>
            </w:r>
          </w:p>
          <w:p w14:paraId="64E67B9F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80(Ι) του 1997 </w:t>
            </w:r>
          </w:p>
          <w:p w14:paraId="79215CF9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48(Ι) του 1999 </w:t>
            </w:r>
          </w:p>
          <w:p w14:paraId="0FF8B0F9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79(Ι) του 1999 </w:t>
            </w:r>
          </w:p>
          <w:p w14:paraId="72D608F8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119(Ι) του 2002 </w:t>
            </w:r>
          </w:p>
          <w:p w14:paraId="1822F6E0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66(Ι) του 2008 </w:t>
            </w:r>
          </w:p>
          <w:p w14:paraId="1065AEB1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135(Ι) του 2010 </w:t>
            </w:r>
          </w:p>
          <w:p w14:paraId="77679AFC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119(Ι) του 2013 </w:t>
            </w:r>
          </w:p>
          <w:p w14:paraId="00669BF3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120(Ι) του 2013 </w:t>
            </w:r>
          </w:p>
          <w:p w14:paraId="40CCCA3A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59(Ι) του 2015</w:t>
            </w:r>
          </w:p>
          <w:p w14:paraId="0B76E220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117(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2015 </w:t>
            </w:r>
          </w:p>
          <w:p w14:paraId="6ACD8AF0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189(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2015 </w:t>
            </w:r>
          </w:p>
          <w:p w14:paraId="6A58048F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2015 </w:t>
            </w:r>
          </w:p>
          <w:p w14:paraId="4DB3C707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65(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2016 </w:t>
            </w:r>
          </w:p>
          <w:p w14:paraId="04E732A9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116(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2016 </w:t>
            </w:r>
          </w:p>
          <w:p w14:paraId="348F2C13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2017 </w:t>
            </w:r>
          </w:p>
          <w:p w14:paraId="739AB4F5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100(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2018 </w:t>
            </w:r>
          </w:p>
          <w:p w14:paraId="111D15F7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120(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2018 </w:t>
            </w:r>
          </w:p>
          <w:p w14:paraId="23E05B0E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7111F602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157(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5917A755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7B7B4469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181(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42FC7CDC" w14:textId="77777777" w:rsidR="00F5608B" w:rsidRPr="00F5608B" w:rsidRDefault="00F5608B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206(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2020 </w:t>
            </w:r>
          </w:p>
          <w:p w14:paraId="4973AE39" w14:textId="6B4EE28E" w:rsidR="00F5608B" w:rsidRPr="00F5608B" w:rsidRDefault="00F5608B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176(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 του 2021.</w:t>
            </w:r>
          </w:p>
        </w:tc>
        <w:tc>
          <w:tcPr>
            <w:tcW w:w="249" w:type="pct"/>
            <w:shd w:val="clear" w:color="auto" w:fill="auto"/>
          </w:tcPr>
          <w:p w14:paraId="75EFA52F" w14:textId="27464735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2072" w:type="pct"/>
            <w:shd w:val="clear" w:color="auto" w:fill="auto"/>
          </w:tcPr>
          <w:p w14:paraId="710EA998" w14:textId="6EBA2756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ο φόρος που προκύπτει από τη διάθεση του ακινήτου σύμφωνα με τις διατάξεις του περί Φορολογίας Κεφαλαιουχικών Κερδών Νόμου έχει καταβληθεί ή η πληρωμή του έχει ανασταλεί ή δεν προκύπτει φόρος, </w:t>
            </w:r>
          </w:p>
          <w:p w14:paraId="4EA26C32" w14:textId="74D9252A" w:rsidR="00F5608B" w:rsidRPr="00F5608B" w:rsidRDefault="00F5608B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AE5" w:rsidRPr="00CC24B2" w14:paraId="67645916" w14:textId="77777777" w:rsidTr="00440AE5">
        <w:trPr>
          <w:trHeight w:val="405"/>
        </w:trPr>
        <w:tc>
          <w:tcPr>
            <w:tcW w:w="1009" w:type="pct"/>
            <w:shd w:val="clear" w:color="auto" w:fill="auto"/>
          </w:tcPr>
          <w:p w14:paraId="06636A18" w14:textId="77777777" w:rsidR="00440AE5" w:rsidRPr="00F5608B" w:rsidRDefault="00440AE5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pct"/>
            <w:shd w:val="clear" w:color="auto" w:fill="auto"/>
          </w:tcPr>
          <w:p w14:paraId="2EE9BF49" w14:textId="77777777" w:rsidR="00440AE5" w:rsidRPr="00F5608B" w:rsidRDefault="00440AE5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9" w:type="pct"/>
            <w:shd w:val="clear" w:color="auto" w:fill="auto"/>
          </w:tcPr>
          <w:p w14:paraId="585C1F92" w14:textId="77777777" w:rsidR="00440AE5" w:rsidRDefault="00440AE5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49" w:type="pct"/>
            <w:shd w:val="clear" w:color="auto" w:fill="auto"/>
          </w:tcPr>
          <w:p w14:paraId="61340BE3" w14:textId="77777777" w:rsidR="00440AE5" w:rsidRDefault="00440AE5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72" w:type="pct"/>
            <w:shd w:val="clear" w:color="auto" w:fill="auto"/>
          </w:tcPr>
          <w:p w14:paraId="24B8FA3A" w14:textId="77777777" w:rsidR="00440AE5" w:rsidRPr="00F5608B" w:rsidRDefault="00440AE5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440AE5" w:rsidRPr="00CC24B2" w14:paraId="1AB5BE8C" w14:textId="77777777" w:rsidTr="00440AE5">
        <w:trPr>
          <w:trHeight w:val="405"/>
        </w:trPr>
        <w:tc>
          <w:tcPr>
            <w:tcW w:w="1009" w:type="pct"/>
            <w:shd w:val="clear" w:color="auto" w:fill="auto"/>
          </w:tcPr>
          <w:p w14:paraId="3F7A9B6C" w14:textId="77777777" w:rsidR="00440AE5" w:rsidRPr="00F5608B" w:rsidRDefault="00440AE5" w:rsidP="00F5608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20" w:type="pct"/>
            <w:shd w:val="clear" w:color="auto" w:fill="auto"/>
          </w:tcPr>
          <w:p w14:paraId="5DA953E0" w14:textId="77777777" w:rsidR="00440AE5" w:rsidRPr="00F5608B" w:rsidRDefault="00440AE5" w:rsidP="00F5608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9" w:type="pct"/>
            <w:shd w:val="clear" w:color="auto" w:fill="auto"/>
          </w:tcPr>
          <w:p w14:paraId="72F2BE33" w14:textId="77777777" w:rsidR="00440AE5" w:rsidRDefault="00440AE5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3A595FA1" w14:textId="77777777" w:rsidR="00440AE5" w:rsidRDefault="00440AE5" w:rsidP="00F5608B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14:paraId="2BFD8B99" w14:textId="77777777" w:rsidR="00440AE5" w:rsidRPr="00F5608B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141 του 1989</w:t>
            </w:r>
          </w:p>
          <w:p w14:paraId="38E129CD" w14:textId="77777777" w:rsidR="00440AE5" w:rsidRPr="00F5608B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70(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1998 </w:t>
            </w:r>
          </w:p>
          <w:p w14:paraId="310D604F" w14:textId="77777777" w:rsidR="00440AE5" w:rsidRPr="00F5608B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105(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1999 </w:t>
            </w:r>
          </w:p>
          <w:p w14:paraId="6934916F" w14:textId="77777777" w:rsidR="00440AE5" w:rsidRPr="00F5608B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163(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2000 </w:t>
            </w:r>
          </w:p>
          <w:p w14:paraId="20BC4E41" w14:textId="77777777" w:rsidR="00440AE5" w:rsidRPr="00F5608B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169(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2003 </w:t>
            </w:r>
          </w:p>
          <w:p w14:paraId="7312E1E9" w14:textId="77777777" w:rsidR="00440AE5" w:rsidRPr="00F5608B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254(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2004 </w:t>
            </w:r>
          </w:p>
          <w:p w14:paraId="7F21C362" w14:textId="77777777" w:rsidR="00440AE5" w:rsidRPr="00F5608B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156(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2005 </w:t>
            </w:r>
          </w:p>
          <w:p w14:paraId="4D5181B5" w14:textId="77777777" w:rsidR="00440AE5" w:rsidRPr="00F5608B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52(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2011 </w:t>
            </w:r>
          </w:p>
          <w:p w14:paraId="4AE9E760" w14:textId="77777777" w:rsidR="00440AE5" w:rsidRDefault="00440AE5" w:rsidP="00440AE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) του 2019 </w:t>
            </w:r>
          </w:p>
          <w:p w14:paraId="23AD68D2" w14:textId="77777777" w:rsidR="000008A1" w:rsidRDefault="00440AE5" w:rsidP="00440AE5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12(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I</w:t>
            </w:r>
            <w:r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 του 2021</w:t>
            </w:r>
          </w:p>
          <w:p w14:paraId="14EB5722" w14:textId="77777777" w:rsidR="008A6090" w:rsidRDefault="000008A1" w:rsidP="000008A1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92(Ι) του 2022</w:t>
            </w:r>
          </w:p>
          <w:p w14:paraId="4403A9D1" w14:textId="5957EFEB" w:rsidR="00440AE5" w:rsidRDefault="008A6090" w:rsidP="000008A1">
            <w:pPr>
              <w:spacing w:after="0" w:line="360" w:lineRule="auto"/>
              <w:ind w:left="-11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…(Ι) του 2022</w:t>
            </w:r>
            <w:r w:rsidR="00440AE5" w:rsidRPr="00F5608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9" w:type="pct"/>
            <w:shd w:val="clear" w:color="auto" w:fill="auto"/>
          </w:tcPr>
          <w:p w14:paraId="3A2F3D85" w14:textId="77777777" w:rsidR="00440AE5" w:rsidRPr="00F5608B" w:rsidRDefault="00440AE5" w:rsidP="00440AE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(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l-GR"/>
              </w:rPr>
              <w:t>ii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)</w:t>
            </w:r>
          </w:p>
          <w:p w14:paraId="5B9690EA" w14:textId="77777777" w:rsidR="00440AE5" w:rsidRDefault="00440AE5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72" w:type="pct"/>
            <w:shd w:val="clear" w:color="auto" w:fill="auto"/>
          </w:tcPr>
          <w:p w14:paraId="56924247" w14:textId="43942FA8" w:rsidR="00440AE5" w:rsidRPr="00F5608B" w:rsidRDefault="00440AE5" w:rsidP="00440AE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τέλος, ίσο με ποσοστό ύψους 0,40% επί του τιμήματος πώλησης, σύμφωνα με τις διατάξεις του περί του Κεντρικού Φορέα Ισότιμης Κατανομής Βαρών (Σύσταση, Σκοποί, Αρμοδιότητες και Άλλα Συναφή Θέματα) Νόμου, έχει καταβληθεί από τον πωλητή ή δεν προκύπτει </w:t>
            </w:r>
            <w:r w:rsidR="00982DD4" w:rsidRPr="008A60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υποχρέωση καταβολής</w:t>
            </w:r>
            <w:r w:rsidR="0098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τέλο</w:t>
            </w:r>
            <w:r w:rsidR="0098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υ</w:t>
            </w:r>
            <w:r w:rsidRPr="00F56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ς·».</w:t>
            </w:r>
          </w:p>
          <w:p w14:paraId="3A42409E" w14:textId="77777777" w:rsidR="00440AE5" w:rsidRPr="00F5608B" w:rsidRDefault="00440AE5" w:rsidP="00F5608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11A499A6" w14:textId="3E39CAC4" w:rsidR="00A00A6E" w:rsidRDefault="00A00A6E" w:rsidP="00A00A6E"/>
    <w:p w14:paraId="4A249FB0" w14:textId="3FE0DF5C" w:rsidR="00440AE5" w:rsidRPr="00440AE5" w:rsidRDefault="00D62A31" w:rsidP="00440A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ΣΚ/</w:t>
      </w:r>
      <w:r w:rsidR="00982DD4">
        <w:rPr>
          <w:rFonts w:ascii="Arial" w:hAnsi="Arial" w:cs="Arial"/>
        </w:rPr>
        <w:t>ΑΟΛ</w:t>
      </w:r>
      <w:r w:rsidR="00440AE5" w:rsidRPr="00440AE5">
        <w:rPr>
          <w:rFonts w:ascii="Arial" w:hAnsi="Arial" w:cs="Arial"/>
        </w:rPr>
        <w:t>/ΓΧ</w:t>
      </w:r>
    </w:p>
    <w:p w14:paraId="7B277DF4" w14:textId="2E0E5429" w:rsidR="00A00A6E" w:rsidRPr="00471892" w:rsidRDefault="00440AE5" w:rsidP="00934125">
      <w:pPr>
        <w:spacing w:after="0" w:line="240" w:lineRule="auto"/>
      </w:pPr>
      <w:r w:rsidRPr="00440AE5">
        <w:rPr>
          <w:rFonts w:ascii="Arial" w:hAnsi="Arial" w:cs="Arial"/>
        </w:rPr>
        <w:t>23.01.063.099-2022</w:t>
      </w:r>
      <w:bookmarkStart w:id="0" w:name="_GoBack"/>
      <w:bookmarkEnd w:id="0"/>
    </w:p>
    <w:sectPr w:rsidR="00A00A6E" w:rsidRPr="00471892" w:rsidSect="00F5608B">
      <w:headerReference w:type="default" r:id="rId7"/>
      <w:footerReference w:type="default" r:id="rId8"/>
      <w:pgSz w:w="12240" w:h="15840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C4A9" w14:textId="77777777" w:rsidR="009F0945" w:rsidRDefault="009F0945" w:rsidP="004D6D19">
      <w:pPr>
        <w:spacing w:after="0" w:line="240" w:lineRule="auto"/>
      </w:pPr>
      <w:r>
        <w:separator/>
      </w:r>
    </w:p>
  </w:endnote>
  <w:endnote w:type="continuationSeparator" w:id="0">
    <w:p w14:paraId="6A21E71C" w14:textId="77777777" w:rsidR="009F0945" w:rsidRDefault="009F0945" w:rsidP="004D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59AE" w14:textId="29F0F5D2" w:rsidR="004D6D19" w:rsidRPr="004D6D19" w:rsidRDefault="004D6D19">
    <w:pPr>
      <w:pStyle w:val="Footer"/>
      <w:jc w:val="right"/>
      <w:rPr>
        <w:rFonts w:ascii="Arial" w:hAnsi="Arial" w:cs="Arial"/>
      </w:rPr>
    </w:pPr>
  </w:p>
  <w:p w14:paraId="5D8E61AB" w14:textId="77777777" w:rsidR="004D6D19" w:rsidRDefault="004D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C741" w14:textId="77777777" w:rsidR="009F0945" w:rsidRDefault="009F0945" w:rsidP="004D6D19">
      <w:pPr>
        <w:spacing w:after="0" w:line="240" w:lineRule="auto"/>
      </w:pPr>
      <w:r>
        <w:separator/>
      </w:r>
    </w:p>
  </w:footnote>
  <w:footnote w:type="continuationSeparator" w:id="0">
    <w:p w14:paraId="36CA7B73" w14:textId="77777777" w:rsidR="009F0945" w:rsidRDefault="009F0945" w:rsidP="004D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8182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F6C67" w14:textId="05F94F24" w:rsidR="00440AE5" w:rsidRDefault="00440A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8FF66" w14:textId="77777777" w:rsidR="00CC47A1" w:rsidRDefault="00CC4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843"/>
    <w:multiLevelType w:val="multilevel"/>
    <w:tmpl w:val="044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C6E2C"/>
    <w:multiLevelType w:val="hybridMultilevel"/>
    <w:tmpl w:val="BDB0A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02CE3"/>
    <w:multiLevelType w:val="multilevel"/>
    <w:tmpl w:val="77A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73AB6"/>
    <w:multiLevelType w:val="multilevel"/>
    <w:tmpl w:val="14E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31608"/>
    <w:multiLevelType w:val="hybridMultilevel"/>
    <w:tmpl w:val="DB34E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52"/>
    <w:rsid w:val="000008A1"/>
    <w:rsid w:val="0001759F"/>
    <w:rsid w:val="000266CE"/>
    <w:rsid w:val="00050E33"/>
    <w:rsid w:val="000749EA"/>
    <w:rsid w:val="0007781C"/>
    <w:rsid w:val="00085846"/>
    <w:rsid w:val="000923D9"/>
    <w:rsid w:val="000A232C"/>
    <w:rsid w:val="000A54ED"/>
    <w:rsid w:val="000D5AA1"/>
    <w:rsid w:val="000D7EDF"/>
    <w:rsid w:val="000E3117"/>
    <w:rsid w:val="000F544A"/>
    <w:rsid w:val="00124567"/>
    <w:rsid w:val="0014179D"/>
    <w:rsid w:val="00163B48"/>
    <w:rsid w:val="00192FE9"/>
    <w:rsid w:val="001A3B82"/>
    <w:rsid w:val="001B3F94"/>
    <w:rsid w:val="001D0CC7"/>
    <w:rsid w:val="001D5446"/>
    <w:rsid w:val="001F4CA8"/>
    <w:rsid w:val="002116A7"/>
    <w:rsid w:val="00213EDC"/>
    <w:rsid w:val="00216585"/>
    <w:rsid w:val="00217FD9"/>
    <w:rsid w:val="0022626F"/>
    <w:rsid w:val="002469D2"/>
    <w:rsid w:val="0026105A"/>
    <w:rsid w:val="0026549E"/>
    <w:rsid w:val="002708FE"/>
    <w:rsid w:val="00284A31"/>
    <w:rsid w:val="0029237F"/>
    <w:rsid w:val="00294569"/>
    <w:rsid w:val="002A0DAE"/>
    <w:rsid w:val="002B1B9C"/>
    <w:rsid w:val="002B3944"/>
    <w:rsid w:val="002E1690"/>
    <w:rsid w:val="002E6297"/>
    <w:rsid w:val="002F30A3"/>
    <w:rsid w:val="002F4D04"/>
    <w:rsid w:val="003121D0"/>
    <w:rsid w:val="00345AA0"/>
    <w:rsid w:val="00346833"/>
    <w:rsid w:val="00350DD1"/>
    <w:rsid w:val="003561E8"/>
    <w:rsid w:val="003604B9"/>
    <w:rsid w:val="00366E2C"/>
    <w:rsid w:val="00377ADC"/>
    <w:rsid w:val="00386051"/>
    <w:rsid w:val="003A0D42"/>
    <w:rsid w:val="003A2C3E"/>
    <w:rsid w:val="003B19BA"/>
    <w:rsid w:val="003B1C5D"/>
    <w:rsid w:val="003C1472"/>
    <w:rsid w:val="003C1CB8"/>
    <w:rsid w:val="003D4409"/>
    <w:rsid w:val="003D666B"/>
    <w:rsid w:val="003D7313"/>
    <w:rsid w:val="003F01DE"/>
    <w:rsid w:val="00400C36"/>
    <w:rsid w:val="004126A0"/>
    <w:rsid w:val="00423983"/>
    <w:rsid w:val="0043240A"/>
    <w:rsid w:val="00440AE5"/>
    <w:rsid w:val="00444B83"/>
    <w:rsid w:val="00467EC8"/>
    <w:rsid w:val="00471892"/>
    <w:rsid w:val="00491722"/>
    <w:rsid w:val="00494A2F"/>
    <w:rsid w:val="00496150"/>
    <w:rsid w:val="00496BBF"/>
    <w:rsid w:val="0049701C"/>
    <w:rsid w:val="004D6D19"/>
    <w:rsid w:val="004E0BB4"/>
    <w:rsid w:val="004E16A3"/>
    <w:rsid w:val="004F67AC"/>
    <w:rsid w:val="00507126"/>
    <w:rsid w:val="00523F7F"/>
    <w:rsid w:val="00555007"/>
    <w:rsid w:val="0055723D"/>
    <w:rsid w:val="00573CB2"/>
    <w:rsid w:val="0059612D"/>
    <w:rsid w:val="005A2FAC"/>
    <w:rsid w:val="0063085C"/>
    <w:rsid w:val="0063517C"/>
    <w:rsid w:val="00677D35"/>
    <w:rsid w:val="006A1F08"/>
    <w:rsid w:val="006A4BBE"/>
    <w:rsid w:val="006D4EC4"/>
    <w:rsid w:val="006F6370"/>
    <w:rsid w:val="006F6E9B"/>
    <w:rsid w:val="0070536F"/>
    <w:rsid w:val="00713EB4"/>
    <w:rsid w:val="007216B8"/>
    <w:rsid w:val="00764B75"/>
    <w:rsid w:val="00767C71"/>
    <w:rsid w:val="00781ED9"/>
    <w:rsid w:val="00782F69"/>
    <w:rsid w:val="00783F17"/>
    <w:rsid w:val="007A18BD"/>
    <w:rsid w:val="007E788F"/>
    <w:rsid w:val="007E7A2B"/>
    <w:rsid w:val="0080581A"/>
    <w:rsid w:val="00820CED"/>
    <w:rsid w:val="0083707D"/>
    <w:rsid w:val="00840D1C"/>
    <w:rsid w:val="00851313"/>
    <w:rsid w:val="00856C4E"/>
    <w:rsid w:val="00890952"/>
    <w:rsid w:val="00894123"/>
    <w:rsid w:val="008941BD"/>
    <w:rsid w:val="008A540F"/>
    <w:rsid w:val="008A6090"/>
    <w:rsid w:val="008E0BC4"/>
    <w:rsid w:val="008F2FE5"/>
    <w:rsid w:val="009060F2"/>
    <w:rsid w:val="009175E9"/>
    <w:rsid w:val="0093231A"/>
    <w:rsid w:val="00934125"/>
    <w:rsid w:val="00934A75"/>
    <w:rsid w:val="009401CF"/>
    <w:rsid w:val="00947C51"/>
    <w:rsid w:val="0095138B"/>
    <w:rsid w:val="00954040"/>
    <w:rsid w:val="00957CA2"/>
    <w:rsid w:val="00977875"/>
    <w:rsid w:val="00982DD4"/>
    <w:rsid w:val="009953E7"/>
    <w:rsid w:val="009C0DD9"/>
    <w:rsid w:val="009C6277"/>
    <w:rsid w:val="009E74AC"/>
    <w:rsid w:val="009F0945"/>
    <w:rsid w:val="009F1FAF"/>
    <w:rsid w:val="00A00A6E"/>
    <w:rsid w:val="00A03369"/>
    <w:rsid w:val="00A379F2"/>
    <w:rsid w:val="00A776E9"/>
    <w:rsid w:val="00A80798"/>
    <w:rsid w:val="00A906BD"/>
    <w:rsid w:val="00AA7727"/>
    <w:rsid w:val="00AC1A16"/>
    <w:rsid w:val="00AE7C2E"/>
    <w:rsid w:val="00B06C49"/>
    <w:rsid w:val="00B1060F"/>
    <w:rsid w:val="00B3141B"/>
    <w:rsid w:val="00B3751A"/>
    <w:rsid w:val="00B412C9"/>
    <w:rsid w:val="00B50AFA"/>
    <w:rsid w:val="00B7044E"/>
    <w:rsid w:val="00B77076"/>
    <w:rsid w:val="00B81325"/>
    <w:rsid w:val="00B833C6"/>
    <w:rsid w:val="00BD03D3"/>
    <w:rsid w:val="00BD1A8F"/>
    <w:rsid w:val="00C22165"/>
    <w:rsid w:val="00C241B8"/>
    <w:rsid w:val="00C31CAA"/>
    <w:rsid w:val="00C44055"/>
    <w:rsid w:val="00C5059A"/>
    <w:rsid w:val="00C66A4D"/>
    <w:rsid w:val="00C76D38"/>
    <w:rsid w:val="00C831EC"/>
    <w:rsid w:val="00C9587A"/>
    <w:rsid w:val="00CC47A1"/>
    <w:rsid w:val="00CF38B1"/>
    <w:rsid w:val="00D02954"/>
    <w:rsid w:val="00D15131"/>
    <w:rsid w:val="00D62A31"/>
    <w:rsid w:val="00D70B50"/>
    <w:rsid w:val="00D71611"/>
    <w:rsid w:val="00D83652"/>
    <w:rsid w:val="00DB1BAA"/>
    <w:rsid w:val="00DC5FBF"/>
    <w:rsid w:val="00DE3AEF"/>
    <w:rsid w:val="00DF2F34"/>
    <w:rsid w:val="00E221B8"/>
    <w:rsid w:val="00E32ADF"/>
    <w:rsid w:val="00E339E4"/>
    <w:rsid w:val="00E55F91"/>
    <w:rsid w:val="00E758F2"/>
    <w:rsid w:val="00EB6AC4"/>
    <w:rsid w:val="00EB6B09"/>
    <w:rsid w:val="00EC25B5"/>
    <w:rsid w:val="00EC6879"/>
    <w:rsid w:val="00F30F20"/>
    <w:rsid w:val="00F45C84"/>
    <w:rsid w:val="00F474D5"/>
    <w:rsid w:val="00F5608B"/>
    <w:rsid w:val="00F71D63"/>
    <w:rsid w:val="00F72039"/>
    <w:rsid w:val="00F86AC2"/>
    <w:rsid w:val="00FA51A1"/>
    <w:rsid w:val="00FB7F8B"/>
    <w:rsid w:val="00FE1416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CC3B"/>
  <w15:docId w15:val="{993ABA3B-5C46-4A1B-89D7-8349F628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52"/>
    <w:pPr>
      <w:spacing w:after="200" w:line="276" w:lineRule="auto"/>
    </w:pPr>
    <w:rPr>
      <w:rFonts w:ascii="Tahoma" w:eastAsia="Calibri" w:hAnsi="Tahoma"/>
      <w:sz w:val="18"/>
      <w:szCs w:val="22"/>
      <w:lang w:val="el-GR"/>
    </w:rPr>
  </w:style>
  <w:style w:type="paragraph" w:styleId="Heading1">
    <w:name w:val="heading 1"/>
    <w:basedOn w:val="Normal"/>
    <w:link w:val="Heading1Char"/>
    <w:uiPriority w:val="9"/>
    <w:qFormat/>
    <w:rsid w:val="00EB6AC4"/>
    <w:pPr>
      <w:spacing w:before="100" w:after="100" w:line="240" w:lineRule="auto"/>
      <w:ind w:left="300" w:right="300"/>
      <w:outlineLvl w:val="0"/>
    </w:pPr>
    <w:rPr>
      <w:rFonts w:ascii="Times New Roman" w:hAnsi="Times New Roman"/>
      <w:b/>
      <w:bCs/>
      <w:color w:val="757D8D"/>
      <w:kern w:val="36"/>
      <w:sz w:val="26"/>
      <w:szCs w:val="2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B6AC4"/>
    <w:pPr>
      <w:spacing w:before="350" w:after="50" w:line="240" w:lineRule="auto"/>
      <w:ind w:left="350" w:right="350"/>
      <w:outlineLvl w:val="1"/>
    </w:pPr>
    <w:rPr>
      <w:rFonts w:ascii="Times New Roman" w:hAnsi="Times New Roman"/>
      <w:b/>
      <w:bCs/>
      <w:color w:val="3B4662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B6AC4"/>
    <w:pPr>
      <w:spacing w:after="0" w:line="240" w:lineRule="auto"/>
      <w:outlineLvl w:val="2"/>
    </w:pPr>
    <w:rPr>
      <w:rFonts w:ascii="Times New Roman" w:hAnsi="Times New Roman"/>
      <w:b/>
      <w:bCs/>
      <w:sz w:val="19"/>
      <w:szCs w:val="19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AC4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6AC4"/>
    <w:rPr>
      <w:rFonts w:ascii="Times New Roman" w:hAnsi="Times New Roman"/>
      <w:b/>
      <w:bCs/>
      <w:color w:val="757D8D"/>
      <w:kern w:val="36"/>
      <w:sz w:val="26"/>
      <w:szCs w:val="26"/>
      <w:lang w:eastAsia="el-GR"/>
    </w:rPr>
  </w:style>
  <w:style w:type="character" w:customStyle="1" w:styleId="Heading2Char">
    <w:name w:val="Heading 2 Char"/>
    <w:link w:val="Heading2"/>
    <w:uiPriority w:val="9"/>
    <w:rsid w:val="00EB6AC4"/>
    <w:rPr>
      <w:rFonts w:ascii="Times New Roman" w:hAnsi="Times New Roman"/>
      <w:b/>
      <w:bCs/>
      <w:color w:val="3B4662"/>
      <w:lang w:eastAsia="el-GR"/>
    </w:rPr>
  </w:style>
  <w:style w:type="character" w:customStyle="1" w:styleId="Heading3Char">
    <w:name w:val="Heading 3 Char"/>
    <w:link w:val="Heading3"/>
    <w:uiPriority w:val="9"/>
    <w:rsid w:val="00EB6AC4"/>
    <w:rPr>
      <w:rFonts w:ascii="Times New Roman" w:hAnsi="Times New Roman"/>
      <w:b/>
      <w:bCs/>
      <w:sz w:val="19"/>
      <w:szCs w:val="19"/>
      <w:lang w:eastAsia="el-GR"/>
    </w:rPr>
  </w:style>
  <w:style w:type="character" w:customStyle="1" w:styleId="Heading4Char">
    <w:name w:val="Heading 4 Char"/>
    <w:link w:val="Heading4"/>
    <w:uiPriority w:val="9"/>
    <w:rsid w:val="00EB6AC4"/>
    <w:rPr>
      <w:rFonts w:ascii="Cambria" w:hAnsi="Cambria"/>
      <w:i/>
      <w:iCs/>
      <w:color w:val="365F9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AC4"/>
    <w:pPr>
      <w:numPr>
        <w:ilvl w:val="1"/>
      </w:numPr>
      <w:spacing w:after="160"/>
    </w:pPr>
    <w:rPr>
      <w:color w:val="5A5A5A"/>
      <w:spacing w:val="15"/>
      <w:sz w:val="20"/>
      <w:szCs w:val="20"/>
      <w:lang w:val="en-US"/>
    </w:rPr>
  </w:style>
  <w:style w:type="character" w:customStyle="1" w:styleId="SubtitleChar">
    <w:name w:val="Subtitle Char"/>
    <w:link w:val="Subtitle"/>
    <w:uiPriority w:val="11"/>
    <w:rsid w:val="00EB6AC4"/>
    <w:rPr>
      <w:color w:val="5A5A5A"/>
      <w:spacing w:val="15"/>
    </w:rPr>
  </w:style>
  <w:style w:type="character" w:styleId="Strong">
    <w:name w:val="Strong"/>
    <w:uiPriority w:val="22"/>
    <w:qFormat/>
    <w:rsid w:val="00EB6AC4"/>
    <w:rPr>
      <w:b/>
      <w:bCs/>
    </w:rPr>
  </w:style>
  <w:style w:type="character" w:styleId="Emphasis">
    <w:name w:val="Emphasis"/>
    <w:uiPriority w:val="20"/>
    <w:qFormat/>
    <w:rsid w:val="00EB6AC4"/>
    <w:rPr>
      <w:i/>
      <w:iCs/>
    </w:rPr>
  </w:style>
  <w:style w:type="paragraph" w:styleId="ListParagraph">
    <w:name w:val="List Paragraph"/>
    <w:basedOn w:val="Normal"/>
    <w:uiPriority w:val="34"/>
    <w:qFormat/>
    <w:rsid w:val="00EB6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9"/>
    <w:rPr>
      <w:rFonts w:ascii="Tahoma" w:eastAsia="Calibri" w:hAnsi="Tahoma"/>
      <w:sz w:val="18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D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19"/>
    <w:rPr>
      <w:rFonts w:ascii="Tahoma" w:eastAsia="Calibri" w:hAnsi="Tahoma"/>
      <w:sz w:val="18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19"/>
    <w:rPr>
      <w:rFonts w:ascii="Segoe UI" w:eastAsia="Calibri" w:hAnsi="Segoe UI" w:cs="Segoe UI"/>
      <w:sz w:val="18"/>
      <w:szCs w:val="18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9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50"/>
    <w:rPr>
      <w:rFonts w:ascii="Tahoma" w:eastAsia="Calibri" w:hAnsi="Tahoma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50"/>
    <w:rPr>
      <w:rFonts w:ascii="Tahoma" w:eastAsia="Calibri" w:hAnsi="Tahoma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Froso Ektoros</cp:lastModifiedBy>
  <cp:revision>12</cp:revision>
  <cp:lastPrinted>2022-08-31T08:34:00Z</cp:lastPrinted>
  <dcterms:created xsi:type="dcterms:W3CDTF">2022-02-04T09:12:00Z</dcterms:created>
  <dcterms:modified xsi:type="dcterms:W3CDTF">2022-09-23T07:34:00Z</dcterms:modified>
</cp:coreProperties>
</file>