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BAD9" w14:textId="0E45C3C9" w:rsidR="00C831EC" w:rsidRPr="003C4D76" w:rsidRDefault="00C831EC" w:rsidP="00C831E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3C4D7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ΝΟΜΟΣ ΠΟΥ ΤΡΟΠΟΠΟΙΕΙ ΤΟ</w:t>
      </w:r>
      <w:r w:rsidRPr="003C4D76">
        <w:rPr>
          <w:rFonts w:ascii="Arial" w:eastAsia="Times New Roman" w:hAnsi="Arial" w:cs="Arial"/>
          <w:color w:val="000000"/>
          <w:sz w:val="24"/>
          <w:szCs w:val="24"/>
          <w:lang w:val="en-GB" w:eastAsia="el-GR"/>
        </w:rPr>
        <w:t>Y</w:t>
      </w:r>
      <w:r w:rsidRPr="003C4D7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Σ ΠΕΡΙ ΜΕΤΑΒΙΒΑΣΕΩΣ </w:t>
      </w:r>
      <w:r w:rsidRPr="003C4D76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KAI</w:t>
      </w:r>
      <w:r w:rsidRPr="003C4D7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ΥΠΟΘΗΚΕΥΣΕΩΣ ΑΚΙΝΗΤΩΝ ΝΟΜΟΥΣ </w:t>
      </w:r>
      <w:r w:rsidR="00F5608B" w:rsidRPr="003C4D7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ΤΟΥ 1965 ΕΩΣ (ΑΡ. 2) ΤΟΥ 2022</w:t>
      </w:r>
    </w:p>
    <w:p w14:paraId="4B0392BF" w14:textId="63218639" w:rsidR="00A00A6E" w:rsidRDefault="00A00A6E" w:rsidP="000923D9"/>
    <w:tbl>
      <w:tblPr>
        <w:tblW w:w="5000" w:type="pct"/>
        <w:tblLook w:val="04A0" w:firstRow="1" w:lastRow="0" w:firstColumn="1" w:lastColumn="0" w:noHBand="0" w:noVBand="1"/>
      </w:tblPr>
      <w:tblGrid>
        <w:gridCol w:w="2128"/>
        <w:gridCol w:w="829"/>
        <w:gridCol w:w="2226"/>
        <w:gridCol w:w="483"/>
        <w:gridCol w:w="4022"/>
      </w:tblGrid>
      <w:tr w:rsidR="003C4D76" w:rsidRPr="00CC24B2" w14:paraId="1DF35F41" w14:textId="77777777" w:rsidTr="003C4D76">
        <w:trPr>
          <w:trHeight w:val="407"/>
        </w:trPr>
        <w:tc>
          <w:tcPr>
            <w:tcW w:w="1098" w:type="pct"/>
            <w:shd w:val="clear" w:color="auto" w:fill="auto"/>
          </w:tcPr>
          <w:p w14:paraId="19F992D2" w14:textId="77777777" w:rsidR="003C4D76" w:rsidRPr="00F5608B" w:rsidRDefault="003C4D76" w:rsidP="00F5608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02" w:type="pct"/>
            <w:gridSpan w:val="4"/>
            <w:shd w:val="clear" w:color="auto" w:fill="auto"/>
          </w:tcPr>
          <w:p w14:paraId="1682408F" w14:textId="3E3005E5" w:rsidR="003C4D76" w:rsidRPr="00F5608B" w:rsidRDefault="003C4D76" w:rsidP="003C4D76">
            <w:pPr>
              <w:tabs>
                <w:tab w:val="left" w:pos="397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A04F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ab/>
            </w:r>
            <w:r w:rsidRPr="00CC47A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H</w:t>
            </w:r>
            <w:r w:rsidRPr="00CC4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Βουλή των Αντιπροσώπων ψηφίζει ως ακολούθως:</w:t>
            </w:r>
          </w:p>
        </w:tc>
      </w:tr>
      <w:tr w:rsidR="003C4D76" w:rsidRPr="00CC24B2" w14:paraId="74540463" w14:textId="77777777" w:rsidTr="003C4D76">
        <w:trPr>
          <w:trHeight w:val="407"/>
        </w:trPr>
        <w:tc>
          <w:tcPr>
            <w:tcW w:w="1098" w:type="pct"/>
            <w:shd w:val="clear" w:color="auto" w:fill="auto"/>
          </w:tcPr>
          <w:p w14:paraId="2CAA32E3" w14:textId="77777777" w:rsidR="003C4D76" w:rsidRPr="00F5608B" w:rsidRDefault="003C4D76" w:rsidP="00F5608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02" w:type="pct"/>
            <w:gridSpan w:val="4"/>
            <w:shd w:val="clear" w:color="auto" w:fill="auto"/>
          </w:tcPr>
          <w:p w14:paraId="186EF905" w14:textId="77777777" w:rsidR="003C4D76" w:rsidRPr="00F5608B" w:rsidRDefault="003C4D76" w:rsidP="00F5608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A00A6E" w:rsidRPr="00CC24B2" w14:paraId="6546823C" w14:textId="77777777" w:rsidTr="003C4D76">
        <w:trPr>
          <w:trHeight w:val="2493"/>
        </w:trPr>
        <w:tc>
          <w:tcPr>
            <w:tcW w:w="1098" w:type="pct"/>
            <w:shd w:val="clear" w:color="auto" w:fill="auto"/>
            <w:hideMark/>
          </w:tcPr>
          <w:p w14:paraId="58B46413" w14:textId="77777777" w:rsidR="00A00A6E" w:rsidRPr="00F5608B" w:rsidRDefault="00A00A6E" w:rsidP="00F5608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Συνοπτικός </w:t>
            </w:r>
          </w:p>
          <w:p w14:paraId="1B701056" w14:textId="77777777" w:rsidR="00A00A6E" w:rsidRPr="00F5608B" w:rsidRDefault="00A00A6E" w:rsidP="003C4D7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τίτλος.</w:t>
            </w:r>
          </w:p>
          <w:p w14:paraId="352F6824" w14:textId="77777777" w:rsidR="00A00A6E" w:rsidRPr="00F5608B" w:rsidRDefault="00A00A6E" w:rsidP="003C4D76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9 του 1965</w:t>
            </w:r>
          </w:p>
          <w:p w14:paraId="76BB100E" w14:textId="77777777" w:rsidR="00A00A6E" w:rsidRPr="00F5608B" w:rsidRDefault="00A00A6E" w:rsidP="003C4D76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51 του 1970 </w:t>
            </w:r>
          </w:p>
          <w:p w14:paraId="0163E745" w14:textId="77777777" w:rsidR="00A00A6E" w:rsidRPr="00F5608B" w:rsidRDefault="00A00A6E" w:rsidP="003C4D76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3 του 1978 </w:t>
            </w:r>
          </w:p>
          <w:p w14:paraId="70ABF10B" w14:textId="77777777" w:rsidR="00A00A6E" w:rsidRPr="00F5608B" w:rsidRDefault="00A00A6E" w:rsidP="003C4D76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6 του 1981 </w:t>
            </w:r>
          </w:p>
          <w:p w14:paraId="0F4B2EEF" w14:textId="77777777" w:rsidR="00A00A6E" w:rsidRPr="00F5608B" w:rsidRDefault="00A00A6E" w:rsidP="003C4D76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181(I) του 2002 </w:t>
            </w:r>
          </w:p>
          <w:p w14:paraId="5254301C" w14:textId="77777777" w:rsidR="00A00A6E" w:rsidRPr="00F5608B" w:rsidRDefault="00A00A6E" w:rsidP="003C4D76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59(I) του </w:t>
            </w:r>
            <w:r w:rsidRPr="003C4D76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2006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</w:p>
          <w:p w14:paraId="02C67F3D" w14:textId="77777777" w:rsidR="00A00A6E" w:rsidRPr="00F5608B" w:rsidRDefault="00A00A6E" w:rsidP="003C4D76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122(I) του 2007 </w:t>
            </w:r>
          </w:p>
          <w:p w14:paraId="140BEB34" w14:textId="77777777" w:rsidR="00A00A6E" w:rsidRPr="00F5608B" w:rsidRDefault="00A00A6E" w:rsidP="003C4D76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52(I) του 2008 </w:t>
            </w:r>
          </w:p>
          <w:p w14:paraId="284AEB88" w14:textId="77777777" w:rsidR="00A00A6E" w:rsidRPr="00F5608B" w:rsidRDefault="00A00A6E" w:rsidP="003C4D76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26(I) του 2010 </w:t>
            </w:r>
          </w:p>
          <w:p w14:paraId="5D3A8F61" w14:textId="77777777" w:rsidR="00A00A6E" w:rsidRPr="00F5608B" w:rsidRDefault="00A00A6E" w:rsidP="003C4D76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120(I) του 2011 </w:t>
            </w:r>
          </w:p>
          <w:p w14:paraId="2A9B6750" w14:textId="77777777" w:rsidR="00A00A6E" w:rsidRPr="00F5608B" w:rsidRDefault="00A00A6E" w:rsidP="003C4D76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142(I) του 2014 </w:t>
            </w:r>
          </w:p>
          <w:p w14:paraId="26D73132" w14:textId="77777777" w:rsidR="00A00A6E" w:rsidRPr="00F5608B" w:rsidRDefault="00A00A6E" w:rsidP="003C4D76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197(I) του 2014 </w:t>
            </w:r>
          </w:p>
          <w:p w14:paraId="2887096E" w14:textId="77777777" w:rsidR="00A00A6E" w:rsidRPr="00F5608B" w:rsidRDefault="00A00A6E" w:rsidP="003C4D76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4(I) του </w:t>
            </w:r>
            <w:r w:rsidRPr="003C4D76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2015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</w:p>
          <w:p w14:paraId="5F8198A0" w14:textId="77777777" w:rsidR="00A00A6E" w:rsidRPr="00F5608B" w:rsidRDefault="00A00A6E" w:rsidP="003C4D76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27(Ι) του 2015 </w:t>
            </w:r>
          </w:p>
          <w:p w14:paraId="09C91FE6" w14:textId="77777777" w:rsidR="00A00A6E" w:rsidRPr="00F5608B" w:rsidRDefault="00A00A6E" w:rsidP="003C4D76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32(Ι) του 2015 </w:t>
            </w:r>
          </w:p>
          <w:p w14:paraId="03D97201" w14:textId="77777777" w:rsidR="00A00A6E" w:rsidRPr="00F5608B" w:rsidRDefault="00A00A6E" w:rsidP="003C4D76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42(Ι) του 2015 </w:t>
            </w:r>
          </w:p>
          <w:p w14:paraId="47F753B9" w14:textId="77777777" w:rsidR="00A00A6E" w:rsidRPr="00F5608B" w:rsidRDefault="00A00A6E" w:rsidP="003C4D76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46(Ι) του 2015 </w:t>
            </w:r>
          </w:p>
          <w:p w14:paraId="7653C55B" w14:textId="77777777" w:rsidR="00A00A6E" w:rsidRPr="00F5608B" w:rsidRDefault="00A00A6E" w:rsidP="003C4D76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53(I) του 2015 </w:t>
            </w:r>
          </w:p>
          <w:p w14:paraId="06C73C82" w14:textId="77777777" w:rsidR="00A00A6E" w:rsidRPr="00F5608B" w:rsidRDefault="00A00A6E" w:rsidP="003C4D76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75(I) </w:t>
            </w:r>
            <w:r w:rsidRPr="003C4D76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του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2015 </w:t>
            </w:r>
          </w:p>
          <w:p w14:paraId="2468F1DD" w14:textId="77777777" w:rsidR="00A00A6E" w:rsidRPr="00F5608B" w:rsidRDefault="00A00A6E" w:rsidP="003C4D76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76(Ι) του </w:t>
            </w:r>
            <w:r w:rsidRPr="003C4D76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2015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</w:p>
          <w:p w14:paraId="69136C52" w14:textId="77777777" w:rsidR="00A00A6E" w:rsidRPr="00F5608B" w:rsidRDefault="00A00A6E" w:rsidP="003C4D76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133(I) του </w:t>
            </w:r>
            <w:r w:rsidRPr="003C4D76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2015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</w:p>
          <w:p w14:paraId="292F791B" w14:textId="77777777" w:rsidR="00A00A6E" w:rsidRPr="00F5608B" w:rsidRDefault="00A00A6E" w:rsidP="003C4D76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139(I) του </w:t>
            </w:r>
            <w:r w:rsidRPr="003C4D76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2015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</w:p>
          <w:p w14:paraId="1944221D" w14:textId="77777777" w:rsidR="00A00A6E" w:rsidRPr="000008A1" w:rsidRDefault="00A00A6E" w:rsidP="003C4D76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008A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198(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I</w:t>
            </w:r>
            <w:r w:rsidRPr="000008A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) 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του</w:t>
            </w:r>
            <w:r w:rsidRPr="000008A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r w:rsidRPr="003C4D76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2015</w:t>
            </w:r>
            <w:r w:rsidRPr="000008A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</w:p>
          <w:p w14:paraId="65DD66AF" w14:textId="77777777" w:rsidR="00A00A6E" w:rsidRPr="00F5608B" w:rsidRDefault="00A00A6E" w:rsidP="003C4D76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87(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I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) του </w:t>
            </w:r>
            <w:r w:rsidRPr="003C4D76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2018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</w:p>
          <w:p w14:paraId="79B93198" w14:textId="77777777" w:rsidR="00A00A6E" w:rsidRPr="00F5608B" w:rsidRDefault="00A00A6E" w:rsidP="003C4D76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118(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I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) του </w:t>
            </w:r>
            <w:r w:rsidRPr="003C4D76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2019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</w:p>
          <w:p w14:paraId="50B0953F" w14:textId="77777777" w:rsidR="00A00A6E" w:rsidRPr="00F5608B" w:rsidRDefault="00A00A6E" w:rsidP="00F20072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lastRenderedPageBreak/>
              <w:t>138(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I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) του 2019 </w:t>
            </w:r>
          </w:p>
          <w:p w14:paraId="215A63A3" w14:textId="77777777" w:rsidR="00A00A6E" w:rsidRPr="00F5608B" w:rsidRDefault="00A00A6E" w:rsidP="00F20072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61(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I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) του 2020 </w:t>
            </w:r>
          </w:p>
          <w:p w14:paraId="23AD1E36" w14:textId="77777777" w:rsidR="00A00A6E" w:rsidRPr="00F5608B" w:rsidRDefault="00A00A6E" w:rsidP="003C4D76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195(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I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) του </w:t>
            </w:r>
            <w:r w:rsidRPr="003C4D76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2020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</w:p>
          <w:p w14:paraId="436CC7B9" w14:textId="77777777" w:rsidR="00A00A6E" w:rsidRPr="00F5608B" w:rsidRDefault="00A00A6E" w:rsidP="003C4D76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212(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I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) του 2020 </w:t>
            </w:r>
          </w:p>
          <w:p w14:paraId="3F36D056" w14:textId="0A278436" w:rsidR="00A00A6E" w:rsidRPr="00F5608B" w:rsidRDefault="00A00A6E" w:rsidP="003C4D76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98(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I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) </w:t>
            </w:r>
            <w:r w:rsidRPr="003C4D76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του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2021</w:t>
            </w:r>
          </w:p>
          <w:p w14:paraId="6971442D" w14:textId="77777777" w:rsidR="00F5608B" w:rsidRDefault="00A00A6E" w:rsidP="003C4D76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185(Ι) </w:t>
            </w:r>
            <w:r w:rsidRPr="003C4D76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του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2021</w:t>
            </w:r>
          </w:p>
          <w:p w14:paraId="7897F510" w14:textId="77777777" w:rsidR="00F5608B" w:rsidRDefault="00F5608B" w:rsidP="003C4D76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82(Ι) του </w:t>
            </w:r>
            <w:r w:rsidRPr="003C4D76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2022</w:t>
            </w:r>
          </w:p>
          <w:p w14:paraId="0C760E4F" w14:textId="06AABC3D" w:rsidR="00A00A6E" w:rsidRPr="00F5608B" w:rsidRDefault="00F5608B" w:rsidP="003C4D76">
            <w:pPr>
              <w:spacing w:after="0" w:line="360" w:lineRule="auto"/>
              <w:ind w:right="5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147(Ι) του 2022</w:t>
            </w:r>
            <w:r w:rsidR="00A00A6E"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3902" w:type="pct"/>
            <w:gridSpan w:val="4"/>
            <w:shd w:val="clear" w:color="auto" w:fill="auto"/>
            <w:hideMark/>
          </w:tcPr>
          <w:p w14:paraId="280F9CBB" w14:textId="670C4865" w:rsidR="00A00A6E" w:rsidRPr="003C4D76" w:rsidRDefault="00A00A6E" w:rsidP="003C4D76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D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lastRenderedPageBreak/>
              <w:t xml:space="preserve">Ο παρών Νόμος θα αναφέρεται ως ο περί Μεταβιβάσεως και  Υποθηκεύσεως Ακινήτων (Τροποποιητικός) </w:t>
            </w:r>
            <w:r w:rsidR="00F5608B" w:rsidRPr="003C4D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(</w:t>
            </w:r>
            <w:proofErr w:type="spellStart"/>
            <w:r w:rsidR="00F5608B" w:rsidRPr="003C4D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Αρ</w:t>
            </w:r>
            <w:proofErr w:type="spellEnd"/>
            <w:r w:rsidR="00F5608B" w:rsidRPr="003C4D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. 3) </w:t>
            </w:r>
            <w:r w:rsidRPr="003C4D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Νόμος του 2022 και θα διαβάζεται μαζί με τους περί Μεταβιβάσεως και Υποθηκεύσεως Ακινήτων Νόμους του 1965 έως (</w:t>
            </w:r>
            <w:proofErr w:type="spellStart"/>
            <w:r w:rsidRPr="003C4D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Αρ</w:t>
            </w:r>
            <w:proofErr w:type="spellEnd"/>
            <w:r w:rsidRPr="003C4D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.</w:t>
            </w:r>
            <w:r w:rsidR="0083707D" w:rsidRPr="003C4D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3C4D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2) του 202</w:t>
            </w:r>
            <w:r w:rsidR="00F5608B" w:rsidRPr="003C4D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</w:t>
            </w:r>
            <w:r w:rsidRPr="003C4D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(που στο εξής θα αναφέρονται ως «ο βασικός νόμος») και ο </w:t>
            </w:r>
            <w:r w:rsidRPr="003C4D76">
              <w:rPr>
                <w:rFonts w:ascii="Arial" w:hAnsi="Arial" w:cs="Arial"/>
                <w:sz w:val="24"/>
                <w:szCs w:val="24"/>
              </w:rPr>
              <w:t xml:space="preserve">βασικός νόμος και ο παρών Νόμος θα αναφέρονται μαζί ως οι περί Μεταβιβάσεως και Υποθηκεύσεως Ακινήτων Νόμοι του 1965 έως </w:t>
            </w:r>
            <w:r w:rsidR="00F5608B" w:rsidRPr="003C4D76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F5608B" w:rsidRPr="003C4D76">
              <w:rPr>
                <w:rFonts w:ascii="Arial" w:hAnsi="Arial" w:cs="Arial"/>
                <w:sz w:val="24"/>
                <w:szCs w:val="24"/>
              </w:rPr>
              <w:t>Αρ</w:t>
            </w:r>
            <w:proofErr w:type="spellEnd"/>
            <w:r w:rsidR="00F5608B" w:rsidRPr="003C4D76">
              <w:rPr>
                <w:rFonts w:ascii="Arial" w:hAnsi="Arial" w:cs="Arial"/>
                <w:sz w:val="24"/>
                <w:szCs w:val="24"/>
              </w:rPr>
              <w:t xml:space="preserve">. 3) του </w:t>
            </w:r>
            <w:r w:rsidRPr="003C4D76">
              <w:rPr>
                <w:rFonts w:ascii="Arial" w:hAnsi="Arial" w:cs="Arial"/>
                <w:sz w:val="24"/>
                <w:szCs w:val="24"/>
              </w:rPr>
              <w:t>2022.</w:t>
            </w:r>
          </w:p>
          <w:p w14:paraId="79FC75F7" w14:textId="77777777" w:rsidR="00A00A6E" w:rsidRPr="00F5608B" w:rsidRDefault="00A00A6E" w:rsidP="00F5608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560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E6297" w:rsidRPr="00CC24B2" w14:paraId="08ADCA6D" w14:textId="77777777" w:rsidTr="003C4D76">
        <w:trPr>
          <w:trHeight w:val="405"/>
        </w:trPr>
        <w:tc>
          <w:tcPr>
            <w:tcW w:w="1098" w:type="pct"/>
            <w:shd w:val="clear" w:color="auto" w:fill="auto"/>
          </w:tcPr>
          <w:p w14:paraId="26BED342" w14:textId="77777777" w:rsidR="002E6297" w:rsidRPr="00F5608B" w:rsidRDefault="002E6297" w:rsidP="00F5608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02" w:type="pct"/>
            <w:gridSpan w:val="4"/>
            <w:shd w:val="clear" w:color="auto" w:fill="auto"/>
          </w:tcPr>
          <w:p w14:paraId="01BB475F" w14:textId="77777777" w:rsidR="002E6297" w:rsidRPr="00F5608B" w:rsidRDefault="002E6297" w:rsidP="00F5608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A00A6E" w:rsidRPr="00CC24B2" w14:paraId="407105BD" w14:textId="77777777" w:rsidTr="00310283">
        <w:trPr>
          <w:trHeight w:val="405"/>
        </w:trPr>
        <w:tc>
          <w:tcPr>
            <w:tcW w:w="1098" w:type="pct"/>
            <w:shd w:val="clear" w:color="auto" w:fill="auto"/>
          </w:tcPr>
          <w:p w14:paraId="5D479BC4" w14:textId="77777777" w:rsidR="00310283" w:rsidRDefault="00A00A6E" w:rsidP="00F5608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Τροποποίηση</w:t>
            </w:r>
          </w:p>
          <w:p w14:paraId="5CFF1B3A" w14:textId="62687B1B" w:rsidR="00A00A6E" w:rsidRPr="00F5608B" w:rsidRDefault="00A00A6E" w:rsidP="00F5608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του άρθρου 18 του βασικού νόμου.</w:t>
            </w:r>
          </w:p>
        </w:tc>
        <w:tc>
          <w:tcPr>
            <w:tcW w:w="3902" w:type="pct"/>
            <w:gridSpan w:val="4"/>
            <w:shd w:val="clear" w:color="auto" w:fill="auto"/>
          </w:tcPr>
          <w:p w14:paraId="41C45B55" w14:textId="6106D8FE" w:rsidR="00A00A6E" w:rsidRPr="003C4D76" w:rsidRDefault="00A00A6E" w:rsidP="00AF317B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C4D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Το άρθρο 18 του βασικού νόμου τροποποιείται με την αντικατάσταση της παραγράφου (γ) του εδαφίου (3) αυτού</w:t>
            </w:r>
            <w:r w:rsidR="00A04F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,</w:t>
            </w:r>
            <w:r w:rsidRPr="003C4D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με την ακόλουθη παράγραφο</w:t>
            </w:r>
            <w:r w:rsidR="00982DD4" w:rsidRPr="003C4D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:</w:t>
            </w:r>
          </w:p>
          <w:p w14:paraId="24F0AEDC" w14:textId="77777777" w:rsidR="00A00A6E" w:rsidRPr="00F5608B" w:rsidRDefault="00A00A6E" w:rsidP="00F5608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F5608B" w:rsidRPr="00CC24B2" w14:paraId="4E1CB8AE" w14:textId="77777777" w:rsidTr="00310283">
        <w:trPr>
          <w:trHeight w:val="405"/>
        </w:trPr>
        <w:tc>
          <w:tcPr>
            <w:tcW w:w="1098" w:type="pct"/>
            <w:shd w:val="clear" w:color="auto" w:fill="auto"/>
          </w:tcPr>
          <w:p w14:paraId="351A9EE2" w14:textId="77777777" w:rsidR="00F5608B" w:rsidRPr="00F5608B" w:rsidRDefault="00F5608B" w:rsidP="00F5608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28" w:type="pct"/>
            <w:shd w:val="clear" w:color="auto" w:fill="auto"/>
          </w:tcPr>
          <w:p w14:paraId="594E079C" w14:textId="77777777" w:rsidR="00F5608B" w:rsidRPr="00F5608B" w:rsidRDefault="00F5608B" w:rsidP="00F5608B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474" w:type="pct"/>
            <w:gridSpan w:val="3"/>
            <w:shd w:val="clear" w:color="auto" w:fill="auto"/>
          </w:tcPr>
          <w:p w14:paraId="2186DEC4" w14:textId="77777777" w:rsidR="00F5608B" w:rsidRPr="00F5608B" w:rsidRDefault="00F5608B" w:rsidP="00F5608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A00A6E" w:rsidRPr="00CC24B2" w14:paraId="2E744A0F" w14:textId="77777777" w:rsidTr="00310283">
        <w:trPr>
          <w:trHeight w:val="405"/>
        </w:trPr>
        <w:tc>
          <w:tcPr>
            <w:tcW w:w="1098" w:type="pct"/>
            <w:shd w:val="clear" w:color="auto" w:fill="auto"/>
          </w:tcPr>
          <w:p w14:paraId="4AF5F901" w14:textId="77777777" w:rsidR="00A00A6E" w:rsidRPr="00F5608B" w:rsidRDefault="00A00A6E" w:rsidP="00F5608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28" w:type="pct"/>
            <w:shd w:val="clear" w:color="auto" w:fill="auto"/>
          </w:tcPr>
          <w:p w14:paraId="595E70EE" w14:textId="77777777" w:rsidR="00A00A6E" w:rsidRPr="00F5608B" w:rsidRDefault="00A00A6E" w:rsidP="00F5608B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«(γ)</w:t>
            </w:r>
          </w:p>
        </w:tc>
        <w:tc>
          <w:tcPr>
            <w:tcW w:w="3474" w:type="pct"/>
            <w:gridSpan w:val="3"/>
            <w:shd w:val="clear" w:color="auto" w:fill="auto"/>
          </w:tcPr>
          <w:p w14:paraId="25A462F0" w14:textId="3DB67DAF" w:rsidR="00A00A6E" w:rsidRPr="00F5608B" w:rsidRDefault="00A00A6E" w:rsidP="00F5608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βεβαίωση από τον Έφορο Φορολογίας ότι</w:t>
            </w:r>
            <w:r w:rsidR="00982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</w:t>
            </w:r>
          </w:p>
        </w:tc>
      </w:tr>
      <w:tr w:rsidR="00F5608B" w:rsidRPr="00CC24B2" w14:paraId="106E99BA" w14:textId="77777777" w:rsidTr="00310283">
        <w:trPr>
          <w:trHeight w:val="405"/>
        </w:trPr>
        <w:tc>
          <w:tcPr>
            <w:tcW w:w="1098" w:type="pct"/>
            <w:shd w:val="clear" w:color="auto" w:fill="auto"/>
          </w:tcPr>
          <w:p w14:paraId="79D6B616" w14:textId="77777777" w:rsidR="00F5608B" w:rsidRPr="00F5608B" w:rsidRDefault="00F5608B" w:rsidP="00F5608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28" w:type="pct"/>
            <w:shd w:val="clear" w:color="auto" w:fill="auto"/>
          </w:tcPr>
          <w:p w14:paraId="3D14713D" w14:textId="77777777" w:rsidR="00F5608B" w:rsidRPr="00F5608B" w:rsidRDefault="00F5608B" w:rsidP="00F5608B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474" w:type="pct"/>
            <w:gridSpan w:val="3"/>
            <w:shd w:val="clear" w:color="auto" w:fill="auto"/>
          </w:tcPr>
          <w:p w14:paraId="544905C1" w14:textId="77777777" w:rsidR="00F5608B" w:rsidRPr="00F5608B" w:rsidRDefault="00F5608B" w:rsidP="00F5608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F5608B" w:rsidRPr="00CC24B2" w14:paraId="481D8850" w14:textId="77777777" w:rsidTr="00310283">
        <w:trPr>
          <w:trHeight w:val="405"/>
        </w:trPr>
        <w:tc>
          <w:tcPr>
            <w:tcW w:w="1098" w:type="pct"/>
            <w:shd w:val="clear" w:color="auto" w:fill="auto"/>
          </w:tcPr>
          <w:p w14:paraId="371E984C" w14:textId="77777777" w:rsidR="00F5608B" w:rsidRPr="00F5608B" w:rsidRDefault="00F5608B" w:rsidP="00F5608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28" w:type="pct"/>
            <w:shd w:val="clear" w:color="auto" w:fill="auto"/>
          </w:tcPr>
          <w:p w14:paraId="2BC56437" w14:textId="77777777" w:rsidR="00F5608B" w:rsidRPr="00F5608B" w:rsidRDefault="00F5608B" w:rsidP="00F5608B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49" w:type="pct"/>
            <w:shd w:val="clear" w:color="auto" w:fill="auto"/>
          </w:tcPr>
          <w:p w14:paraId="25911B22" w14:textId="77777777" w:rsidR="00F5608B" w:rsidRDefault="00F5608B" w:rsidP="00F5608B">
            <w:pPr>
              <w:spacing w:after="0" w:line="360" w:lineRule="auto"/>
              <w:ind w:left="-112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  <w:p w14:paraId="2775D8EA" w14:textId="77777777" w:rsidR="00F5608B" w:rsidRDefault="00F5608B" w:rsidP="00F5608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  <w:p w14:paraId="1D27E2B1" w14:textId="7DEDD0F2" w:rsidR="00F5608B" w:rsidRPr="00F5608B" w:rsidRDefault="00F5608B" w:rsidP="003C4D76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52 του 1980</w:t>
            </w:r>
          </w:p>
          <w:p w14:paraId="1E30562D" w14:textId="77777777" w:rsidR="00F5608B" w:rsidRPr="00F5608B" w:rsidRDefault="00F5608B" w:rsidP="003C4D76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135 του 1990 </w:t>
            </w:r>
          </w:p>
          <w:p w14:paraId="3F66C6D4" w14:textId="77777777" w:rsidR="00F5608B" w:rsidRPr="00F5608B" w:rsidRDefault="00F5608B" w:rsidP="003C4D76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70(Ι) του 1994 </w:t>
            </w:r>
          </w:p>
          <w:p w14:paraId="64E67B9F" w14:textId="77777777" w:rsidR="00F5608B" w:rsidRPr="00F5608B" w:rsidRDefault="00F5608B" w:rsidP="003C4D76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80(Ι) του 1997 </w:t>
            </w:r>
          </w:p>
          <w:p w14:paraId="79215CF9" w14:textId="77777777" w:rsidR="00F5608B" w:rsidRPr="00F5608B" w:rsidRDefault="00F5608B" w:rsidP="003C4D76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48(Ι) του 1999 </w:t>
            </w:r>
          </w:p>
          <w:p w14:paraId="0FF8B0F9" w14:textId="77777777" w:rsidR="00F5608B" w:rsidRPr="00F5608B" w:rsidRDefault="00F5608B" w:rsidP="003C4D76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79(Ι) του 1999 </w:t>
            </w:r>
          </w:p>
          <w:p w14:paraId="72D608F8" w14:textId="77777777" w:rsidR="00F5608B" w:rsidRPr="00F5608B" w:rsidRDefault="00F5608B" w:rsidP="003C4D76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119(Ι) του 2002 </w:t>
            </w:r>
          </w:p>
          <w:p w14:paraId="1822F6E0" w14:textId="77777777" w:rsidR="00F5608B" w:rsidRPr="00F5608B" w:rsidRDefault="00F5608B" w:rsidP="003C4D76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66(Ι) του 2008 </w:t>
            </w:r>
          </w:p>
          <w:p w14:paraId="1065AEB1" w14:textId="77777777" w:rsidR="00F5608B" w:rsidRPr="00F5608B" w:rsidRDefault="00F5608B" w:rsidP="003C4D76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135(Ι) του 2010 </w:t>
            </w:r>
          </w:p>
          <w:p w14:paraId="77679AFC" w14:textId="77777777" w:rsidR="00F5608B" w:rsidRPr="00F5608B" w:rsidRDefault="00F5608B" w:rsidP="003C4D76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119(Ι) του 2013 </w:t>
            </w:r>
          </w:p>
          <w:p w14:paraId="00669BF3" w14:textId="77777777" w:rsidR="00F5608B" w:rsidRPr="00F5608B" w:rsidRDefault="00F5608B" w:rsidP="003C4D76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120(Ι) του 2013 </w:t>
            </w:r>
          </w:p>
          <w:p w14:paraId="40CCCA3A" w14:textId="77777777" w:rsidR="00F5608B" w:rsidRPr="00F5608B" w:rsidRDefault="00F5608B" w:rsidP="003C4D76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59(Ι) του 2015</w:t>
            </w:r>
          </w:p>
          <w:p w14:paraId="0B76E220" w14:textId="77777777" w:rsidR="00F5608B" w:rsidRPr="00F5608B" w:rsidRDefault="00F5608B" w:rsidP="003C4D76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117(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I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) του 2015 </w:t>
            </w:r>
          </w:p>
          <w:p w14:paraId="6ACD8AF0" w14:textId="77777777" w:rsidR="00F5608B" w:rsidRPr="00F5608B" w:rsidRDefault="00F5608B" w:rsidP="003C4D76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lastRenderedPageBreak/>
              <w:t>189(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I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) του 2015 </w:t>
            </w:r>
          </w:p>
          <w:p w14:paraId="6A58048F" w14:textId="77777777" w:rsidR="00F5608B" w:rsidRPr="00F5608B" w:rsidRDefault="00F5608B" w:rsidP="003C4D76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213(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I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) του 2015 </w:t>
            </w:r>
          </w:p>
          <w:p w14:paraId="4DB3C707" w14:textId="77777777" w:rsidR="00F5608B" w:rsidRPr="00F5608B" w:rsidRDefault="00F5608B" w:rsidP="003C4D76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65(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I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) του 2016 </w:t>
            </w:r>
          </w:p>
          <w:p w14:paraId="04E732A9" w14:textId="77777777" w:rsidR="00F5608B" w:rsidRPr="00F5608B" w:rsidRDefault="00F5608B" w:rsidP="003C4D76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116(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I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) του 2016 </w:t>
            </w:r>
          </w:p>
          <w:p w14:paraId="348F2C13" w14:textId="77777777" w:rsidR="00F5608B" w:rsidRPr="00F5608B" w:rsidRDefault="00F5608B" w:rsidP="003C4D76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133(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I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) του 2017 </w:t>
            </w:r>
          </w:p>
          <w:p w14:paraId="739AB4F5" w14:textId="77777777" w:rsidR="00F5608B" w:rsidRPr="00F5608B" w:rsidRDefault="00F5608B" w:rsidP="003C4D76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100(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I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) του 2018 </w:t>
            </w:r>
          </w:p>
          <w:p w14:paraId="111D15F7" w14:textId="77777777" w:rsidR="00F5608B" w:rsidRPr="00F5608B" w:rsidRDefault="00F5608B" w:rsidP="003C4D76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120(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I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) του 2018 </w:t>
            </w:r>
          </w:p>
          <w:p w14:paraId="23E05B0E" w14:textId="77777777" w:rsidR="00F5608B" w:rsidRPr="00F5608B" w:rsidRDefault="00F5608B" w:rsidP="003C4D76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23(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I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) του 2019 </w:t>
            </w:r>
          </w:p>
          <w:p w14:paraId="7111F602" w14:textId="77777777" w:rsidR="00F5608B" w:rsidRPr="00F5608B" w:rsidRDefault="00F5608B" w:rsidP="003C4D76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157(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I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) του 2019 </w:t>
            </w:r>
          </w:p>
          <w:p w14:paraId="5917A755" w14:textId="77777777" w:rsidR="00F5608B" w:rsidRPr="00F5608B" w:rsidRDefault="00F5608B" w:rsidP="003C4D76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93(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I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) του 2020 </w:t>
            </w:r>
          </w:p>
          <w:p w14:paraId="7B7B4469" w14:textId="77777777" w:rsidR="00F5608B" w:rsidRPr="00F5608B" w:rsidRDefault="00F5608B" w:rsidP="003C4D76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181(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I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) του 2020 </w:t>
            </w:r>
          </w:p>
          <w:p w14:paraId="42FC7CDC" w14:textId="77777777" w:rsidR="00F5608B" w:rsidRPr="00F5608B" w:rsidRDefault="00F5608B" w:rsidP="003C4D76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206(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I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) του 2020 </w:t>
            </w:r>
          </w:p>
          <w:p w14:paraId="4973AE39" w14:textId="6B4EE28E" w:rsidR="00F5608B" w:rsidRPr="00F5608B" w:rsidRDefault="00F5608B" w:rsidP="003C4D76">
            <w:pPr>
              <w:spacing w:after="0" w:line="360" w:lineRule="auto"/>
              <w:ind w:right="5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176(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I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) του 2021.</w:t>
            </w:r>
          </w:p>
        </w:tc>
        <w:tc>
          <w:tcPr>
            <w:tcW w:w="249" w:type="pct"/>
            <w:shd w:val="clear" w:color="auto" w:fill="auto"/>
          </w:tcPr>
          <w:p w14:paraId="75EFA52F" w14:textId="27464735" w:rsidR="00F5608B" w:rsidRPr="00F5608B" w:rsidRDefault="00F5608B" w:rsidP="00F5608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lastRenderedPageBreak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)</w:t>
            </w:r>
          </w:p>
        </w:tc>
        <w:tc>
          <w:tcPr>
            <w:tcW w:w="2076" w:type="pct"/>
            <w:shd w:val="clear" w:color="auto" w:fill="auto"/>
          </w:tcPr>
          <w:p w14:paraId="710EA998" w14:textId="3017A0F9" w:rsidR="00F5608B" w:rsidRPr="00F5608B" w:rsidRDefault="00F5608B" w:rsidP="00F5608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ο φόρος που προκύπτει από τη διάθεση του ακινήτου</w:t>
            </w:r>
            <w:r w:rsidR="00A04F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,</w:t>
            </w:r>
            <w:r w:rsidRPr="00F560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σύμφωνα με τις διατάξεις του περί Φορολογίας Κεφαλαιουχικών Κερδών Νόμου</w:t>
            </w:r>
            <w:r w:rsidR="00A04F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,</w:t>
            </w:r>
            <w:r w:rsidRPr="00F560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έχει καταβληθεί ή η πληρωμή του έχει ανασταλεί ή δεν προκύπτει φόρος</w:t>
            </w:r>
            <w:r w:rsidR="00A04F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·</w:t>
            </w:r>
            <w:r w:rsidRPr="00F560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</w:t>
            </w:r>
          </w:p>
          <w:p w14:paraId="4EA26C32" w14:textId="74D9252A" w:rsidR="00F5608B" w:rsidRPr="00F5608B" w:rsidRDefault="00F5608B" w:rsidP="00F5608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440AE5" w:rsidRPr="00CC24B2" w14:paraId="67645916" w14:textId="77777777" w:rsidTr="00310283">
        <w:trPr>
          <w:trHeight w:val="405"/>
        </w:trPr>
        <w:tc>
          <w:tcPr>
            <w:tcW w:w="1098" w:type="pct"/>
            <w:shd w:val="clear" w:color="auto" w:fill="auto"/>
          </w:tcPr>
          <w:p w14:paraId="06636A18" w14:textId="77777777" w:rsidR="00440AE5" w:rsidRPr="00F5608B" w:rsidRDefault="00440AE5" w:rsidP="00F5608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28" w:type="pct"/>
            <w:shd w:val="clear" w:color="auto" w:fill="auto"/>
          </w:tcPr>
          <w:p w14:paraId="2EE9BF49" w14:textId="77777777" w:rsidR="00440AE5" w:rsidRPr="00F5608B" w:rsidRDefault="00440AE5" w:rsidP="00F5608B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49" w:type="pct"/>
            <w:shd w:val="clear" w:color="auto" w:fill="auto"/>
          </w:tcPr>
          <w:p w14:paraId="585C1F92" w14:textId="77777777" w:rsidR="00440AE5" w:rsidRDefault="00440AE5" w:rsidP="00F5608B">
            <w:pPr>
              <w:spacing w:after="0" w:line="360" w:lineRule="auto"/>
              <w:ind w:left="-112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49" w:type="pct"/>
            <w:shd w:val="clear" w:color="auto" w:fill="auto"/>
          </w:tcPr>
          <w:p w14:paraId="61340BE3" w14:textId="77777777" w:rsidR="00440AE5" w:rsidRDefault="00440AE5" w:rsidP="00F5608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076" w:type="pct"/>
            <w:shd w:val="clear" w:color="auto" w:fill="auto"/>
          </w:tcPr>
          <w:p w14:paraId="24B8FA3A" w14:textId="77777777" w:rsidR="00440AE5" w:rsidRPr="00F5608B" w:rsidRDefault="00440AE5" w:rsidP="00F5608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440AE5" w:rsidRPr="00CC24B2" w14:paraId="1AB5BE8C" w14:textId="77777777" w:rsidTr="00310283">
        <w:trPr>
          <w:trHeight w:val="405"/>
        </w:trPr>
        <w:tc>
          <w:tcPr>
            <w:tcW w:w="1098" w:type="pct"/>
            <w:shd w:val="clear" w:color="auto" w:fill="auto"/>
          </w:tcPr>
          <w:p w14:paraId="3F7A9B6C" w14:textId="77777777" w:rsidR="00440AE5" w:rsidRPr="00F5608B" w:rsidRDefault="00440AE5" w:rsidP="00F5608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28" w:type="pct"/>
            <w:shd w:val="clear" w:color="auto" w:fill="auto"/>
          </w:tcPr>
          <w:p w14:paraId="5DA953E0" w14:textId="77777777" w:rsidR="00440AE5" w:rsidRPr="00F5608B" w:rsidRDefault="00440AE5" w:rsidP="00F5608B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49" w:type="pct"/>
            <w:shd w:val="clear" w:color="auto" w:fill="auto"/>
          </w:tcPr>
          <w:p w14:paraId="72F2BE33" w14:textId="77777777" w:rsidR="00440AE5" w:rsidRDefault="00440AE5" w:rsidP="00F5608B">
            <w:pPr>
              <w:spacing w:after="0" w:line="360" w:lineRule="auto"/>
              <w:ind w:left="-112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  <w:p w14:paraId="3A595FA1" w14:textId="77777777" w:rsidR="00440AE5" w:rsidRDefault="00440AE5" w:rsidP="00F5608B">
            <w:pPr>
              <w:spacing w:after="0" w:line="360" w:lineRule="auto"/>
              <w:ind w:left="-112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  <w:p w14:paraId="2BFD8B99" w14:textId="77777777" w:rsidR="00440AE5" w:rsidRPr="00F5608B" w:rsidRDefault="00440AE5" w:rsidP="009A1DD1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141 του 1989</w:t>
            </w:r>
          </w:p>
          <w:p w14:paraId="38E129CD" w14:textId="77777777" w:rsidR="00440AE5" w:rsidRPr="00F5608B" w:rsidRDefault="00440AE5" w:rsidP="009A1DD1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70(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I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) του 1998 </w:t>
            </w:r>
          </w:p>
          <w:p w14:paraId="310D604F" w14:textId="77777777" w:rsidR="00440AE5" w:rsidRPr="00F5608B" w:rsidRDefault="00440AE5" w:rsidP="009A1DD1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105(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I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) του 1999 </w:t>
            </w:r>
          </w:p>
          <w:p w14:paraId="6934916F" w14:textId="77777777" w:rsidR="00440AE5" w:rsidRPr="00F5608B" w:rsidRDefault="00440AE5" w:rsidP="009A1DD1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163(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I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) του 2000 </w:t>
            </w:r>
          </w:p>
          <w:p w14:paraId="20BC4E41" w14:textId="77777777" w:rsidR="00440AE5" w:rsidRPr="00F5608B" w:rsidRDefault="00440AE5" w:rsidP="009A1DD1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169(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I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) του 2003 </w:t>
            </w:r>
          </w:p>
          <w:p w14:paraId="7312E1E9" w14:textId="77777777" w:rsidR="00440AE5" w:rsidRPr="00F5608B" w:rsidRDefault="00440AE5" w:rsidP="009A1DD1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254(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I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) του 2004 </w:t>
            </w:r>
          </w:p>
          <w:p w14:paraId="7F21C362" w14:textId="77777777" w:rsidR="00440AE5" w:rsidRPr="00F5608B" w:rsidRDefault="00440AE5" w:rsidP="009A1DD1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156(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I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) του 2005 </w:t>
            </w:r>
          </w:p>
          <w:p w14:paraId="4D5181B5" w14:textId="77777777" w:rsidR="00440AE5" w:rsidRPr="00F5608B" w:rsidRDefault="00440AE5" w:rsidP="009A1DD1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52(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I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) του 2011 </w:t>
            </w:r>
          </w:p>
          <w:p w14:paraId="4AE9E760" w14:textId="77777777" w:rsidR="00440AE5" w:rsidRDefault="00440AE5" w:rsidP="009A1DD1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5(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I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) του 2019 </w:t>
            </w:r>
          </w:p>
          <w:p w14:paraId="23AD68D2" w14:textId="77777777" w:rsidR="000008A1" w:rsidRDefault="00440AE5" w:rsidP="009A1DD1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12(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I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) του 2021</w:t>
            </w:r>
          </w:p>
          <w:p w14:paraId="14EB5722" w14:textId="77777777" w:rsidR="008A6090" w:rsidRDefault="000008A1" w:rsidP="009A1DD1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92(Ι) του 2022</w:t>
            </w:r>
          </w:p>
          <w:p w14:paraId="4403A9D1" w14:textId="5957EFEB" w:rsidR="00440AE5" w:rsidRDefault="008A6090" w:rsidP="009A1DD1">
            <w:pPr>
              <w:spacing w:after="0" w:line="36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…(Ι) του 2022</w:t>
            </w:r>
            <w:r w:rsidR="00440AE5"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249" w:type="pct"/>
            <w:shd w:val="clear" w:color="auto" w:fill="auto"/>
          </w:tcPr>
          <w:p w14:paraId="3A2F3D85" w14:textId="77777777" w:rsidR="00440AE5" w:rsidRPr="00F5608B" w:rsidRDefault="00440AE5" w:rsidP="00440AE5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(</w:t>
            </w:r>
            <w:r w:rsidRPr="00F5608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l-GR"/>
              </w:rPr>
              <w:t>ii</w:t>
            </w:r>
            <w:r w:rsidRPr="00F560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)</w:t>
            </w:r>
          </w:p>
          <w:p w14:paraId="5B9690EA" w14:textId="77777777" w:rsidR="00440AE5" w:rsidRDefault="00440AE5" w:rsidP="00F5608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076" w:type="pct"/>
            <w:shd w:val="clear" w:color="auto" w:fill="auto"/>
          </w:tcPr>
          <w:p w14:paraId="56924247" w14:textId="43942FA8" w:rsidR="00440AE5" w:rsidRPr="00F5608B" w:rsidRDefault="00440AE5" w:rsidP="00440AE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τέλος, ίσο με ποσοστό ύψους 0,40% επί του τιμήματος πώλησης, σύμφωνα με τις διατάξεις του περί του Κεντρικού Φορέα Ισότιμης Κατανομής Βαρών (Σύσταση, Σκοποί, Αρμοδιότητες και Άλλα Συναφή Θέματα) Νόμου, έχει καταβληθεί από τον πωλητή ή δεν προκύπτει </w:t>
            </w:r>
            <w:r w:rsidR="00982DD4" w:rsidRPr="000B1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υποχρέωση καταβολής</w:t>
            </w:r>
            <w:r w:rsidR="00982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F560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τέλο</w:t>
            </w:r>
            <w:r w:rsidR="00982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υ</w:t>
            </w:r>
            <w:r w:rsidRPr="00F560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ς·».</w:t>
            </w:r>
          </w:p>
          <w:p w14:paraId="3A42409E" w14:textId="77777777" w:rsidR="00440AE5" w:rsidRPr="00F5608B" w:rsidRDefault="00440AE5" w:rsidP="00F5608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</w:tbl>
    <w:p w14:paraId="7E8E2191" w14:textId="77777777" w:rsidR="00A04F4F" w:rsidRDefault="00A04F4F" w:rsidP="009A1DD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A069CEF" w14:textId="77777777" w:rsidR="00A04F4F" w:rsidRDefault="00A04F4F" w:rsidP="009A1DD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B277DF4" w14:textId="2DAABC4D" w:rsidR="00A00A6E" w:rsidRDefault="00F20072" w:rsidP="009A1DD1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Αρ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Φακ</w:t>
      </w:r>
      <w:proofErr w:type="spellEnd"/>
      <w:r>
        <w:rPr>
          <w:rFonts w:ascii="Arial" w:hAnsi="Arial" w:cs="Arial"/>
          <w:sz w:val="20"/>
          <w:szCs w:val="20"/>
        </w:rPr>
        <w:t xml:space="preserve">.: </w:t>
      </w:r>
      <w:r w:rsidR="00440AE5" w:rsidRPr="009A1DD1">
        <w:rPr>
          <w:rFonts w:ascii="Arial" w:hAnsi="Arial" w:cs="Arial"/>
          <w:sz w:val="20"/>
          <w:szCs w:val="20"/>
        </w:rPr>
        <w:t>23.01.063.099-2022</w:t>
      </w:r>
    </w:p>
    <w:p w14:paraId="0BB84421" w14:textId="77777777" w:rsidR="00F20072" w:rsidRDefault="00F20072" w:rsidP="00F2007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ΣΚ/ΑΟΛ/ΧΧ</w:t>
      </w:r>
    </w:p>
    <w:p w14:paraId="36405A00" w14:textId="77777777" w:rsidR="00F20072" w:rsidRPr="009A1DD1" w:rsidRDefault="00F20072" w:rsidP="009A1DD1">
      <w:pPr>
        <w:spacing w:after="0" w:line="360" w:lineRule="auto"/>
        <w:rPr>
          <w:sz w:val="20"/>
          <w:szCs w:val="20"/>
        </w:rPr>
      </w:pPr>
    </w:p>
    <w:sectPr w:rsidR="00F20072" w:rsidRPr="009A1DD1" w:rsidSect="00A04F4F">
      <w:headerReference w:type="default" r:id="rId7"/>
      <w:footerReference w:type="default" r:id="rId8"/>
      <w:pgSz w:w="12240" w:h="15840"/>
      <w:pgMar w:top="1134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BEA46" w14:textId="77777777" w:rsidR="007F0AD5" w:rsidRDefault="007F0AD5" w:rsidP="004D6D19">
      <w:pPr>
        <w:spacing w:after="0" w:line="240" w:lineRule="auto"/>
      </w:pPr>
      <w:r>
        <w:separator/>
      </w:r>
    </w:p>
  </w:endnote>
  <w:endnote w:type="continuationSeparator" w:id="0">
    <w:p w14:paraId="1DEFDE21" w14:textId="77777777" w:rsidR="007F0AD5" w:rsidRDefault="007F0AD5" w:rsidP="004D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559AE" w14:textId="29F0F5D2" w:rsidR="004D6D19" w:rsidRPr="004D6D19" w:rsidRDefault="004D6D19">
    <w:pPr>
      <w:pStyle w:val="Footer"/>
      <w:jc w:val="right"/>
      <w:rPr>
        <w:rFonts w:ascii="Arial" w:hAnsi="Arial" w:cs="Arial"/>
      </w:rPr>
    </w:pPr>
  </w:p>
  <w:p w14:paraId="5D8E61AB" w14:textId="77777777" w:rsidR="004D6D19" w:rsidRDefault="004D6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377FF" w14:textId="77777777" w:rsidR="007F0AD5" w:rsidRDefault="007F0AD5" w:rsidP="004D6D19">
      <w:pPr>
        <w:spacing w:after="0" w:line="240" w:lineRule="auto"/>
      </w:pPr>
      <w:r>
        <w:separator/>
      </w:r>
    </w:p>
  </w:footnote>
  <w:footnote w:type="continuationSeparator" w:id="0">
    <w:p w14:paraId="2B1D2B6A" w14:textId="77777777" w:rsidR="007F0AD5" w:rsidRDefault="007F0AD5" w:rsidP="004D6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567145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298312B9" w14:textId="206C35ED" w:rsidR="00F20072" w:rsidRPr="00F20072" w:rsidRDefault="00F20072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F20072">
          <w:rPr>
            <w:rFonts w:ascii="Arial" w:hAnsi="Arial" w:cs="Arial"/>
            <w:sz w:val="24"/>
            <w:szCs w:val="24"/>
          </w:rPr>
          <w:fldChar w:fldCharType="begin"/>
        </w:r>
        <w:r w:rsidRPr="00F2007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F20072">
          <w:rPr>
            <w:rFonts w:ascii="Arial" w:hAnsi="Arial" w:cs="Arial"/>
            <w:sz w:val="24"/>
            <w:szCs w:val="24"/>
          </w:rPr>
          <w:fldChar w:fldCharType="separate"/>
        </w:r>
        <w:r w:rsidRPr="00F20072">
          <w:rPr>
            <w:rFonts w:ascii="Arial" w:hAnsi="Arial" w:cs="Arial"/>
            <w:noProof/>
            <w:sz w:val="24"/>
            <w:szCs w:val="24"/>
          </w:rPr>
          <w:t>2</w:t>
        </w:r>
        <w:r w:rsidRPr="00F20072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2108FF66" w14:textId="77777777" w:rsidR="00CC47A1" w:rsidRDefault="00CC4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1843"/>
    <w:multiLevelType w:val="multilevel"/>
    <w:tmpl w:val="044A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C6E2C"/>
    <w:multiLevelType w:val="hybridMultilevel"/>
    <w:tmpl w:val="BDB0AD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C298F"/>
    <w:multiLevelType w:val="hybridMultilevel"/>
    <w:tmpl w:val="86DE6D42"/>
    <w:lvl w:ilvl="0" w:tplc="8FFE6C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02CE3"/>
    <w:multiLevelType w:val="multilevel"/>
    <w:tmpl w:val="77A8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D73AB6"/>
    <w:multiLevelType w:val="multilevel"/>
    <w:tmpl w:val="14EE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131608"/>
    <w:multiLevelType w:val="hybridMultilevel"/>
    <w:tmpl w:val="DB34EB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549882">
    <w:abstractNumId w:val="0"/>
  </w:num>
  <w:num w:numId="2" w16cid:durableId="2106221774">
    <w:abstractNumId w:val="5"/>
  </w:num>
  <w:num w:numId="3" w16cid:durableId="50278904">
    <w:abstractNumId w:val="4"/>
  </w:num>
  <w:num w:numId="4" w16cid:durableId="422339321">
    <w:abstractNumId w:val="3"/>
  </w:num>
  <w:num w:numId="5" w16cid:durableId="1720781576">
    <w:abstractNumId w:val="1"/>
  </w:num>
  <w:num w:numId="6" w16cid:durableId="228275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652"/>
    <w:rsid w:val="000008A1"/>
    <w:rsid w:val="0001759F"/>
    <w:rsid w:val="000266CE"/>
    <w:rsid w:val="00050E33"/>
    <w:rsid w:val="000749EA"/>
    <w:rsid w:val="0007781C"/>
    <w:rsid w:val="00085846"/>
    <w:rsid w:val="000923D9"/>
    <w:rsid w:val="000A232C"/>
    <w:rsid w:val="000A54ED"/>
    <w:rsid w:val="000B179B"/>
    <w:rsid w:val="000D5AA1"/>
    <w:rsid w:val="000D7EDF"/>
    <w:rsid w:val="000E3117"/>
    <w:rsid w:val="000F544A"/>
    <w:rsid w:val="00124567"/>
    <w:rsid w:val="0014179D"/>
    <w:rsid w:val="00163B48"/>
    <w:rsid w:val="00192FE9"/>
    <w:rsid w:val="001A3B82"/>
    <w:rsid w:val="001B3F94"/>
    <w:rsid w:val="001D0CC7"/>
    <w:rsid w:val="001D5446"/>
    <w:rsid w:val="001F4CA8"/>
    <w:rsid w:val="002116A7"/>
    <w:rsid w:val="00213EDC"/>
    <w:rsid w:val="00216585"/>
    <w:rsid w:val="00217FD9"/>
    <w:rsid w:val="0022626F"/>
    <w:rsid w:val="002469D2"/>
    <w:rsid w:val="0026105A"/>
    <w:rsid w:val="0026549E"/>
    <w:rsid w:val="002708FE"/>
    <w:rsid w:val="00284A31"/>
    <w:rsid w:val="0029237F"/>
    <w:rsid w:val="00294569"/>
    <w:rsid w:val="002A0DAE"/>
    <w:rsid w:val="002B1B9C"/>
    <w:rsid w:val="002B3944"/>
    <w:rsid w:val="002E1690"/>
    <w:rsid w:val="002E6297"/>
    <w:rsid w:val="002F30A3"/>
    <w:rsid w:val="002F4D04"/>
    <w:rsid w:val="00310283"/>
    <w:rsid w:val="003121D0"/>
    <w:rsid w:val="00345AA0"/>
    <w:rsid w:val="00346833"/>
    <w:rsid w:val="00350DD1"/>
    <w:rsid w:val="003561E8"/>
    <w:rsid w:val="003604B9"/>
    <w:rsid w:val="00366E2C"/>
    <w:rsid w:val="00375A87"/>
    <w:rsid w:val="00377ADC"/>
    <w:rsid w:val="00386051"/>
    <w:rsid w:val="003A0D42"/>
    <w:rsid w:val="003A2C3E"/>
    <w:rsid w:val="003B19BA"/>
    <w:rsid w:val="003B1C5D"/>
    <w:rsid w:val="003C1472"/>
    <w:rsid w:val="003C1CB8"/>
    <w:rsid w:val="003C4D76"/>
    <w:rsid w:val="003D4409"/>
    <w:rsid w:val="003D666B"/>
    <w:rsid w:val="003D7313"/>
    <w:rsid w:val="003E70A6"/>
    <w:rsid w:val="003F01DE"/>
    <w:rsid w:val="00400C36"/>
    <w:rsid w:val="004126A0"/>
    <w:rsid w:val="00423983"/>
    <w:rsid w:val="0043240A"/>
    <w:rsid w:val="00440AE5"/>
    <w:rsid w:val="00444B83"/>
    <w:rsid w:val="004634BE"/>
    <w:rsid w:val="00467EC8"/>
    <w:rsid w:val="00471892"/>
    <w:rsid w:val="00491722"/>
    <w:rsid w:val="00494A2F"/>
    <w:rsid w:val="00496150"/>
    <w:rsid w:val="00496BBF"/>
    <w:rsid w:val="0049701C"/>
    <w:rsid w:val="004D6D19"/>
    <w:rsid w:val="004E0BB4"/>
    <w:rsid w:val="004E16A3"/>
    <w:rsid w:val="004F67AC"/>
    <w:rsid w:val="00507126"/>
    <w:rsid w:val="00523F7F"/>
    <w:rsid w:val="00555007"/>
    <w:rsid w:val="0055723D"/>
    <w:rsid w:val="00573CB2"/>
    <w:rsid w:val="0059612D"/>
    <w:rsid w:val="005A2FAC"/>
    <w:rsid w:val="0063085C"/>
    <w:rsid w:val="0063517C"/>
    <w:rsid w:val="00677D35"/>
    <w:rsid w:val="006A1F08"/>
    <w:rsid w:val="006A4BBE"/>
    <w:rsid w:val="006D4EC4"/>
    <w:rsid w:val="006F6370"/>
    <w:rsid w:val="006F6E9B"/>
    <w:rsid w:val="0070536F"/>
    <w:rsid w:val="00713EB4"/>
    <w:rsid w:val="007216B8"/>
    <w:rsid w:val="00764B75"/>
    <w:rsid w:val="00767C71"/>
    <w:rsid w:val="00781ED9"/>
    <w:rsid w:val="00782F69"/>
    <w:rsid w:val="00783F17"/>
    <w:rsid w:val="007A18BD"/>
    <w:rsid w:val="007E788F"/>
    <w:rsid w:val="007E7A2B"/>
    <w:rsid w:val="007F0AD5"/>
    <w:rsid w:val="0080581A"/>
    <w:rsid w:val="00820CED"/>
    <w:rsid w:val="0083707D"/>
    <w:rsid w:val="00840D1C"/>
    <w:rsid w:val="00851313"/>
    <w:rsid w:val="00856C4E"/>
    <w:rsid w:val="00890952"/>
    <w:rsid w:val="00894123"/>
    <w:rsid w:val="008941BD"/>
    <w:rsid w:val="008A540F"/>
    <w:rsid w:val="008A6090"/>
    <w:rsid w:val="008E0BC4"/>
    <w:rsid w:val="008F2FE5"/>
    <w:rsid w:val="008F6D2B"/>
    <w:rsid w:val="009060F2"/>
    <w:rsid w:val="009175E9"/>
    <w:rsid w:val="0093231A"/>
    <w:rsid w:val="00934A75"/>
    <w:rsid w:val="009401CF"/>
    <w:rsid w:val="00947C51"/>
    <w:rsid w:val="0095138B"/>
    <w:rsid w:val="00954040"/>
    <w:rsid w:val="00957CA2"/>
    <w:rsid w:val="00977875"/>
    <w:rsid w:val="00982DD4"/>
    <w:rsid w:val="009953E7"/>
    <w:rsid w:val="009A1DD1"/>
    <w:rsid w:val="009C0DD9"/>
    <w:rsid w:val="009C6277"/>
    <w:rsid w:val="009E74AC"/>
    <w:rsid w:val="009F0945"/>
    <w:rsid w:val="009F1FAF"/>
    <w:rsid w:val="00A00A6E"/>
    <w:rsid w:val="00A03369"/>
    <w:rsid w:val="00A04F4F"/>
    <w:rsid w:val="00A379F2"/>
    <w:rsid w:val="00A43E5C"/>
    <w:rsid w:val="00A776E9"/>
    <w:rsid w:val="00A80798"/>
    <w:rsid w:val="00A906BD"/>
    <w:rsid w:val="00AA7727"/>
    <w:rsid w:val="00AC1A16"/>
    <w:rsid w:val="00AE7C2E"/>
    <w:rsid w:val="00AF317B"/>
    <w:rsid w:val="00B06C49"/>
    <w:rsid w:val="00B1060F"/>
    <w:rsid w:val="00B3141B"/>
    <w:rsid w:val="00B3751A"/>
    <w:rsid w:val="00B412C9"/>
    <w:rsid w:val="00B50AFA"/>
    <w:rsid w:val="00B7044E"/>
    <w:rsid w:val="00B77076"/>
    <w:rsid w:val="00B81325"/>
    <w:rsid w:val="00B833C6"/>
    <w:rsid w:val="00BD03D3"/>
    <w:rsid w:val="00BD1A8F"/>
    <w:rsid w:val="00C22165"/>
    <w:rsid w:val="00C241B8"/>
    <w:rsid w:val="00C31CAA"/>
    <w:rsid w:val="00C44055"/>
    <w:rsid w:val="00C5059A"/>
    <w:rsid w:val="00C66A4D"/>
    <w:rsid w:val="00C76D38"/>
    <w:rsid w:val="00C831EC"/>
    <w:rsid w:val="00C9587A"/>
    <w:rsid w:val="00CC47A1"/>
    <w:rsid w:val="00CF38B1"/>
    <w:rsid w:val="00D02954"/>
    <w:rsid w:val="00D15131"/>
    <w:rsid w:val="00D62A31"/>
    <w:rsid w:val="00D70B50"/>
    <w:rsid w:val="00D71611"/>
    <w:rsid w:val="00D83652"/>
    <w:rsid w:val="00DB1BAA"/>
    <w:rsid w:val="00DC5FBF"/>
    <w:rsid w:val="00DE3AEF"/>
    <w:rsid w:val="00DF2F34"/>
    <w:rsid w:val="00E221B8"/>
    <w:rsid w:val="00E32ADF"/>
    <w:rsid w:val="00E339E4"/>
    <w:rsid w:val="00E55F91"/>
    <w:rsid w:val="00E758F2"/>
    <w:rsid w:val="00EB6AC4"/>
    <w:rsid w:val="00EB6B09"/>
    <w:rsid w:val="00EC25B5"/>
    <w:rsid w:val="00EC6879"/>
    <w:rsid w:val="00F20072"/>
    <w:rsid w:val="00F30F20"/>
    <w:rsid w:val="00F45C84"/>
    <w:rsid w:val="00F474D5"/>
    <w:rsid w:val="00F5608B"/>
    <w:rsid w:val="00F71D63"/>
    <w:rsid w:val="00F72039"/>
    <w:rsid w:val="00F86AC2"/>
    <w:rsid w:val="00FA51A1"/>
    <w:rsid w:val="00FB7F8B"/>
    <w:rsid w:val="00FE1416"/>
    <w:rsid w:val="00FF0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ACC3B"/>
  <w15:docId w15:val="{993ABA3B-5C46-4A1B-89D7-8349F628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652"/>
    <w:pPr>
      <w:spacing w:after="200" w:line="276" w:lineRule="auto"/>
    </w:pPr>
    <w:rPr>
      <w:rFonts w:ascii="Tahoma" w:eastAsia="Calibri" w:hAnsi="Tahoma"/>
      <w:sz w:val="18"/>
      <w:szCs w:val="22"/>
      <w:lang w:val="el-GR"/>
    </w:rPr>
  </w:style>
  <w:style w:type="paragraph" w:styleId="Heading1">
    <w:name w:val="heading 1"/>
    <w:basedOn w:val="Normal"/>
    <w:link w:val="Heading1Char"/>
    <w:uiPriority w:val="9"/>
    <w:qFormat/>
    <w:rsid w:val="00EB6AC4"/>
    <w:pPr>
      <w:spacing w:before="100" w:after="100" w:line="240" w:lineRule="auto"/>
      <w:ind w:left="300" w:right="300"/>
      <w:outlineLvl w:val="0"/>
    </w:pPr>
    <w:rPr>
      <w:rFonts w:ascii="Times New Roman" w:hAnsi="Times New Roman"/>
      <w:b/>
      <w:bCs/>
      <w:color w:val="757D8D"/>
      <w:kern w:val="36"/>
      <w:sz w:val="26"/>
      <w:szCs w:val="26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B6AC4"/>
    <w:pPr>
      <w:spacing w:before="350" w:after="50" w:line="240" w:lineRule="auto"/>
      <w:ind w:left="350" w:right="350"/>
      <w:outlineLvl w:val="1"/>
    </w:pPr>
    <w:rPr>
      <w:rFonts w:ascii="Times New Roman" w:hAnsi="Times New Roman"/>
      <w:b/>
      <w:bCs/>
      <w:color w:val="3B4662"/>
      <w:sz w:val="20"/>
      <w:szCs w:val="20"/>
      <w:lang w:val="en-US"/>
    </w:rPr>
  </w:style>
  <w:style w:type="paragraph" w:styleId="Heading3">
    <w:name w:val="heading 3"/>
    <w:basedOn w:val="Normal"/>
    <w:link w:val="Heading3Char"/>
    <w:uiPriority w:val="9"/>
    <w:qFormat/>
    <w:rsid w:val="00EB6AC4"/>
    <w:pPr>
      <w:spacing w:after="0" w:line="240" w:lineRule="auto"/>
      <w:outlineLvl w:val="2"/>
    </w:pPr>
    <w:rPr>
      <w:rFonts w:ascii="Times New Roman" w:hAnsi="Times New Roman"/>
      <w:b/>
      <w:bCs/>
      <w:sz w:val="19"/>
      <w:szCs w:val="19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6AC4"/>
    <w:pPr>
      <w:keepNext/>
      <w:keepLines/>
      <w:spacing w:before="40" w:after="0"/>
      <w:outlineLvl w:val="3"/>
    </w:pPr>
    <w:rPr>
      <w:rFonts w:ascii="Cambria" w:hAnsi="Cambria"/>
      <w:i/>
      <w:iCs/>
      <w:color w:val="365F91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6AC4"/>
    <w:rPr>
      <w:rFonts w:ascii="Times New Roman" w:hAnsi="Times New Roman"/>
      <w:b/>
      <w:bCs/>
      <w:color w:val="757D8D"/>
      <w:kern w:val="36"/>
      <w:sz w:val="26"/>
      <w:szCs w:val="26"/>
      <w:lang w:eastAsia="el-GR"/>
    </w:rPr>
  </w:style>
  <w:style w:type="character" w:customStyle="1" w:styleId="Heading2Char">
    <w:name w:val="Heading 2 Char"/>
    <w:link w:val="Heading2"/>
    <w:uiPriority w:val="9"/>
    <w:rsid w:val="00EB6AC4"/>
    <w:rPr>
      <w:rFonts w:ascii="Times New Roman" w:hAnsi="Times New Roman"/>
      <w:b/>
      <w:bCs/>
      <w:color w:val="3B4662"/>
      <w:lang w:eastAsia="el-GR"/>
    </w:rPr>
  </w:style>
  <w:style w:type="character" w:customStyle="1" w:styleId="Heading3Char">
    <w:name w:val="Heading 3 Char"/>
    <w:link w:val="Heading3"/>
    <w:uiPriority w:val="9"/>
    <w:rsid w:val="00EB6AC4"/>
    <w:rPr>
      <w:rFonts w:ascii="Times New Roman" w:hAnsi="Times New Roman"/>
      <w:b/>
      <w:bCs/>
      <w:sz w:val="19"/>
      <w:szCs w:val="19"/>
      <w:lang w:eastAsia="el-GR"/>
    </w:rPr>
  </w:style>
  <w:style w:type="character" w:customStyle="1" w:styleId="Heading4Char">
    <w:name w:val="Heading 4 Char"/>
    <w:link w:val="Heading4"/>
    <w:uiPriority w:val="9"/>
    <w:rsid w:val="00EB6AC4"/>
    <w:rPr>
      <w:rFonts w:ascii="Cambria" w:hAnsi="Cambria"/>
      <w:i/>
      <w:iCs/>
      <w:color w:val="365F91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6AC4"/>
    <w:pPr>
      <w:numPr>
        <w:ilvl w:val="1"/>
      </w:numPr>
      <w:spacing w:after="160"/>
    </w:pPr>
    <w:rPr>
      <w:color w:val="5A5A5A"/>
      <w:spacing w:val="15"/>
      <w:sz w:val="20"/>
      <w:szCs w:val="20"/>
      <w:lang w:val="en-US"/>
    </w:rPr>
  </w:style>
  <w:style w:type="character" w:customStyle="1" w:styleId="SubtitleChar">
    <w:name w:val="Subtitle Char"/>
    <w:link w:val="Subtitle"/>
    <w:uiPriority w:val="11"/>
    <w:rsid w:val="00EB6AC4"/>
    <w:rPr>
      <w:color w:val="5A5A5A"/>
      <w:spacing w:val="15"/>
    </w:rPr>
  </w:style>
  <w:style w:type="character" w:styleId="Strong">
    <w:name w:val="Strong"/>
    <w:uiPriority w:val="22"/>
    <w:qFormat/>
    <w:rsid w:val="00EB6AC4"/>
    <w:rPr>
      <w:b/>
      <w:bCs/>
    </w:rPr>
  </w:style>
  <w:style w:type="character" w:styleId="Emphasis">
    <w:name w:val="Emphasis"/>
    <w:uiPriority w:val="20"/>
    <w:qFormat/>
    <w:rsid w:val="00EB6AC4"/>
    <w:rPr>
      <w:i/>
      <w:iCs/>
    </w:rPr>
  </w:style>
  <w:style w:type="paragraph" w:styleId="ListParagraph">
    <w:name w:val="List Paragraph"/>
    <w:basedOn w:val="Normal"/>
    <w:uiPriority w:val="34"/>
    <w:qFormat/>
    <w:rsid w:val="00EB6A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D19"/>
    <w:rPr>
      <w:rFonts w:ascii="Tahoma" w:eastAsia="Calibri" w:hAnsi="Tahoma"/>
      <w:sz w:val="18"/>
      <w:szCs w:val="22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4D6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D19"/>
    <w:rPr>
      <w:rFonts w:ascii="Tahoma" w:eastAsia="Calibri" w:hAnsi="Tahoma"/>
      <w:sz w:val="18"/>
      <w:szCs w:val="22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D1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D19"/>
    <w:rPr>
      <w:rFonts w:ascii="Segoe UI" w:eastAsia="Calibri" w:hAnsi="Segoe UI" w:cs="Segoe UI"/>
      <w:sz w:val="18"/>
      <w:szCs w:val="18"/>
      <w:lang w:val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496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1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150"/>
    <w:rPr>
      <w:rFonts w:ascii="Tahoma" w:eastAsia="Calibri" w:hAnsi="Tahoma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150"/>
    <w:rPr>
      <w:rFonts w:ascii="Tahoma" w:eastAsia="Calibri" w:hAnsi="Tahoma"/>
      <w:b/>
      <w:bCs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395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</dc:creator>
  <cp:lastModifiedBy>MANTOVANI</cp:lastModifiedBy>
  <cp:revision>10</cp:revision>
  <cp:lastPrinted>2022-10-17T07:32:00Z</cp:lastPrinted>
  <dcterms:created xsi:type="dcterms:W3CDTF">2022-10-17T06:40:00Z</dcterms:created>
  <dcterms:modified xsi:type="dcterms:W3CDTF">2022-10-18T05:18:00Z</dcterms:modified>
</cp:coreProperties>
</file>