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E2EA" w14:textId="77777777" w:rsidR="002B1754" w:rsidRDefault="002B1754" w:rsidP="002B1754">
      <w:pPr>
        <w:jc w:val="center"/>
        <w:rPr>
          <w:rFonts w:ascii="Times New Roman" w:hAnsi="Times New Roman"/>
          <w:b/>
          <w:sz w:val="24"/>
          <w:szCs w:val="24"/>
          <w:lang w:val="el-GR"/>
        </w:rPr>
      </w:pPr>
      <w:r w:rsidRPr="00F405B0">
        <w:rPr>
          <w:rFonts w:ascii="Times New Roman" w:hAnsi="Times New Roman"/>
          <w:b/>
          <w:sz w:val="24"/>
          <w:szCs w:val="24"/>
          <w:lang w:val="el-GR"/>
        </w:rPr>
        <w:t>Ο ΠΕΡΙ ΑΠΟΧΕΤΕΥΤΙΚΩΝ ΣΥΣΤΗΜΑΤΩΝ ΝΟΜΟΣ</w:t>
      </w:r>
    </w:p>
    <w:p w14:paraId="09600FDD" w14:textId="77777777" w:rsidR="002B1754" w:rsidRDefault="002B1754" w:rsidP="002B1754">
      <w:pPr>
        <w:jc w:val="center"/>
        <w:rPr>
          <w:rFonts w:ascii="Times New Roman" w:hAnsi="Times New Roman"/>
          <w:b/>
          <w:sz w:val="24"/>
          <w:szCs w:val="24"/>
          <w:lang w:val="el-GR"/>
        </w:rPr>
      </w:pPr>
    </w:p>
    <w:p w14:paraId="454D577E" w14:textId="77777777" w:rsidR="002B1754" w:rsidRDefault="002B1754" w:rsidP="002B1754">
      <w:pPr>
        <w:jc w:val="center"/>
        <w:rPr>
          <w:rFonts w:ascii="Times New Roman" w:hAnsi="Times New Roman"/>
          <w:b/>
          <w:sz w:val="24"/>
          <w:szCs w:val="24"/>
          <w:lang w:val="el-GR"/>
        </w:rPr>
      </w:pPr>
      <w:r>
        <w:rPr>
          <w:rFonts w:ascii="Times New Roman" w:hAnsi="Times New Roman"/>
          <w:b/>
          <w:sz w:val="24"/>
          <w:szCs w:val="24"/>
          <w:lang w:val="el-GR"/>
        </w:rPr>
        <w:t>Κανονισμοί δυνάμει του άρθρου 49</w:t>
      </w:r>
    </w:p>
    <w:p w14:paraId="43225E2E" w14:textId="77777777" w:rsidR="002B1754" w:rsidRPr="006F2FA1" w:rsidRDefault="002B1754" w:rsidP="002B1754">
      <w:pPr>
        <w:jc w:val="center"/>
        <w:rPr>
          <w:rFonts w:ascii="Arial" w:hAnsi="Arial" w:cs="Arial"/>
          <w:b/>
          <w:lang w:val="el-GR"/>
        </w:rPr>
      </w:pPr>
    </w:p>
    <w:tbl>
      <w:tblPr>
        <w:tblW w:w="9781" w:type="dxa"/>
        <w:tblInd w:w="-601" w:type="dxa"/>
        <w:tblLook w:val="04A0" w:firstRow="1" w:lastRow="0" w:firstColumn="1" w:lastColumn="0" w:noHBand="0" w:noVBand="1"/>
      </w:tblPr>
      <w:tblGrid>
        <w:gridCol w:w="2410"/>
        <w:gridCol w:w="400"/>
        <w:gridCol w:w="6971"/>
      </w:tblGrid>
      <w:tr w:rsidR="00B37F4D" w:rsidRPr="00FB4CEE" w14:paraId="755605A1" w14:textId="77777777" w:rsidTr="006F2FA1">
        <w:trPr>
          <w:trHeight w:val="5861"/>
        </w:trPr>
        <w:tc>
          <w:tcPr>
            <w:tcW w:w="2410" w:type="dxa"/>
            <w:shd w:val="clear" w:color="auto" w:fill="auto"/>
          </w:tcPr>
          <w:p w14:paraId="1883E9A6"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 του 1971</w:t>
            </w:r>
          </w:p>
          <w:p w14:paraId="17A73E1A"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24 του 1972</w:t>
            </w:r>
          </w:p>
          <w:p w14:paraId="06063926"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15 του 1978</w:t>
            </w:r>
          </w:p>
          <w:p w14:paraId="37CB2825"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88 του 1987</w:t>
            </w:r>
          </w:p>
          <w:p w14:paraId="07CFD5E8"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194 του 1991</w:t>
            </w:r>
          </w:p>
          <w:p w14:paraId="4B4DDD2D"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16(Ι) του 1995</w:t>
            </w:r>
          </w:p>
          <w:p w14:paraId="052AF486"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94(Ι) του 1995</w:t>
            </w:r>
          </w:p>
          <w:p w14:paraId="5BF35EBE"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100(Ι) του 1995</w:t>
            </w:r>
          </w:p>
          <w:p w14:paraId="2286835B"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5(Ι) του 1997</w:t>
            </w:r>
          </w:p>
          <w:p w14:paraId="1D69F5DB"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139(Ι) του 1999</w:t>
            </w:r>
          </w:p>
          <w:p w14:paraId="05098417"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10(Ι) του 2000</w:t>
            </w:r>
          </w:p>
          <w:p w14:paraId="591D1C4D"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84(Ι) του 2001</w:t>
            </w:r>
          </w:p>
          <w:p w14:paraId="4CD3ADC8"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108(Ι) του 2004</w:t>
            </w:r>
          </w:p>
          <w:p w14:paraId="6FBEBC80"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253 (Ι) του 2004</w:t>
            </w:r>
          </w:p>
          <w:p w14:paraId="03527B75"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14(Ι) του 2005</w:t>
            </w:r>
          </w:p>
          <w:p w14:paraId="0E56DBD9"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148(Ι) του 2007</w:t>
            </w:r>
          </w:p>
          <w:p w14:paraId="353CCAFC"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16(Ι) του 2010</w:t>
            </w:r>
          </w:p>
          <w:p w14:paraId="7843E409"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22 (Ι) του 2011</w:t>
            </w:r>
          </w:p>
          <w:p w14:paraId="5F9019D7" w14:textId="77777777" w:rsidR="00B37F4D" w:rsidRPr="00964694" w:rsidRDefault="00B37F4D" w:rsidP="003C6E8B">
            <w:pPr>
              <w:jc w:val="right"/>
              <w:rPr>
                <w:rFonts w:ascii="Arial" w:hAnsi="Arial" w:cs="Arial"/>
                <w:color w:val="000000" w:themeColor="text1"/>
                <w:lang w:val="el-GR"/>
              </w:rPr>
            </w:pPr>
            <w:r w:rsidRPr="00964694">
              <w:rPr>
                <w:rFonts w:ascii="Arial" w:hAnsi="Arial" w:cs="Arial"/>
                <w:color w:val="000000" w:themeColor="text1"/>
                <w:lang w:val="el-GR"/>
              </w:rPr>
              <w:t>158(Ι) του 2013</w:t>
            </w:r>
          </w:p>
          <w:p w14:paraId="363C2E97" w14:textId="1400DB7F" w:rsidR="00B37F4D" w:rsidRDefault="00B37F4D" w:rsidP="003C6E8B">
            <w:pPr>
              <w:pStyle w:val="Header"/>
              <w:tabs>
                <w:tab w:val="clear" w:pos="4320"/>
                <w:tab w:val="clear" w:pos="8640"/>
                <w:tab w:val="left" w:pos="1440"/>
                <w:tab w:val="left" w:pos="2160"/>
                <w:tab w:val="left" w:pos="5355"/>
              </w:tabs>
              <w:ind w:left="1440" w:hanging="1440"/>
              <w:jc w:val="right"/>
              <w:rPr>
                <w:rFonts w:ascii="Arial" w:hAnsi="Arial" w:cs="Arial"/>
                <w:color w:val="000000" w:themeColor="text1"/>
                <w:sz w:val="22"/>
                <w:szCs w:val="22"/>
              </w:rPr>
            </w:pPr>
            <w:r w:rsidRPr="00964694">
              <w:rPr>
                <w:rFonts w:ascii="Arial" w:hAnsi="Arial" w:cs="Arial"/>
                <w:color w:val="000000" w:themeColor="text1"/>
                <w:sz w:val="22"/>
                <w:szCs w:val="22"/>
              </w:rPr>
              <w:t>51(Ι) του 2015</w:t>
            </w:r>
          </w:p>
          <w:p w14:paraId="7FF158D8" w14:textId="6394AF26" w:rsidR="003C6E8B" w:rsidRPr="00964694" w:rsidRDefault="003C6E8B" w:rsidP="003C6E8B">
            <w:pPr>
              <w:pStyle w:val="Header"/>
              <w:tabs>
                <w:tab w:val="clear" w:pos="4320"/>
                <w:tab w:val="clear" w:pos="8640"/>
                <w:tab w:val="left" w:pos="1440"/>
                <w:tab w:val="left" w:pos="2160"/>
                <w:tab w:val="left" w:pos="5355"/>
              </w:tabs>
              <w:ind w:left="1440" w:hanging="1440"/>
              <w:jc w:val="right"/>
              <w:rPr>
                <w:rFonts w:ascii="Arial" w:hAnsi="Arial" w:cs="Arial"/>
                <w:color w:val="000000" w:themeColor="text1"/>
                <w:sz w:val="22"/>
                <w:szCs w:val="22"/>
              </w:rPr>
            </w:pPr>
            <w:r>
              <w:rPr>
                <w:rFonts w:ascii="Arial" w:hAnsi="Arial" w:cs="Arial"/>
                <w:color w:val="000000" w:themeColor="text1"/>
                <w:sz w:val="22"/>
                <w:szCs w:val="22"/>
              </w:rPr>
              <w:t>106(Ι) του 2015</w:t>
            </w:r>
          </w:p>
          <w:p w14:paraId="3DD41665" w14:textId="77777777" w:rsidR="00B37F4D" w:rsidRPr="00964694" w:rsidRDefault="00B37F4D" w:rsidP="003C6E8B">
            <w:pPr>
              <w:pStyle w:val="Header"/>
              <w:tabs>
                <w:tab w:val="clear" w:pos="4320"/>
                <w:tab w:val="clear" w:pos="8640"/>
                <w:tab w:val="left" w:pos="1440"/>
                <w:tab w:val="left" w:pos="2160"/>
                <w:tab w:val="left" w:pos="5355"/>
              </w:tabs>
              <w:ind w:left="1440" w:hanging="1440"/>
              <w:jc w:val="right"/>
              <w:rPr>
                <w:rFonts w:ascii="Arial" w:hAnsi="Arial" w:cs="Arial"/>
                <w:color w:val="000000" w:themeColor="text1"/>
                <w:sz w:val="22"/>
                <w:szCs w:val="22"/>
              </w:rPr>
            </w:pPr>
            <w:r w:rsidRPr="00964694">
              <w:rPr>
                <w:rFonts w:ascii="Arial" w:hAnsi="Arial" w:cs="Arial"/>
                <w:color w:val="000000" w:themeColor="text1"/>
                <w:sz w:val="22"/>
                <w:szCs w:val="22"/>
              </w:rPr>
              <w:t>35</w:t>
            </w:r>
            <w:r w:rsidRPr="003C6E8B">
              <w:rPr>
                <w:rFonts w:ascii="Arial" w:hAnsi="Arial" w:cs="Arial"/>
                <w:color w:val="000000" w:themeColor="text1"/>
                <w:sz w:val="22"/>
                <w:szCs w:val="22"/>
              </w:rPr>
              <w:t>(</w:t>
            </w:r>
            <w:r w:rsidRPr="00964694">
              <w:rPr>
                <w:rFonts w:ascii="Arial" w:hAnsi="Arial" w:cs="Arial"/>
                <w:color w:val="000000" w:themeColor="text1"/>
                <w:sz w:val="22"/>
                <w:szCs w:val="22"/>
                <w:lang w:val="en-US"/>
              </w:rPr>
              <w:t>I</w:t>
            </w:r>
            <w:r w:rsidRPr="003C6E8B">
              <w:rPr>
                <w:rFonts w:ascii="Arial" w:hAnsi="Arial" w:cs="Arial"/>
                <w:color w:val="000000" w:themeColor="text1"/>
                <w:sz w:val="22"/>
                <w:szCs w:val="22"/>
              </w:rPr>
              <w:t>)</w:t>
            </w:r>
            <w:r w:rsidRPr="00964694">
              <w:rPr>
                <w:rFonts w:ascii="Arial" w:hAnsi="Arial" w:cs="Arial"/>
                <w:color w:val="000000" w:themeColor="text1"/>
                <w:sz w:val="22"/>
                <w:szCs w:val="22"/>
              </w:rPr>
              <w:t xml:space="preserve"> του </w:t>
            </w:r>
            <w:r w:rsidRPr="003C6E8B">
              <w:rPr>
                <w:rFonts w:ascii="Arial" w:hAnsi="Arial" w:cs="Arial"/>
                <w:color w:val="000000" w:themeColor="text1"/>
                <w:sz w:val="22"/>
                <w:szCs w:val="22"/>
              </w:rPr>
              <w:t>2017</w:t>
            </w:r>
          </w:p>
          <w:p w14:paraId="0C6BFBBC" w14:textId="2AB467EA" w:rsidR="00B37F4D" w:rsidRPr="00964694" w:rsidRDefault="00B37F4D" w:rsidP="003C6E8B">
            <w:pPr>
              <w:pStyle w:val="Header"/>
              <w:tabs>
                <w:tab w:val="clear" w:pos="4320"/>
                <w:tab w:val="clear" w:pos="8640"/>
                <w:tab w:val="left" w:pos="0"/>
                <w:tab w:val="left" w:pos="1440"/>
                <w:tab w:val="left" w:pos="2160"/>
                <w:tab w:val="left" w:pos="5355"/>
              </w:tabs>
              <w:ind w:left="1440" w:hanging="1440"/>
              <w:jc w:val="right"/>
              <w:rPr>
                <w:rFonts w:ascii="Arial" w:hAnsi="Arial" w:cs="Arial"/>
                <w:color w:val="000000" w:themeColor="text1"/>
                <w:sz w:val="22"/>
                <w:szCs w:val="22"/>
              </w:rPr>
            </w:pPr>
            <w:r w:rsidRPr="00964694">
              <w:rPr>
                <w:rFonts w:ascii="Arial" w:hAnsi="Arial" w:cs="Arial"/>
                <w:color w:val="000000" w:themeColor="text1"/>
                <w:sz w:val="22"/>
                <w:szCs w:val="22"/>
              </w:rPr>
              <w:t>58(Ι)</w:t>
            </w:r>
            <w:r w:rsidR="003C6E8B">
              <w:rPr>
                <w:rFonts w:ascii="Arial" w:hAnsi="Arial" w:cs="Arial"/>
                <w:color w:val="000000" w:themeColor="text1"/>
                <w:sz w:val="22"/>
                <w:szCs w:val="22"/>
              </w:rPr>
              <w:t xml:space="preserve"> του </w:t>
            </w:r>
            <w:r w:rsidRPr="00964694">
              <w:rPr>
                <w:rFonts w:ascii="Arial" w:hAnsi="Arial" w:cs="Arial"/>
                <w:color w:val="000000" w:themeColor="text1"/>
                <w:sz w:val="22"/>
                <w:szCs w:val="22"/>
              </w:rPr>
              <w:t xml:space="preserve">2017 </w:t>
            </w:r>
          </w:p>
          <w:p w14:paraId="41AB88C4" w14:textId="77777777" w:rsidR="003C6E8B" w:rsidRDefault="00B37F4D" w:rsidP="003C6E8B">
            <w:pPr>
              <w:pStyle w:val="Header"/>
              <w:tabs>
                <w:tab w:val="clear" w:pos="4320"/>
                <w:tab w:val="clear" w:pos="8640"/>
                <w:tab w:val="left" w:pos="1065"/>
                <w:tab w:val="left" w:pos="1440"/>
                <w:tab w:val="left" w:pos="2160"/>
                <w:tab w:val="left" w:pos="5355"/>
              </w:tabs>
              <w:ind w:left="1440" w:hanging="1440"/>
              <w:jc w:val="right"/>
              <w:rPr>
                <w:rFonts w:ascii="Arial" w:hAnsi="Arial" w:cs="Arial"/>
                <w:color w:val="000000" w:themeColor="text1"/>
                <w:sz w:val="22"/>
                <w:szCs w:val="22"/>
              </w:rPr>
            </w:pPr>
            <w:r w:rsidRPr="00964694">
              <w:rPr>
                <w:rFonts w:ascii="Arial" w:hAnsi="Arial" w:cs="Arial"/>
                <w:color w:val="000000" w:themeColor="text1"/>
                <w:sz w:val="22"/>
                <w:szCs w:val="22"/>
              </w:rPr>
              <w:t>175(Ι)</w:t>
            </w:r>
            <w:r w:rsidR="003C6E8B">
              <w:rPr>
                <w:rFonts w:ascii="Arial" w:hAnsi="Arial" w:cs="Arial"/>
                <w:color w:val="000000" w:themeColor="text1"/>
                <w:sz w:val="22"/>
                <w:szCs w:val="22"/>
              </w:rPr>
              <w:t xml:space="preserve"> του </w:t>
            </w:r>
            <w:r w:rsidRPr="00964694">
              <w:rPr>
                <w:rFonts w:ascii="Arial" w:hAnsi="Arial" w:cs="Arial"/>
                <w:color w:val="000000" w:themeColor="text1"/>
                <w:sz w:val="22"/>
                <w:szCs w:val="22"/>
              </w:rPr>
              <w:t>201</w:t>
            </w:r>
            <w:r w:rsidR="003C6E8B">
              <w:rPr>
                <w:rFonts w:ascii="Arial" w:hAnsi="Arial" w:cs="Arial"/>
                <w:color w:val="000000" w:themeColor="text1"/>
                <w:sz w:val="22"/>
                <w:szCs w:val="22"/>
              </w:rPr>
              <w:t>7</w:t>
            </w:r>
          </w:p>
          <w:p w14:paraId="25A50303" w14:textId="32BD9BC4" w:rsidR="003C6E8B" w:rsidRPr="003C6E8B" w:rsidRDefault="003C6E8B" w:rsidP="003C6E8B">
            <w:pPr>
              <w:pStyle w:val="Header"/>
              <w:tabs>
                <w:tab w:val="clear" w:pos="4320"/>
                <w:tab w:val="clear" w:pos="8640"/>
                <w:tab w:val="left" w:pos="1065"/>
                <w:tab w:val="left" w:pos="1440"/>
                <w:tab w:val="left" w:pos="2160"/>
                <w:tab w:val="left" w:pos="5355"/>
              </w:tabs>
              <w:ind w:left="1440" w:hanging="1440"/>
              <w:jc w:val="right"/>
              <w:rPr>
                <w:rFonts w:ascii="Arial" w:hAnsi="Arial" w:cs="Arial"/>
                <w:b/>
                <w:bCs/>
                <w:color w:val="000000" w:themeColor="text1"/>
                <w:sz w:val="22"/>
                <w:szCs w:val="22"/>
              </w:rPr>
            </w:pPr>
            <w:r w:rsidRPr="003C6E8B">
              <w:rPr>
                <w:rFonts w:ascii="Arial" w:hAnsi="Arial" w:cs="Arial"/>
                <w:color w:val="000000" w:themeColor="text1"/>
                <w:sz w:val="22"/>
                <w:szCs w:val="22"/>
              </w:rPr>
              <w:t>37(Ι) του 2020</w:t>
            </w:r>
          </w:p>
        </w:tc>
        <w:tc>
          <w:tcPr>
            <w:tcW w:w="400" w:type="dxa"/>
            <w:shd w:val="clear" w:color="auto" w:fill="auto"/>
          </w:tcPr>
          <w:p w14:paraId="467147E8" w14:textId="77777777" w:rsidR="00B37F4D" w:rsidRPr="006F2FA1" w:rsidRDefault="00B37F4D" w:rsidP="00382537">
            <w:pPr>
              <w:jc w:val="both"/>
              <w:rPr>
                <w:rFonts w:ascii="Arial" w:hAnsi="Arial" w:cs="Arial"/>
                <w:color w:val="1F497D" w:themeColor="text2"/>
                <w:lang w:val="el-GR"/>
              </w:rPr>
            </w:pPr>
          </w:p>
        </w:tc>
        <w:tc>
          <w:tcPr>
            <w:tcW w:w="6971" w:type="dxa"/>
            <w:shd w:val="clear" w:color="auto" w:fill="auto"/>
          </w:tcPr>
          <w:p w14:paraId="02E06381" w14:textId="77777777" w:rsidR="00B37F4D" w:rsidRPr="006F2FA1" w:rsidRDefault="00B37F4D" w:rsidP="00382537">
            <w:pPr>
              <w:jc w:val="both"/>
              <w:rPr>
                <w:rFonts w:ascii="Arial" w:hAnsi="Arial" w:cs="Arial"/>
                <w:lang w:val="el-GR"/>
              </w:rPr>
            </w:pPr>
            <w:r w:rsidRPr="006F2FA1">
              <w:rPr>
                <w:rFonts w:ascii="Arial" w:hAnsi="Arial" w:cs="Arial"/>
                <w:lang w:val="el-GR"/>
              </w:rPr>
              <w:t>Το Συμβούλιο Αποχετεύσεων Λευκωσίας, ασκώντας τις εξουσίες που του παρέχονται από το άρθρο 49 του περί Αποχετευτικών Συστημάτων Νόμου, εκδίδει, με την έγκριση του Υπουργικού Συμβουλίου, τους ακόλουθους Κανονισμούς:</w:t>
            </w:r>
          </w:p>
        </w:tc>
      </w:tr>
      <w:tr w:rsidR="00B37F4D" w:rsidRPr="00FB4CEE" w14:paraId="1D23E56F" w14:textId="77777777" w:rsidTr="006F2FA1">
        <w:tc>
          <w:tcPr>
            <w:tcW w:w="2410" w:type="dxa"/>
            <w:shd w:val="clear" w:color="auto" w:fill="auto"/>
          </w:tcPr>
          <w:p w14:paraId="0022F36C" w14:textId="77777777" w:rsidR="00B37F4D" w:rsidRPr="00964694" w:rsidRDefault="00B37F4D" w:rsidP="00382537">
            <w:pPr>
              <w:rPr>
                <w:rFonts w:ascii="Arial" w:hAnsi="Arial" w:cs="Arial"/>
                <w:color w:val="000000" w:themeColor="text1"/>
                <w:lang w:val="el-GR"/>
              </w:rPr>
            </w:pPr>
          </w:p>
        </w:tc>
        <w:tc>
          <w:tcPr>
            <w:tcW w:w="400" w:type="dxa"/>
            <w:shd w:val="clear" w:color="auto" w:fill="auto"/>
          </w:tcPr>
          <w:p w14:paraId="57E11913" w14:textId="77777777" w:rsidR="00B37F4D" w:rsidRPr="006F2FA1" w:rsidRDefault="00B37F4D" w:rsidP="00382537">
            <w:pPr>
              <w:jc w:val="both"/>
              <w:rPr>
                <w:rFonts w:ascii="Arial" w:hAnsi="Arial" w:cs="Arial"/>
                <w:lang w:val="el-GR"/>
              </w:rPr>
            </w:pPr>
          </w:p>
        </w:tc>
        <w:tc>
          <w:tcPr>
            <w:tcW w:w="6971" w:type="dxa"/>
            <w:shd w:val="clear" w:color="auto" w:fill="auto"/>
          </w:tcPr>
          <w:p w14:paraId="718BD980" w14:textId="77777777" w:rsidR="00B37F4D" w:rsidRPr="006F2FA1" w:rsidRDefault="00B37F4D" w:rsidP="00382537">
            <w:pPr>
              <w:jc w:val="both"/>
              <w:rPr>
                <w:rFonts w:ascii="Arial" w:hAnsi="Arial" w:cs="Arial"/>
                <w:b/>
                <w:lang w:val="el-GR"/>
              </w:rPr>
            </w:pPr>
          </w:p>
        </w:tc>
      </w:tr>
      <w:tr w:rsidR="00B37F4D" w:rsidRPr="00FB4CEE" w14:paraId="25A001A9" w14:textId="77777777" w:rsidTr="006F2FA1">
        <w:tc>
          <w:tcPr>
            <w:tcW w:w="2410" w:type="dxa"/>
            <w:shd w:val="clear" w:color="auto" w:fill="auto"/>
          </w:tcPr>
          <w:p w14:paraId="05259664" w14:textId="73A50880" w:rsidR="00B37F4D" w:rsidRPr="00964694" w:rsidRDefault="00B37F4D" w:rsidP="00382537">
            <w:pPr>
              <w:rPr>
                <w:rFonts w:ascii="Arial" w:hAnsi="Arial" w:cs="Arial"/>
                <w:color w:val="000000" w:themeColor="text1"/>
                <w:lang w:val="el-GR"/>
              </w:rPr>
            </w:pPr>
            <w:r w:rsidRPr="00964694">
              <w:rPr>
                <w:rFonts w:ascii="Arial" w:hAnsi="Arial" w:cs="Arial"/>
                <w:color w:val="000000" w:themeColor="text1"/>
                <w:lang w:val="el-GR"/>
              </w:rPr>
              <w:t>Συνοπτικός τίτλος</w:t>
            </w:r>
            <w:r w:rsidR="006A29B6">
              <w:rPr>
                <w:rFonts w:ascii="Arial" w:hAnsi="Arial" w:cs="Arial"/>
                <w:color w:val="000000" w:themeColor="text1"/>
                <w:lang w:val="el-GR"/>
              </w:rPr>
              <w:t>.</w:t>
            </w:r>
          </w:p>
          <w:p w14:paraId="0E071D40" w14:textId="77777777" w:rsidR="00B37F4D" w:rsidRPr="00964694" w:rsidRDefault="00B37F4D" w:rsidP="00382537">
            <w:pPr>
              <w:rPr>
                <w:rFonts w:ascii="Arial" w:hAnsi="Arial" w:cs="Arial"/>
                <w:color w:val="000000" w:themeColor="text1"/>
                <w:lang w:val="el-GR"/>
              </w:rPr>
            </w:pPr>
          </w:p>
          <w:p w14:paraId="41F9C617" w14:textId="77777777" w:rsidR="00B37F4D" w:rsidRPr="00964694" w:rsidRDefault="00B37F4D" w:rsidP="00382537">
            <w:pPr>
              <w:rPr>
                <w:rFonts w:ascii="Arial" w:hAnsi="Arial" w:cs="Arial"/>
                <w:color w:val="000000" w:themeColor="text1"/>
                <w:lang w:val="el-GR"/>
              </w:rPr>
            </w:pPr>
            <w:r w:rsidRPr="00964694">
              <w:rPr>
                <w:rFonts w:ascii="Arial" w:hAnsi="Arial" w:cs="Arial"/>
                <w:color w:val="000000" w:themeColor="text1"/>
                <w:lang w:val="el-GR"/>
              </w:rPr>
              <w:t>Επίσημη Εφημερίδα, Παράρτημα Τρίτο (Ι):</w:t>
            </w:r>
          </w:p>
          <w:p w14:paraId="26312FC8" w14:textId="77777777" w:rsidR="00B37F4D" w:rsidRPr="00964694" w:rsidRDefault="00B37F4D" w:rsidP="00382537">
            <w:pPr>
              <w:rPr>
                <w:rFonts w:ascii="Arial" w:hAnsi="Arial" w:cs="Arial"/>
                <w:color w:val="000000" w:themeColor="text1"/>
                <w:lang w:val="el-GR"/>
              </w:rPr>
            </w:pPr>
            <w:r w:rsidRPr="00964694">
              <w:rPr>
                <w:rFonts w:ascii="Arial" w:hAnsi="Arial" w:cs="Arial"/>
                <w:color w:val="000000" w:themeColor="text1"/>
                <w:lang w:val="el-GR"/>
              </w:rPr>
              <w:t>22.06.1973</w:t>
            </w:r>
          </w:p>
          <w:p w14:paraId="4802D3D0" w14:textId="77777777" w:rsidR="00B37F4D" w:rsidRPr="00964694" w:rsidRDefault="00B37F4D" w:rsidP="00382537">
            <w:pPr>
              <w:rPr>
                <w:rFonts w:ascii="Arial" w:hAnsi="Arial" w:cs="Arial"/>
                <w:color w:val="000000" w:themeColor="text1"/>
                <w:lang w:val="el-GR"/>
              </w:rPr>
            </w:pPr>
            <w:r w:rsidRPr="00964694">
              <w:rPr>
                <w:rFonts w:ascii="Arial" w:hAnsi="Arial" w:cs="Arial"/>
                <w:color w:val="000000" w:themeColor="text1"/>
                <w:lang w:val="el-GR"/>
              </w:rPr>
              <w:t>14.07.1995</w:t>
            </w:r>
          </w:p>
          <w:p w14:paraId="2F84A955" w14:textId="77777777" w:rsidR="00B37F4D" w:rsidRPr="00964694" w:rsidRDefault="00B37F4D" w:rsidP="00382537">
            <w:pPr>
              <w:rPr>
                <w:rFonts w:ascii="Arial" w:hAnsi="Arial" w:cs="Arial"/>
                <w:color w:val="000000" w:themeColor="text1"/>
                <w:lang w:val="el-GR"/>
              </w:rPr>
            </w:pPr>
            <w:r w:rsidRPr="00964694">
              <w:rPr>
                <w:rFonts w:ascii="Arial" w:hAnsi="Arial" w:cs="Arial"/>
                <w:color w:val="000000" w:themeColor="text1"/>
                <w:lang w:val="el-GR"/>
              </w:rPr>
              <w:t>02.04.2004</w:t>
            </w:r>
          </w:p>
          <w:p w14:paraId="3A4A8539" w14:textId="77777777" w:rsidR="00B37F4D" w:rsidRDefault="00B37F4D" w:rsidP="00382537">
            <w:pPr>
              <w:rPr>
                <w:rFonts w:ascii="Arial" w:hAnsi="Arial" w:cs="Arial"/>
                <w:color w:val="000000" w:themeColor="text1"/>
                <w:lang w:val="el-GR"/>
              </w:rPr>
            </w:pPr>
            <w:r w:rsidRPr="00964694">
              <w:rPr>
                <w:rFonts w:ascii="Arial" w:hAnsi="Arial" w:cs="Arial"/>
                <w:color w:val="000000" w:themeColor="text1"/>
                <w:lang w:val="el-GR"/>
              </w:rPr>
              <w:t>23.12.2009</w:t>
            </w:r>
          </w:p>
          <w:p w14:paraId="0F60E265" w14:textId="1EC06ACF" w:rsidR="00B03EF6" w:rsidRPr="00C94215" w:rsidRDefault="00B03EF6" w:rsidP="00382537">
            <w:pPr>
              <w:rPr>
                <w:rFonts w:ascii="Arial" w:hAnsi="Arial" w:cs="Arial"/>
                <w:color w:val="000000" w:themeColor="text1"/>
              </w:rPr>
            </w:pPr>
            <w:r>
              <w:rPr>
                <w:rFonts w:ascii="Arial" w:hAnsi="Arial" w:cs="Arial"/>
                <w:color w:val="000000" w:themeColor="text1"/>
                <w:lang w:val="el-GR"/>
              </w:rPr>
              <w:t>13.04.2017.</w:t>
            </w:r>
          </w:p>
        </w:tc>
        <w:tc>
          <w:tcPr>
            <w:tcW w:w="400" w:type="dxa"/>
            <w:shd w:val="clear" w:color="auto" w:fill="auto"/>
          </w:tcPr>
          <w:p w14:paraId="12D9FF3B" w14:textId="77777777" w:rsidR="00B37F4D" w:rsidRPr="006F2FA1" w:rsidRDefault="00B37F4D" w:rsidP="00382537">
            <w:pPr>
              <w:jc w:val="both"/>
              <w:rPr>
                <w:rFonts w:ascii="Arial" w:hAnsi="Arial" w:cs="Arial"/>
                <w:lang w:val="el-GR"/>
              </w:rPr>
            </w:pPr>
            <w:r w:rsidRPr="006F2FA1">
              <w:rPr>
                <w:rFonts w:ascii="Arial" w:hAnsi="Arial" w:cs="Arial"/>
                <w:lang w:val="el-GR"/>
              </w:rPr>
              <w:t>1.</w:t>
            </w:r>
          </w:p>
        </w:tc>
        <w:tc>
          <w:tcPr>
            <w:tcW w:w="6971" w:type="dxa"/>
            <w:shd w:val="clear" w:color="auto" w:fill="auto"/>
          </w:tcPr>
          <w:p w14:paraId="5021394C" w14:textId="40B913E6" w:rsidR="00B37F4D" w:rsidRPr="006F2FA1" w:rsidRDefault="00B37F4D" w:rsidP="00382537">
            <w:pPr>
              <w:jc w:val="both"/>
              <w:rPr>
                <w:rFonts w:ascii="Arial" w:hAnsi="Arial" w:cs="Arial"/>
                <w:lang w:val="el-GR"/>
              </w:rPr>
            </w:pPr>
            <w:r w:rsidRPr="006F2FA1">
              <w:rPr>
                <w:rFonts w:ascii="Arial" w:hAnsi="Arial" w:cs="Arial"/>
                <w:lang w:val="el-GR"/>
              </w:rPr>
              <w:t>Οι παρόντες Κανονισμοί θα αναφέρονται ως οι περί Αποχετεύσεων Λευκωσίας (Τροποποιητικοί) Κανονισμοί του 20</w:t>
            </w:r>
            <w:r w:rsidR="00761A23" w:rsidRPr="00761A23">
              <w:rPr>
                <w:rFonts w:ascii="Arial" w:hAnsi="Arial" w:cs="Arial"/>
                <w:lang w:val="el-GR"/>
              </w:rPr>
              <w:t>22</w:t>
            </w:r>
            <w:r w:rsidRPr="006F2FA1">
              <w:rPr>
                <w:rFonts w:ascii="Arial" w:hAnsi="Arial" w:cs="Arial"/>
                <w:lang w:val="el-GR"/>
              </w:rPr>
              <w:t xml:space="preserve"> και θα διαβάζονται μαζί με τους περί Αποχετεύσεων Λευκωσίας Κανονισμούς του 1973 μέχρι 2009 (που στη συνέχεια θα αναφέρονται ως "οι βασικοί κανονισμοί") και οι βασικοί Κανονισμοί και οι παρόντες Κανονισμοί θα αναφέρονται μαζί ως οι περί Αποχετεύσεων Λευκωσίας Κανονισμοί του 1973 μέχρι 20</w:t>
            </w:r>
            <w:r w:rsidR="00761A23" w:rsidRPr="00761A23">
              <w:rPr>
                <w:rFonts w:ascii="Arial" w:hAnsi="Arial" w:cs="Arial"/>
                <w:lang w:val="el-GR"/>
              </w:rPr>
              <w:t>22</w:t>
            </w:r>
            <w:r w:rsidRPr="006F2FA1">
              <w:rPr>
                <w:rFonts w:ascii="Arial" w:hAnsi="Arial" w:cs="Arial"/>
                <w:lang w:val="el-GR"/>
              </w:rPr>
              <w:t>.</w:t>
            </w:r>
          </w:p>
        </w:tc>
      </w:tr>
      <w:tr w:rsidR="00B37F4D" w:rsidRPr="00FB4CEE" w14:paraId="43E04B7E" w14:textId="77777777" w:rsidTr="006F2FA1">
        <w:trPr>
          <w:trHeight w:val="206"/>
        </w:trPr>
        <w:tc>
          <w:tcPr>
            <w:tcW w:w="2410" w:type="dxa"/>
            <w:shd w:val="clear" w:color="auto" w:fill="auto"/>
          </w:tcPr>
          <w:p w14:paraId="066C7D33" w14:textId="77777777" w:rsidR="00B37F4D" w:rsidRPr="00964694" w:rsidRDefault="00B37F4D" w:rsidP="00382537">
            <w:pPr>
              <w:rPr>
                <w:rFonts w:ascii="Arial" w:hAnsi="Arial" w:cs="Arial"/>
                <w:color w:val="000000" w:themeColor="text1"/>
                <w:lang w:val="el-GR"/>
              </w:rPr>
            </w:pPr>
          </w:p>
        </w:tc>
        <w:tc>
          <w:tcPr>
            <w:tcW w:w="400" w:type="dxa"/>
            <w:shd w:val="clear" w:color="auto" w:fill="auto"/>
          </w:tcPr>
          <w:p w14:paraId="0B0BC7FA" w14:textId="77777777" w:rsidR="00B37F4D" w:rsidRPr="006F2FA1" w:rsidRDefault="00B37F4D" w:rsidP="00382537">
            <w:pPr>
              <w:jc w:val="both"/>
              <w:rPr>
                <w:rFonts w:ascii="Arial" w:hAnsi="Arial" w:cs="Arial"/>
                <w:lang w:val="el-GR"/>
              </w:rPr>
            </w:pPr>
          </w:p>
        </w:tc>
        <w:tc>
          <w:tcPr>
            <w:tcW w:w="6971" w:type="dxa"/>
            <w:shd w:val="clear" w:color="auto" w:fill="auto"/>
          </w:tcPr>
          <w:p w14:paraId="5E036902" w14:textId="77777777" w:rsidR="00B37F4D" w:rsidRPr="006F2FA1" w:rsidRDefault="00B37F4D" w:rsidP="00B37F4D">
            <w:pPr>
              <w:tabs>
                <w:tab w:val="left" w:pos="1800"/>
              </w:tabs>
              <w:jc w:val="both"/>
              <w:rPr>
                <w:rFonts w:ascii="Arial" w:hAnsi="Arial" w:cs="Arial"/>
                <w:lang w:val="el-GR"/>
              </w:rPr>
            </w:pPr>
          </w:p>
        </w:tc>
      </w:tr>
      <w:tr w:rsidR="00CC34F3" w:rsidRPr="00FB4CEE" w14:paraId="14D87FB6" w14:textId="77777777" w:rsidTr="00CC34F3">
        <w:trPr>
          <w:trHeight w:val="3036"/>
        </w:trPr>
        <w:tc>
          <w:tcPr>
            <w:tcW w:w="2410" w:type="dxa"/>
            <w:shd w:val="clear" w:color="auto" w:fill="auto"/>
          </w:tcPr>
          <w:p w14:paraId="0EBCEB7B" w14:textId="77777777" w:rsidR="00CC34F3" w:rsidRPr="00964694" w:rsidRDefault="00CC34F3" w:rsidP="00382537">
            <w:pPr>
              <w:rPr>
                <w:rFonts w:ascii="Arial" w:hAnsi="Arial" w:cs="Arial"/>
                <w:color w:val="000000" w:themeColor="text1"/>
                <w:lang w:val="el-GR"/>
              </w:rPr>
            </w:pPr>
            <w:r w:rsidRPr="00964694">
              <w:rPr>
                <w:rFonts w:ascii="Arial" w:hAnsi="Arial" w:cs="Arial"/>
                <w:color w:val="000000" w:themeColor="text1"/>
                <w:lang w:val="el-GR"/>
              </w:rPr>
              <w:t>Τροποποίηση του Κανονισμού 35 των βασικών κανονισμών</w:t>
            </w:r>
          </w:p>
        </w:tc>
        <w:tc>
          <w:tcPr>
            <w:tcW w:w="400" w:type="dxa"/>
            <w:shd w:val="clear" w:color="auto" w:fill="auto"/>
          </w:tcPr>
          <w:p w14:paraId="00A284D6" w14:textId="77777777" w:rsidR="00CC34F3" w:rsidRPr="006F2FA1" w:rsidRDefault="00CC34F3" w:rsidP="00382537">
            <w:pPr>
              <w:jc w:val="both"/>
              <w:rPr>
                <w:rFonts w:ascii="Arial" w:hAnsi="Arial" w:cs="Arial"/>
                <w:lang w:val="el-GR"/>
              </w:rPr>
            </w:pPr>
            <w:r w:rsidRPr="006F2FA1">
              <w:rPr>
                <w:rFonts w:ascii="Arial" w:hAnsi="Arial" w:cs="Arial"/>
                <w:lang w:val="el-GR"/>
              </w:rPr>
              <w:t>2.</w:t>
            </w:r>
          </w:p>
        </w:tc>
        <w:tc>
          <w:tcPr>
            <w:tcW w:w="6971" w:type="dxa"/>
            <w:shd w:val="clear" w:color="auto" w:fill="auto"/>
          </w:tcPr>
          <w:p w14:paraId="75CEAD3A" w14:textId="77777777" w:rsidR="00CC34F3" w:rsidRPr="006F2FA1" w:rsidRDefault="00CC34F3" w:rsidP="00106529">
            <w:pPr>
              <w:tabs>
                <w:tab w:val="left" w:pos="1800"/>
              </w:tabs>
              <w:jc w:val="both"/>
              <w:rPr>
                <w:rFonts w:ascii="Arial" w:hAnsi="Arial" w:cs="Arial"/>
                <w:lang w:val="el-GR"/>
              </w:rPr>
            </w:pPr>
            <w:r w:rsidRPr="006F2FA1">
              <w:rPr>
                <w:rFonts w:ascii="Arial" w:hAnsi="Arial" w:cs="Arial"/>
                <w:lang w:val="el-GR"/>
              </w:rPr>
              <w:t>Επιπρόσθετα από τα τέλη που επιβάλλονται με βάση τους Κανονισμούς  32 ή 33, κάθε ιδιοκτήτης ή κάτοχος υποστατικού, το οποίο βρίσκεται εντός της περιοχής που προμηθεύεται νερό από το Συμβούλιον Υδατοπρομήθειας Λευκωσίας ή από άλλο Συμβούλιο ή Οργανισμό ή Νομικό Πρόσωπο Δημοσίου Δικαίου επιφορτισμένου με την παροχή ύδατος, και που εξυπηρετείται από το σύστημα αποχετεύσεως λυμάτων του Συμβουλίου, οφείλει να καταβάλλει στο Συμβούλιο ομοιόμορφο τέλος για κάθε κυβικό μέτρο νερού, που καταναλώνεται από αυτόν κάθε διμηνία ή τριμηνία, όπως είναι η περίπτωση.  Το τέλος αυτό, που καθορίζεται για κάθε χρόνο από το Συμβούλιο, δεν μπορεί να υπερβαίνει το ανώτατο όριο όπως φαίνεται στο Δεύτερο Πίνακα των παρόντων Κανονισμών:</w:t>
            </w:r>
          </w:p>
        </w:tc>
      </w:tr>
      <w:tr w:rsidR="00B37F4D" w:rsidRPr="00FB4CEE" w14:paraId="15D0FC0C" w14:textId="77777777" w:rsidTr="006F2FA1">
        <w:tc>
          <w:tcPr>
            <w:tcW w:w="2410" w:type="dxa"/>
            <w:shd w:val="clear" w:color="auto" w:fill="auto"/>
          </w:tcPr>
          <w:p w14:paraId="50A82EE0" w14:textId="77777777" w:rsidR="00B37F4D" w:rsidRPr="00964694" w:rsidRDefault="00B37F4D" w:rsidP="00382537">
            <w:pPr>
              <w:rPr>
                <w:rFonts w:ascii="Arial" w:hAnsi="Arial" w:cs="Arial"/>
                <w:color w:val="000000" w:themeColor="text1"/>
                <w:lang w:val="el-GR"/>
              </w:rPr>
            </w:pPr>
          </w:p>
        </w:tc>
        <w:tc>
          <w:tcPr>
            <w:tcW w:w="400" w:type="dxa"/>
            <w:shd w:val="clear" w:color="auto" w:fill="auto"/>
          </w:tcPr>
          <w:p w14:paraId="5F1B2555" w14:textId="77777777" w:rsidR="00B37F4D" w:rsidRPr="006F2FA1" w:rsidRDefault="00B37F4D" w:rsidP="00382537">
            <w:pPr>
              <w:jc w:val="both"/>
              <w:rPr>
                <w:rFonts w:ascii="Arial" w:hAnsi="Arial" w:cs="Arial"/>
                <w:lang w:val="el-GR"/>
              </w:rPr>
            </w:pPr>
          </w:p>
        </w:tc>
        <w:tc>
          <w:tcPr>
            <w:tcW w:w="6971" w:type="dxa"/>
            <w:shd w:val="clear" w:color="auto" w:fill="auto"/>
          </w:tcPr>
          <w:p w14:paraId="2F74258A" w14:textId="77777777" w:rsidR="00B37F4D" w:rsidRPr="006F2FA1" w:rsidRDefault="00B37F4D" w:rsidP="00B37F4D">
            <w:pPr>
              <w:tabs>
                <w:tab w:val="left" w:pos="1800"/>
              </w:tabs>
              <w:jc w:val="center"/>
              <w:rPr>
                <w:rFonts w:ascii="Arial" w:hAnsi="Arial" w:cs="Arial"/>
                <w:lang w:val="el-GR"/>
              </w:rPr>
            </w:pPr>
          </w:p>
        </w:tc>
      </w:tr>
      <w:tr w:rsidR="00B37F4D" w:rsidRPr="00FB4CEE" w14:paraId="077E3F1E" w14:textId="77777777" w:rsidTr="006F2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shd w:val="clear" w:color="auto" w:fill="auto"/>
          </w:tcPr>
          <w:p w14:paraId="0D6214D4" w14:textId="77777777" w:rsidR="00B37F4D" w:rsidRPr="00964694" w:rsidRDefault="00624E42" w:rsidP="00B37F4D">
            <w:pPr>
              <w:tabs>
                <w:tab w:val="left" w:pos="1800"/>
              </w:tabs>
              <w:rPr>
                <w:rFonts w:ascii="Arial" w:hAnsi="Arial" w:cs="Arial"/>
                <w:color w:val="000000" w:themeColor="text1"/>
                <w:lang w:val="el-GR"/>
              </w:rPr>
            </w:pPr>
            <w:r w:rsidRPr="00964694">
              <w:rPr>
                <w:rFonts w:ascii="Arial" w:hAnsi="Arial" w:cs="Arial"/>
                <w:color w:val="000000" w:themeColor="text1"/>
                <w:lang w:val="el-GR"/>
              </w:rPr>
              <w:t xml:space="preserve">   </w:t>
            </w:r>
          </w:p>
        </w:tc>
        <w:tc>
          <w:tcPr>
            <w:tcW w:w="400" w:type="dxa"/>
            <w:tcBorders>
              <w:top w:val="nil"/>
              <w:left w:val="nil"/>
              <w:bottom w:val="nil"/>
              <w:right w:val="nil"/>
            </w:tcBorders>
            <w:shd w:val="clear" w:color="auto" w:fill="auto"/>
          </w:tcPr>
          <w:p w14:paraId="06C5D2E6" w14:textId="77777777" w:rsidR="00B37F4D" w:rsidRPr="006F2FA1" w:rsidRDefault="00B37F4D" w:rsidP="00B37F4D">
            <w:pPr>
              <w:tabs>
                <w:tab w:val="left" w:pos="1800"/>
              </w:tabs>
              <w:jc w:val="center"/>
              <w:rPr>
                <w:rFonts w:ascii="Arial" w:hAnsi="Arial" w:cs="Arial"/>
                <w:lang w:val="el-GR"/>
              </w:rPr>
            </w:pPr>
          </w:p>
        </w:tc>
        <w:tc>
          <w:tcPr>
            <w:tcW w:w="6971" w:type="dxa"/>
            <w:tcBorders>
              <w:top w:val="nil"/>
              <w:left w:val="nil"/>
              <w:bottom w:val="nil"/>
              <w:right w:val="nil"/>
            </w:tcBorders>
            <w:shd w:val="clear" w:color="auto" w:fill="auto"/>
          </w:tcPr>
          <w:p w14:paraId="6E3878C6" w14:textId="1FCC3FE7" w:rsidR="00B37F4D" w:rsidRPr="006F2FA1" w:rsidRDefault="00B37F4D" w:rsidP="00061BE5">
            <w:pPr>
              <w:tabs>
                <w:tab w:val="left" w:pos="1800"/>
              </w:tabs>
              <w:jc w:val="both"/>
              <w:rPr>
                <w:rFonts w:ascii="Arial" w:hAnsi="Arial" w:cs="Arial"/>
                <w:lang w:val="el-GR"/>
              </w:rPr>
            </w:pPr>
            <w:r w:rsidRPr="006F2FA1">
              <w:rPr>
                <w:rFonts w:ascii="Arial" w:hAnsi="Arial" w:cs="Arial"/>
                <w:lang w:val="el-GR"/>
              </w:rPr>
              <w:t xml:space="preserve">Νοείται ότι, όταν το υποστατικό αυτό προμηθεύεται, είτε αποκλειστικά είτε επιπρόσθετα, νερό από άλλη πηγή πλην του Συμβουλίου Υδατοπρομήθειας Λευκωσίας ή άλλου Συμβουλίου ή Οργανισμού ή Νομικού Προσώπου Δημοσίου Δικαίου επιφορτισμένου με την παροχή ύδατος, το Συμβούλιο δύναται να απαιτήσει από τον ιδιοκτήτη ή κάτοχο του υποστατικού αυτού την καταβολή, αντί του πιο πάνω </w:t>
            </w:r>
            <w:r w:rsidRPr="006F2FA1">
              <w:rPr>
                <w:rFonts w:ascii="Arial" w:hAnsi="Arial" w:cs="Arial"/>
                <w:lang w:val="el-GR"/>
              </w:rPr>
              <w:lastRenderedPageBreak/>
              <w:t xml:space="preserve">αναφερόμενου τέλους, ομοιόμορφου τέλους που καθορίζεται κάθε χρόνο από το Συμβούλιο και δεν υπερβαίνει τα </w:t>
            </w:r>
            <w:r w:rsidR="00FB4CEE">
              <w:rPr>
                <w:rFonts w:ascii="Arial" w:hAnsi="Arial" w:cs="Arial"/>
                <w:lang w:val="el-GR"/>
              </w:rPr>
              <w:t>ογδόντα</w:t>
            </w:r>
            <w:r w:rsidRPr="006F2FA1">
              <w:rPr>
                <w:rFonts w:ascii="Arial" w:hAnsi="Arial" w:cs="Arial"/>
                <w:lang w:val="el-GR"/>
              </w:rPr>
              <w:t xml:space="preserve"> σεντ (€0,</w:t>
            </w:r>
            <w:r w:rsidR="00761A23" w:rsidRPr="00761A23">
              <w:rPr>
                <w:rFonts w:ascii="Arial" w:hAnsi="Arial" w:cs="Arial"/>
                <w:lang w:val="el-GR"/>
              </w:rPr>
              <w:t>80</w:t>
            </w:r>
            <w:r w:rsidRPr="006F2FA1">
              <w:rPr>
                <w:rFonts w:ascii="Arial" w:hAnsi="Arial" w:cs="Arial"/>
                <w:lang w:val="el-GR"/>
              </w:rPr>
              <w:t xml:space="preserve">) ανά κυβικό μέτρο των λυμάτων ή και των βιομηχανικών απορριμματικών υγρών που εκκενώνονται εντός της υπονόμου οικοδομής. </w:t>
            </w:r>
          </w:p>
        </w:tc>
      </w:tr>
    </w:tbl>
    <w:p w14:paraId="114806B1" w14:textId="77777777" w:rsidR="002B1754" w:rsidRPr="006F2FA1" w:rsidRDefault="002B1754" w:rsidP="002B1754">
      <w:pPr>
        <w:jc w:val="both"/>
        <w:rPr>
          <w:rFonts w:ascii="Arial" w:hAnsi="Arial" w:cs="Arial"/>
          <w:lang w:val="el-GR"/>
        </w:rPr>
      </w:pPr>
    </w:p>
    <w:p w14:paraId="13356EE6" w14:textId="77777777" w:rsidR="00624E42" w:rsidRPr="006F2FA1" w:rsidRDefault="00624E42" w:rsidP="002B1754">
      <w:pPr>
        <w:jc w:val="both"/>
        <w:rPr>
          <w:rFonts w:ascii="Arial" w:hAnsi="Arial" w:cs="Arial"/>
          <w:lang w:val="el-GR"/>
        </w:rPr>
      </w:pPr>
    </w:p>
    <w:tbl>
      <w:tblPr>
        <w:tblW w:w="9923" w:type="dxa"/>
        <w:tblInd w:w="-601" w:type="dxa"/>
        <w:tblLook w:val="04A0" w:firstRow="1" w:lastRow="0" w:firstColumn="1" w:lastColumn="0" w:noHBand="0" w:noVBand="1"/>
      </w:tblPr>
      <w:tblGrid>
        <w:gridCol w:w="2807"/>
        <w:gridCol w:w="3289"/>
        <w:gridCol w:w="3827"/>
      </w:tblGrid>
      <w:tr w:rsidR="006F2FA1" w:rsidRPr="00FB4CEE" w14:paraId="1B72295B" w14:textId="77777777" w:rsidTr="00CC34F3">
        <w:tc>
          <w:tcPr>
            <w:tcW w:w="2807" w:type="dxa"/>
            <w:vMerge w:val="restart"/>
            <w:shd w:val="clear" w:color="auto" w:fill="auto"/>
          </w:tcPr>
          <w:p w14:paraId="03EC22AF" w14:textId="77777777" w:rsidR="006F2FA1" w:rsidRPr="006F2FA1" w:rsidRDefault="00624E42" w:rsidP="00624E42">
            <w:pPr>
              <w:rPr>
                <w:rFonts w:ascii="Arial" w:hAnsi="Arial" w:cs="Arial"/>
                <w:lang w:val="el-GR"/>
              </w:rPr>
            </w:pPr>
            <w:r w:rsidRPr="006F2FA1">
              <w:rPr>
                <w:rFonts w:ascii="Arial" w:hAnsi="Arial" w:cs="Arial"/>
                <w:lang w:val="el-GR"/>
              </w:rPr>
              <w:br w:type="page"/>
            </w:r>
            <w:r w:rsidR="006F2FA1" w:rsidRPr="006F2FA1">
              <w:rPr>
                <w:rFonts w:ascii="Arial" w:hAnsi="Arial" w:cs="Arial"/>
                <w:lang w:val="el-GR"/>
              </w:rPr>
              <w:t>Τροποποίηση του  Δεύτερου Πίνακα</w:t>
            </w:r>
          </w:p>
          <w:p w14:paraId="14FB3EBC" w14:textId="77777777" w:rsidR="006F2FA1" w:rsidRPr="006F2FA1" w:rsidRDefault="006F2FA1" w:rsidP="00624E42">
            <w:pPr>
              <w:rPr>
                <w:rFonts w:ascii="Arial" w:hAnsi="Arial" w:cs="Arial"/>
              </w:rPr>
            </w:pPr>
            <w:r w:rsidRPr="006F2FA1">
              <w:rPr>
                <w:rFonts w:ascii="Arial" w:hAnsi="Arial" w:cs="Arial"/>
              </w:rPr>
              <w:t xml:space="preserve"> </w:t>
            </w:r>
          </w:p>
          <w:p w14:paraId="05A27DC1" w14:textId="77777777" w:rsidR="006F2FA1" w:rsidRPr="006F2FA1" w:rsidRDefault="006F2FA1" w:rsidP="00624E42">
            <w:pPr>
              <w:jc w:val="both"/>
              <w:rPr>
                <w:rFonts w:ascii="Arial" w:hAnsi="Arial" w:cs="Arial"/>
                <w:lang w:val="el-GR"/>
              </w:rPr>
            </w:pPr>
          </w:p>
        </w:tc>
        <w:tc>
          <w:tcPr>
            <w:tcW w:w="7116" w:type="dxa"/>
            <w:gridSpan w:val="2"/>
            <w:shd w:val="clear" w:color="auto" w:fill="auto"/>
          </w:tcPr>
          <w:p w14:paraId="45BF0538" w14:textId="77777777" w:rsidR="006F2FA1" w:rsidRDefault="006F2FA1" w:rsidP="009F3B0D">
            <w:pPr>
              <w:jc w:val="both"/>
              <w:rPr>
                <w:rFonts w:ascii="Arial" w:hAnsi="Arial" w:cs="Arial"/>
                <w:lang w:val="el-GR"/>
              </w:rPr>
            </w:pPr>
            <w:r w:rsidRPr="006F2FA1">
              <w:rPr>
                <w:rFonts w:ascii="Arial" w:hAnsi="Arial" w:cs="Arial"/>
                <w:lang w:val="el-GR"/>
              </w:rPr>
              <w:t xml:space="preserve">Ο Δεύτερος Πίνακας - Κανονισμός 35(1),  στο τέλος του βασικού νόμου, τροποποιείται ως ακολούθως: </w:t>
            </w:r>
          </w:p>
          <w:p w14:paraId="4C380059" w14:textId="77777777" w:rsidR="00CC34F3" w:rsidRPr="006F2FA1" w:rsidRDefault="00CC34F3" w:rsidP="009F3B0D">
            <w:pPr>
              <w:jc w:val="both"/>
              <w:rPr>
                <w:rFonts w:ascii="Arial" w:hAnsi="Arial" w:cs="Arial"/>
                <w:lang w:val="el-GR"/>
              </w:rPr>
            </w:pPr>
          </w:p>
        </w:tc>
      </w:tr>
      <w:tr w:rsidR="006F2FA1" w:rsidRPr="00427844" w14:paraId="77992E7C" w14:textId="77777777" w:rsidTr="00CC34F3">
        <w:tc>
          <w:tcPr>
            <w:tcW w:w="2807" w:type="dxa"/>
            <w:vMerge/>
            <w:shd w:val="clear" w:color="auto" w:fill="auto"/>
          </w:tcPr>
          <w:p w14:paraId="05A9456E" w14:textId="77777777" w:rsidR="006F2FA1" w:rsidRPr="006F2FA1" w:rsidRDefault="006F2FA1" w:rsidP="00624E42">
            <w:pPr>
              <w:jc w:val="both"/>
              <w:rPr>
                <w:rFonts w:ascii="Arial" w:hAnsi="Arial" w:cs="Arial"/>
                <w:lang w:val="el-GR"/>
              </w:rPr>
            </w:pPr>
          </w:p>
        </w:tc>
        <w:tc>
          <w:tcPr>
            <w:tcW w:w="7116" w:type="dxa"/>
            <w:gridSpan w:val="2"/>
            <w:shd w:val="clear" w:color="auto" w:fill="auto"/>
          </w:tcPr>
          <w:p w14:paraId="49D9375F" w14:textId="77777777" w:rsidR="006F2FA1" w:rsidRPr="006F2FA1" w:rsidRDefault="006F2FA1" w:rsidP="006F2FA1">
            <w:pPr>
              <w:jc w:val="center"/>
              <w:rPr>
                <w:rFonts w:ascii="Arial" w:hAnsi="Arial" w:cs="Arial"/>
                <w:lang w:val="el-GR"/>
              </w:rPr>
            </w:pPr>
            <w:r w:rsidRPr="006F2FA1">
              <w:rPr>
                <w:rFonts w:ascii="Arial" w:hAnsi="Arial" w:cs="Arial"/>
                <w:lang w:val="el-GR"/>
              </w:rPr>
              <w:t>Δεύτερος Πίνακας</w:t>
            </w:r>
          </w:p>
          <w:p w14:paraId="2D2E0A02" w14:textId="77777777" w:rsidR="006F2FA1" w:rsidRPr="006F2FA1" w:rsidRDefault="006F2FA1" w:rsidP="006F2FA1">
            <w:pPr>
              <w:jc w:val="center"/>
              <w:rPr>
                <w:rFonts w:ascii="Arial" w:hAnsi="Arial" w:cs="Arial"/>
                <w:lang w:val="el-GR"/>
              </w:rPr>
            </w:pPr>
          </w:p>
          <w:p w14:paraId="5A42C80A" w14:textId="77777777" w:rsidR="006F2FA1" w:rsidRDefault="006F2FA1" w:rsidP="006F2FA1">
            <w:pPr>
              <w:jc w:val="center"/>
              <w:rPr>
                <w:rFonts w:ascii="Arial" w:hAnsi="Arial" w:cs="Arial"/>
                <w:u w:val="single"/>
                <w:lang w:val="el-GR"/>
              </w:rPr>
            </w:pPr>
            <w:r w:rsidRPr="006F2FA1">
              <w:rPr>
                <w:rFonts w:ascii="Arial" w:hAnsi="Arial" w:cs="Arial"/>
                <w:u w:val="single"/>
                <w:lang w:val="el-GR"/>
              </w:rPr>
              <w:t>Κανονισμός 35(1)</w:t>
            </w:r>
          </w:p>
          <w:p w14:paraId="4F011541" w14:textId="77777777" w:rsidR="00CC34F3" w:rsidRPr="006F2FA1" w:rsidRDefault="00CC34F3" w:rsidP="006F2FA1">
            <w:pPr>
              <w:jc w:val="center"/>
              <w:rPr>
                <w:rFonts w:ascii="Arial" w:hAnsi="Arial" w:cs="Arial"/>
                <w:lang w:val="el-GR"/>
              </w:rPr>
            </w:pPr>
          </w:p>
        </w:tc>
      </w:tr>
      <w:tr w:rsidR="006F2FA1" w:rsidRPr="00427844" w14:paraId="0F589738" w14:textId="77777777" w:rsidTr="00CC34F3">
        <w:tc>
          <w:tcPr>
            <w:tcW w:w="2807" w:type="dxa"/>
            <w:vMerge/>
            <w:shd w:val="clear" w:color="auto" w:fill="auto"/>
          </w:tcPr>
          <w:p w14:paraId="4A993D03" w14:textId="77777777" w:rsidR="006F2FA1" w:rsidRPr="006F2FA1" w:rsidRDefault="006F2FA1" w:rsidP="00624E42">
            <w:pPr>
              <w:rPr>
                <w:rFonts w:ascii="Arial" w:hAnsi="Arial" w:cs="Arial"/>
              </w:rPr>
            </w:pPr>
          </w:p>
        </w:tc>
        <w:tc>
          <w:tcPr>
            <w:tcW w:w="3289" w:type="dxa"/>
            <w:shd w:val="clear" w:color="auto" w:fill="auto"/>
          </w:tcPr>
          <w:p w14:paraId="73C68091" w14:textId="77777777" w:rsidR="006F2FA1" w:rsidRPr="006F2FA1" w:rsidRDefault="006F2FA1" w:rsidP="006F2FA1">
            <w:pPr>
              <w:jc w:val="center"/>
              <w:rPr>
                <w:rFonts w:ascii="Arial" w:hAnsi="Arial" w:cs="Arial"/>
                <w:u w:val="single"/>
                <w:lang w:val="el-GR"/>
              </w:rPr>
            </w:pPr>
            <w:r w:rsidRPr="006F2FA1">
              <w:rPr>
                <w:rFonts w:ascii="Arial" w:hAnsi="Arial" w:cs="Arial"/>
                <w:u w:val="single"/>
                <w:lang w:val="el-GR"/>
              </w:rPr>
              <w:t>Έτη</w:t>
            </w:r>
          </w:p>
        </w:tc>
        <w:tc>
          <w:tcPr>
            <w:tcW w:w="3827" w:type="dxa"/>
            <w:shd w:val="clear" w:color="auto" w:fill="auto"/>
          </w:tcPr>
          <w:p w14:paraId="213F2AC5" w14:textId="77777777" w:rsidR="006F2FA1" w:rsidRPr="006F2FA1" w:rsidRDefault="006F2FA1" w:rsidP="006F2FA1">
            <w:pPr>
              <w:jc w:val="center"/>
              <w:rPr>
                <w:rFonts w:ascii="Arial" w:hAnsi="Arial" w:cs="Arial"/>
                <w:u w:val="single"/>
                <w:lang w:val="el-GR"/>
              </w:rPr>
            </w:pPr>
            <w:r w:rsidRPr="006F2FA1">
              <w:rPr>
                <w:rFonts w:ascii="Arial" w:hAnsi="Arial" w:cs="Arial"/>
                <w:u w:val="single"/>
                <w:lang w:val="el-GR"/>
              </w:rPr>
              <w:t>Ποσό που δεν υπερβαίνει</w:t>
            </w:r>
          </w:p>
        </w:tc>
      </w:tr>
      <w:tr w:rsidR="006F2FA1" w:rsidRPr="00427844" w14:paraId="6C2E826B" w14:textId="77777777" w:rsidTr="00CC34F3">
        <w:tc>
          <w:tcPr>
            <w:tcW w:w="2807" w:type="dxa"/>
            <w:vMerge/>
            <w:shd w:val="clear" w:color="auto" w:fill="auto"/>
          </w:tcPr>
          <w:p w14:paraId="54ADF60A" w14:textId="77777777" w:rsidR="006F2FA1" w:rsidRPr="006F2FA1" w:rsidRDefault="006F2FA1" w:rsidP="00624E42">
            <w:pPr>
              <w:rPr>
                <w:rFonts w:ascii="Arial" w:hAnsi="Arial" w:cs="Arial"/>
              </w:rPr>
            </w:pPr>
          </w:p>
        </w:tc>
        <w:tc>
          <w:tcPr>
            <w:tcW w:w="3289" w:type="dxa"/>
            <w:shd w:val="clear" w:color="auto" w:fill="auto"/>
          </w:tcPr>
          <w:p w14:paraId="30C4CE67" w14:textId="77777777" w:rsidR="006F2FA1" w:rsidRPr="006F2FA1" w:rsidRDefault="006F2FA1" w:rsidP="006F2FA1">
            <w:pPr>
              <w:rPr>
                <w:rFonts w:ascii="Arial" w:hAnsi="Arial" w:cs="Arial"/>
                <w:lang w:val="el-GR"/>
              </w:rPr>
            </w:pPr>
            <w:r w:rsidRPr="006F2FA1">
              <w:rPr>
                <w:rFonts w:ascii="Arial" w:hAnsi="Arial" w:cs="Arial"/>
                <w:lang w:val="el-GR"/>
              </w:rPr>
              <w:t>2010</w:t>
            </w:r>
          </w:p>
        </w:tc>
        <w:tc>
          <w:tcPr>
            <w:tcW w:w="3827" w:type="dxa"/>
            <w:shd w:val="clear" w:color="auto" w:fill="auto"/>
          </w:tcPr>
          <w:p w14:paraId="092F070F" w14:textId="77777777" w:rsidR="006F2FA1" w:rsidRPr="006F2FA1" w:rsidRDefault="006F2FA1" w:rsidP="00964694">
            <w:pPr>
              <w:jc w:val="center"/>
              <w:rPr>
                <w:rFonts w:ascii="Arial" w:hAnsi="Arial" w:cs="Arial"/>
                <w:lang w:val="el-GR"/>
              </w:rPr>
            </w:pPr>
            <w:r w:rsidRPr="006F2FA1">
              <w:rPr>
                <w:rFonts w:ascii="Arial" w:hAnsi="Arial" w:cs="Arial"/>
                <w:lang w:val="el-GR"/>
              </w:rPr>
              <w:t>0,45</w:t>
            </w:r>
          </w:p>
        </w:tc>
      </w:tr>
      <w:tr w:rsidR="006F2FA1" w:rsidRPr="00427844" w14:paraId="7D52C61B" w14:textId="77777777" w:rsidTr="00CC34F3">
        <w:tc>
          <w:tcPr>
            <w:tcW w:w="2807" w:type="dxa"/>
            <w:vMerge/>
            <w:shd w:val="clear" w:color="auto" w:fill="auto"/>
          </w:tcPr>
          <w:p w14:paraId="4F4E3702" w14:textId="77777777" w:rsidR="006F2FA1" w:rsidRPr="006F2FA1" w:rsidRDefault="006F2FA1" w:rsidP="00624E42">
            <w:pPr>
              <w:rPr>
                <w:rFonts w:ascii="Arial" w:hAnsi="Arial" w:cs="Arial"/>
              </w:rPr>
            </w:pPr>
          </w:p>
        </w:tc>
        <w:tc>
          <w:tcPr>
            <w:tcW w:w="3289" w:type="dxa"/>
            <w:shd w:val="clear" w:color="auto" w:fill="auto"/>
          </w:tcPr>
          <w:p w14:paraId="06A1368D" w14:textId="77777777" w:rsidR="006F2FA1" w:rsidRPr="006F2FA1" w:rsidRDefault="006F2FA1" w:rsidP="006F2FA1">
            <w:pPr>
              <w:rPr>
                <w:rFonts w:ascii="Arial" w:hAnsi="Arial" w:cs="Arial"/>
                <w:lang w:val="el-GR"/>
              </w:rPr>
            </w:pPr>
            <w:r w:rsidRPr="006F2FA1">
              <w:rPr>
                <w:rFonts w:ascii="Arial" w:hAnsi="Arial" w:cs="Arial"/>
                <w:lang w:val="el-GR"/>
              </w:rPr>
              <w:t>2011</w:t>
            </w:r>
          </w:p>
        </w:tc>
        <w:tc>
          <w:tcPr>
            <w:tcW w:w="3827" w:type="dxa"/>
            <w:shd w:val="clear" w:color="auto" w:fill="auto"/>
          </w:tcPr>
          <w:p w14:paraId="71B66522" w14:textId="77777777" w:rsidR="006F2FA1" w:rsidRPr="006F2FA1" w:rsidRDefault="006F2FA1" w:rsidP="00964694">
            <w:pPr>
              <w:jc w:val="center"/>
              <w:rPr>
                <w:rFonts w:ascii="Arial" w:hAnsi="Arial" w:cs="Arial"/>
                <w:lang w:val="el-GR"/>
              </w:rPr>
            </w:pPr>
            <w:r w:rsidRPr="006F2FA1">
              <w:rPr>
                <w:rFonts w:ascii="Arial" w:hAnsi="Arial" w:cs="Arial"/>
                <w:lang w:val="el-GR"/>
              </w:rPr>
              <w:t>0,50</w:t>
            </w:r>
          </w:p>
        </w:tc>
      </w:tr>
      <w:tr w:rsidR="006F2FA1" w:rsidRPr="00427844" w14:paraId="4971E49E" w14:textId="77777777" w:rsidTr="00CC34F3">
        <w:tc>
          <w:tcPr>
            <w:tcW w:w="2807" w:type="dxa"/>
            <w:vMerge/>
            <w:shd w:val="clear" w:color="auto" w:fill="auto"/>
          </w:tcPr>
          <w:p w14:paraId="6B86E448" w14:textId="77777777" w:rsidR="006F2FA1" w:rsidRPr="006F2FA1" w:rsidRDefault="006F2FA1" w:rsidP="00624E42">
            <w:pPr>
              <w:rPr>
                <w:rFonts w:ascii="Arial" w:hAnsi="Arial" w:cs="Arial"/>
              </w:rPr>
            </w:pPr>
          </w:p>
        </w:tc>
        <w:tc>
          <w:tcPr>
            <w:tcW w:w="3289" w:type="dxa"/>
            <w:shd w:val="clear" w:color="auto" w:fill="auto"/>
          </w:tcPr>
          <w:p w14:paraId="30F07C58" w14:textId="42D4ADA3" w:rsidR="006F2FA1" w:rsidRPr="006F2FA1" w:rsidRDefault="006F2FA1" w:rsidP="006F2FA1">
            <w:pPr>
              <w:rPr>
                <w:rFonts w:ascii="Arial" w:hAnsi="Arial" w:cs="Arial"/>
                <w:lang w:val="el-GR"/>
              </w:rPr>
            </w:pPr>
            <w:r w:rsidRPr="006F2FA1">
              <w:rPr>
                <w:rFonts w:ascii="Arial" w:hAnsi="Arial" w:cs="Arial"/>
                <w:lang w:val="el-GR"/>
              </w:rPr>
              <w:t xml:space="preserve">2012 </w:t>
            </w:r>
          </w:p>
        </w:tc>
        <w:tc>
          <w:tcPr>
            <w:tcW w:w="3827" w:type="dxa"/>
            <w:shd w:val="clear" w:color="auto" w:fill="auto"/>
          </w:tcPr>
          <w:p w14:paraId="14DEFBE3" w14:textId="77777777" w:rsidR="006F2FA1" w:rsidRPr="006F2FA1" w:rsidRDefault="006F2FA1" w:rsidP="00964694">
            <w:pPr>
              <w:jc w:val="center"/>
              <w:rPr>
                <w:rFonts w:ascii="Arial" w:hAnsi="Arial" w:cs="Arial"/>
                <w:lang w:val="el-GR"/>
              </w:rPr>
            </w:pPr>
            <w:r w:rsidRPr="006F2FA1">
              <w:rPr>
                <w:rFonts w:ascii="Arial" w:hAnsi="Arial" w:cs="Arial"/>
                <w:lang w:val="el-GR"/>
              </w:rPr>
              <w:t>0,55</w:t>
            </w:r>
          </w:p>
        </w:tc>
      </w:tr>
      <w:tr w:rsidR="006F2FA1" w:rsidRPr="00427844" w14:paraId="0B62BC04" w14:textId="77777777" w:rsidTr="00CC34F3">
        <w:tc>
          <w:tcPr>
            <w:tcW w:w="2807" w:type="dxa"/>
            <w:vMerge/>
            <w:shd w:val="clear" w:color="auto" w:fill="auto"/>
          </w:tcPr>
          <w:p w14:paraId="315C613C" w14:textId="77777777" w:rsidR="006F2FA1" w:rsidRPr="006F2FA1" w:rsidRDefault="006F2FA1" w:rsidP="00624E42">
            <w:pPr>
              <w:rPr>
                <w:rFonts w:ascii="Arial" w:hAnsi="Arial" w:cs="Arial"/>
              </w:rPr>
            </w:pPr>
          </w:p>
        </w:tc>
        <w:tc>
          <w:tcPr>
            <w:tcW w:w="3289" w:type="dxa"/>
            <w:shd w:val="clear" w:color="auto" w:fill="auto"/>
          </w:tcPr>
          <w:p w14:paraId="400AFA7C" w14:textId="3B6108DA" w:rsidR="006F2FA1" w:rsidRPr="006F2FA1" w:rsidRDefault="006F2FA1" w:rsidP="006F2FA1">
            <w:pPr>
              <w:rPr>
                <w:rFonts w:ascii="Arial" w:hAnsi="Arial" w:cs="Arial"/>
                <w:lang w:val="el-GR"/>
              </w:rPr>
            </w:pPr>
            <w:r w:rsidRPr="006F2FA1">
              <w:rPr>
                <w:rFonts w:ascii="Arial" w:hAnsi="Arial" w:cs="Arial"/>
                <w:lang w:val="el-GR"/>
              </w:rPr>
              <w:t>20</w:t>
            </w:r>
            <w:r w:rsidR="00761A23" w:rsidRPr="00761A23">
              <w:rPr>
                <w:rFonts w:ascii="Arial" w:hAnsi="Arial" w:cs="Arial"/>
                <w:lang w:val="el-GR"/>
              </w:rPr>
              <w:t>22</w:t>
            </w:r>
            <w:r w:rsidRPr="006F2FA1">
              <w:rPr>
                <w:rFonts w:ascii="Arial" w:hAnsi="Arial" w:cs="Arial"/>
                <w:lang w:val="el-GR"/>
              </w:rPr>
              <w:t xml:space="preserve"> και για  τα επόμενα έτη</w:t>
            </w:r>
          </w:p>
        </w:tc>
        <w:tc>
          <w:tcPr>
            <w:tcW w:w="3827" w:type="dxa"/>
            <w:shd w:val="clear" w:color="auto" w:fill="auto"/>
          </w:tcPr>
          <w:p w14:paraId="00385007" w14:textId="28ACD7D7" w:rsidR="006F2FA1" w:rsidRPr="003C6E8B" w:rsidRDefault="006F2FA1" w:rsidP="00964694">
            <w:pPr>
              <w:jc w:val="center"/>
              <w:rPr>
                <w:rFonts w:ascii="Arial" w:hAnsi="Arial" w:cs="Arial"/>
                <w:lang w:val="el-GR"/>
              </w:rPr>
            </w:pPr>
            <w:r w:rsidRPr="006F2FA1">
              <w:rPr>
                <w:rFonts w:ascii="Arial" w:hAnsi="Arial" w:cs="Arial"/>
                <w:lang w:val="el-GR"/>
              </w:rPr>
              <w:t>0,</w:t>
            </w:r>
            <w:r w:rsidR="00761A23">
              <w:rPr>
                <w:rFonts w:ascii="Arial" w:hAnsi="Arial" w:cs="Arial"/>
              </w:rPr>
              <w:t>80</w:t>
            </w:r>
          </w:p>
        </w:tc>
      </w:tr>
    </w:tbl>
    <w:p w14:paraId="65D3A405" w14:textId="77777777" w:rsidR="006F2FA1" w:rsidRDefault="006F2FA1" w:rsidP="002B1754">
      <w:pPr>
        <w:ind w:hanging="426"/>
        <w:jc w:val="both"/>
        <w:rPr>
          <w:rFonts w:ascii="Arial" w:hAnsi="Arial" w:cs="Arial"/>
          <w:lang w:val="el-GR"/>
        </w:rPr>
      </w:pPr>
    </w:p>
    <w:p w14:paraId="03482F60" w14:textId="77777777" w:rsidR="006F2FA1" w:rsidRDefault="006F2FA1" w:rsidP="002B1754">
      <w:pPr>
        <w:ind w:hanging="426"/>
        <w:jc w:val="both"/>
        <w:rPr>
          <w:rFonts w:ascii="Arial" w:hAnsi="Arial" w:cs="Arial"/>
          <w:lang w:val="el-GR"/>
        </w:rPr>
      </w:pPr>
    </w:p>
    <w:p w14:paraId="034E18B8" w14:textId="77777777" w:rsidR="006F2FA1" w:rsidRDefault="006F2FA1" w:rsidP="002B1754">
      <w:pPr>
        <w:ind w:hanging="426"/>
        <w:jc w:val="both"/>
        <w:rPr>
          <w:rFonts w:ascii="Arial" w:hAnsi="Arial" w:cs="Arial"/>
          <w:lang w:val="el-GR"/>
        </w:rPr>
      </w:pPr>
    </w:p>
    <w:p w14:paraId="66171014" w14:textId="77777777" w:rsidR="006F2FA1" w:rsidRDefault="006F2FA1" w:rsidP="002B1754">
      <w:pPr>
        <w:ind w:hanging="426"/>
        <w:jc w:val="both"/>
        <w:rPr>
          <w:rFonts w:ascii="Arial" w:hAnsi="Arial" w:cs="Arial"/>
          <w:lang w:val="el-GR"/>
        </w:rPr>
      </w:pPr>
    </w:p>
    <w:p w14:paraId="1DD0B9D0" w14:textId="77777777" w:rsidR="006F2FA1" w:rsidRDefault="006F2FA1" w:rsidP="002B1754">
      <w:pPr>
        <w:ind w:hanging="426"/>
        <w:jc w:val="both"/>
        <w:rPr>
          <w:rFonts w:ascii="Arial" w:hAnsi="Arial" w:cs="Arial"/>
          <w:lang w:val="el-GR"/>
        </w:rPr>
      </w:pPr>
    </w:p>
    <w:p w14:paraId="6B7517A2" w14:textId="77777777" w:rsidR="006F2FA1" w:rsidRDefault="006F2FA1" w:rsidP="002B1754">
      <w:pPr>
        <w:ind w:hanging="426"/>
        <w:jc w:val="both"/>
        <w:rPr>
          <w:rFonts w:ascii="Arial" w:hAnsi="Arial" w:cs="Arial"/>
          <w:lang w:val="el-GR"/>
        </w:rPr>
      </w:pPr>
    </w:p>
    <w:p w14:paraId="06188F1A" w14:textId="77777777" w:rsidR="006F2FA1" w:rsidRDefault="006F2FA1" w:rsidP="002B1754">
      <w:pPr>
        <w:ind w:hanging="426"/>
        <w:jc w:val="both"/>
        <w:rPr>
          <w:rFonts w:ascii="Arial" w:hAnsi="Arial" w:cs="Arial"/>
          <w:lang w:val="el-GR"/>
        </w:rPr>
      </w:pPr>
    </w:p>
    <w:p w14:paraId="773685A0" w14:textId="77777777" w:rsidR="006F2FA1" w:rsidRDefault="006F2FA1" w:rsidP="002B1754">
      <w:pPr>
        <w:ind w:hanging="426"/>
        <w:jc w:val="both"/>
        <w:rPr>
          <w:rFonts w:ascii="Arial" w:hAnsi="Arial" w:cs="Arial"/>
          <w:lang w:val="el-GR"/>
        </w:rPr>
      </w:pPr>
    </w:p>
    <w:p w14:paraId="01B13946" w14:textId="77777777" w:rsidR="006F2FA1" w:rsidRDefault="006F2FA1" w:rsidP="002B1754">
      <w:pPr>
        <w:ind w:hanging="426"/>
        <w:jc w:val="both"/>
        <w:rPr>
          <w:rFonts w:ascii="Arial" w:hAnsi="Arial" w:cs="Arial"/>
          <w:lang w:val="el-GR"/>
        </w:rPr>
      </w:pPr>
    </w:p>
    <w:p w14:paraId="06EEE682" w14:textId="77777777" w:rsidR="006F2FA1" w:rsidRDefault="006F2FA1" w:rsidP="002B1754">
      <w:pPr>
        <w:ind w:hanging="426"/>
        <w:jc w:val="both"/>
        <w:rPr>
          <w:rFonts w:ascii="Arial" w:hAnsi="Arial" w:cs="Arial"/>
          <w:lang w:val="el-GR"/>
        </w:rPr>
      </w:pPr>
    </w:p>
    <w:p w14:paraId="160DC5EC" w14:textId="77777777" w:rsidR="006F2FA1" w:rsidRDefault="006F2FA1" w:rsidP="002B1754">
      <w:pPr>
        <w:ind w:hanging="426"/>
        <w:jc w:val="both"/>
        <w:rPr>
          <w:rFonts w:ascii="Arial" w:hAnsi="Arial" w:cs="Arial"/>
          <w:lang w:val="el-GR"/>
        </w:rPr>
      </w:pPr>
    </w:p>
    <w:p w14:paraId="296EBE27" w14:textId="77777777" w:rsidR="006F2FA1" w:rsidRDefault="006F2FA1" w:rsidP="002B1754">
      <w:pPr>
        <w:ind w:hanging="426"/>
        <w:jc w:val="both"/>
        <w:rPr>
          <w:rFonts w:ascii="Arial" w:hAnsi="Arial" w:cs="Arial"/>
          <w:lang w:val="el-GR"/>
        </w:rPr>
      </w:pPr>
    </w:p>
    <w:p w14:paraId="18819714" w14:textId="77777777" w:rsidR="006F2FA1" w:rsidRDefault="006F2FA1" w:rsidP="002B1754">
      <w:pPr>
        <w:ind w:hanging="426"/>
        <w:jc w:val="both"/>
        <w:rPr>
          <w:rFonts w:ascii="Arial" w:hAnsi="Arial" w:cs="Arial"/>
          <w:lang w:val="el-GR"/>
        </w:rPr>
      </w:pPr>
    </w:p>
    <w:p w14:paraId="3E8D9F3D" w14:textId="77777777" w:rsidR="006F2FA1" w:rsidRDefault="006F2FA1" w:rsidP="002B1754">
      <w:pPr>
        <w:ind w:hanging="426"/>
        <w:jc w:val="both"/>
        <w:rPr>
          <w:rFonts w:ascii="Arial" w:hAnsi="Arial" w:cs="Arial"/>
          <w:lang w:val="el-GR"/>
        </w:rPr>
      </w:pPr>
    </w:p>
    <w:p w14:paraId="5A22B57F" w14:textId="77777777" w:rsidR="006F2FA1" w:rsidRDefault="006F2FA1" w:rsidP="002B1754">
      <w:pPr>
        <w:ind w:hanging="426"/>
        <w:jc w:val="both"/>
        <w:rPr>
          <w:rFonts w:ascii="Arial" w:hAnsi="Arial" w:cs="Arial"/>
          <w:lang w:val="el-GR"/>
        </w:rPr>
      </w:pPr>
    </w:p>
    <w:p w14:paraId="0099B27D" w14:textId="77777777" w:rsidR="006F2FA1" w:rsidRDefault="006F2FA1" w:rsidP="002B1754">
      <w:pPr>
        <w:ind w:hanging="426"/>
        <w:jc w:val="both"/>
        <w:rPr>
          <w:rFonts w:ascii="Arial" w:hAnsi="Arial" w:cs="Arial"/>
          <w:lang w:val="el-GR"/>
        </w:rPr>
      </w:pPr>
    </w:p>
    <w:p w14:paraId="236127B9" w14:textId="77777777" w:rsidR="006F2FA1" w:rsidRDefault="006F2FA1" w:rsidP="002B1754">
      <w:pPr>
        <w:ind w:hanging="426"/>
        <w:jc w:val="both"/>
        <w:rPr>
          <w:rFonts w:ascii="Arial" w:hAnsi="Arial" w:cs="Arial"/>
          <w:lang w:val="el-GR"/>
        </w:rPr>
      </w:pPr>
    </w:p>
    <w:p w14:paraId="613DB488" w14:textId="77777777" w:rsidR="006F2FA1" w:rsidRDefault="006F2FA1" w:rsidP="002B1754">
      <w:pPr>
        <w:ind w:hanging="426"/>
        <w:jc w:val="both"/>
        <w:rPr>
          <w:rFonts w:ascii="Arial" w:hAnsi="Arial" w:cs="Arial"/>
          <w:lang w:val="el-GR"/>
        </w:rPr>
      </w:pPr>
    </w:p>
    <w:p w14:paraId="17439FF6" w14:textId="77777777" w:rsidR="006F2FA1" w:rsidRDefault="006F2FA1" w:rsidP="002B1754">
      <w:pPr>
        <w:ind w:hanging="426"/>
        <w:jc w:val="both"/>
        <w:rPr>
          <w:rFonts w:ascii="Arial" w:hAnsi="Arial" w:cs="Arial"/>
          <w:lang w:val="el-GR"/>
        </w:rPr>
      </w:pPr>
    </w:p>
    <w:p w14:paraId="185C545F" w14:textId="77777777" w:rsidR="006F2FA1" w:rsidRDefault="006F2FA1" w:rsidP="002B1754">
      <w:pPr>
        <w:ind w:hanging="426"/>
        <w:jc w:val="both"/>
        <w:rPr>
          <w:rFonts w:ascii="Arial" w:hAnsi="Arial" w:cs="Arial"/>
          <w:lang w:val="el-GR"/>
        </w:rPr>
      </w:pPr>
    </w:p>
    <w:p w14:paraId="291D763D" w14:textId="77777777" w:rsidR="006F2FA1" w:rsidRDefault="006F2FA1" w:rsidP="002B1754">
      <w:pPr>
        <w:ind w:hanging="426"/>
        <w:jc w:val="both"/>
        <w:rPr>
          <w:rFonts w:ascii="Arial" w:hAnsi="Arial" w:cs="Arial"/>
          <w:lang w:val="el-GR"/>
        </w:rPr>
      </w:pPr>
    </w:p>
    <w:p w14:paraId="6A4DBEB3" w14:textId="77777777" w:rsidR="006F2FA1" w:rsidRDefault="006F2FA1" w:rsidP="002B1754">
      <w:pPr>
        <w:ind w:hanging="426"/>
        <w:jc w:val="both"/>
        <w:rPr>
          <w:rFonts w:ascii="Arial" w:hAnsi="Arial" w:cs="Arial"/>
          <w:lang w:val="el-GR"/>
        </w:rPr>
      </w:pPr>
    </w:p>
    <w:p w14:paraId="4399D03D" w14:textId="77777777" w:rsidR="006F2FA1" w:rsidRDefault="006F2FA1" w:rsidP="002B1754">
      <w:pPr>
        <w:ind w:hanging="426"/>
        <w:jc w:val="both"/>
        <w:rPr>
          <w:rFonts w:ascii="Arial" w:hAnsi="Arial" w:cs="Arial"/>
          <w:lang w:val="el-GR"/>
        </w:rPr>
      </w:pPr>
    </w:p>
    <w:p w14:paraId="7ED68D9F" w14:textId="77777777" w:rsidR="00624E42" w:rsidRPr="00624E42" w:rsidRDefault="00624E42" w:rsidP="002B1754">
      <w:pPr>
        <w:ind w:hanging="426"/>
        <w:jc w:val="both"/>
        <w:rPr>
          <w:rFonts w:ascii="Arial" w:hAnsi="Arial" w:cs="Arial"/>
          <w:lang w:val="el-GR"/>
        </w:rPr>
      </w:pPr>
    </w:p>
    <w:p w14:paraId="08040852" w14:textId="77777777" w:rsidR="00B24649" w:rsidRPr="002B1754" w:rsidRDefault="00B24649">
      <w:pPr>
        <w:rPr>
          <w:lang w:val="el-GR"/>
        </w:rPr>
      </w:pPr>
    </w:p>
    <w:sectPr w:rsidR="00B24649" w:rsidRPr="002B1754" w:rsidSect="00FB4CEE">
      <w:footerReference w:type="default" r:id="rId6"/>
      <w:pgSz w:w="11907" w:h="16840" w:code="9"/>
      <w:pgMar w:top="851" w:right="1440" w:bottom="51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FA66" w14:textId="77777777" w:rsidR="00803AAA" w:rsidRDefault="00803AAA" w:rsidP="00624E42">
      <w:r>
        <w:separator/>
      </w:r>
    </w:p>
  </w:endnote>
  <w:endnote w:type="continuationSeparator" w:id="0">
    <w:p w14:paraId="38F6FAC4" w14:textId="77777777" w:rsidR="00803AAA" w:rsidRDefault="00803AAA" w:rsidP="006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1CF" w14:textId="77777777" w:rsidR="00CC34F3" w:rsidRPr="00B63769" w:rsidRDefault="00CC34F3" w:rsidP="00624E42">
    <w:pPr>
      <w:ind w:hanging="426"/>
      <w:jc w:val="both"/>
      <w:rPr>
        <w:rFonts w:ascii="Times New Roman" w:hAnsi="Times New Roman"/>
        <w:sz w:val="18"/>
        <w:szCs w:val="18"/>
        <w:lang w:val="el-GR"/>
      </w:rPr>
    </w:pPr>
  </w:p>
  <w:p w14:paraId="6E50269B" w14:textId="77777777" w:rsidR="00CC34F3" w:rsidRDefault="00CC34F3">
    <w:pPr>
      <w:pStyle w:val="Footer"/>
    </w:pPr>
  </w:p>
  <w:p w14:paraId="13E6024B" w14:textId="77777777" w:rsidR="00CC34F3" w:rsidRDefault="00CC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E8AC" w14:textId="77777777" w:rsidR="00803AAA" w:rsidRDefault="00803AAA" w:rsidP="00624E42">
      <w:r>
        <w:separator/>
      </w:r>
    </w:p>
  </w:footnote>
  <w:footnote w:type="continuationSeparator" w:id="0">
    <w:p w14:paraId="3C7E616B" w14:textId="77777777" w:rsidR="00803AAA" w:rsidRDefault="00803AAA" w:rsidP="0062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54"/>
    <w:rsid w:val="00061BE5"/>
    <w:rsid w:val="000A44EE"/>
    <w:rsid w:val="00106529"/>
    <w:rsid w:val="002758A3"/>
    <w:rsid w:val="002B1754"/>
    <w:rsid w:val="0031658A"/>
    <w:rsid w:val="00382537"/>
    <w:rsid w:val="003C6E8B"/>
    <w:rsid w:val="004B5AC9"/>
    <w:rsid w:val="005E1434"/>
    <w:rsid w:val="00621B48"/>
    <w:rsid w:val="00624E42"/>
    <w:rsid w:val="006A1E29"/>
    <w:rsid w:val="006A29B6"/>
    <w:rsid w:val="006F2FA1"/>
    <w:rsid w:val="00744ABF"/>
    <w:rsid w:val="00745D99"/>
    <w:rsid w:val="00761A23"/>
    <w:rsid w:val="00803AAA"/>
    <w:rsid w:val="008949E1"/>
    <w:rsid w:val="00964694"/>
    <w:rsid w:val="009962DC"/>
    <w:rsid w:val="009F3B0D"/>
    <w:rsid w:val="00A530CB"/>
    <w:rsid w:val="00B03EF6"/>
    <w:rsid w:val="00B24649"/>
    <w:rsid w:val="00B37F4D"/>
    <w:rsid w:val="00C94215"/>
    <w:rsid w:val="00CC34F3"/>
    <w:rsid w:val="00CC6969"/>
    <w:rsid w:val="00CD46D2"/>
    <w:rsid w:val="00DD4855"/>
    <w:rsid w:val="00DF259E"/>
    <w:rsid w:val="00E94F39"/>
    <w:rsid w:val="00FB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E2D6"/>
  <w15:docId w15:val="{7D888F7B-E807-4258-843A-E513D68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5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2537"/>
    <w:pPr>
      <w:tabs>
        <w:tab w:val="center" w:pos="4320"/>
        <w:tab w:val="right" w:pos="8640"/>
      </w:tabs>
    </w:pPr>
    <w:rPr>
      <w:rFonts w:ascii="Times New Roman" w:eastAsia="Times New Roman" w:hAnsi="Times New Roman"/>
      <w:sz w:val="24"/>
      <w:szCs w:val="20"/>
      <w:lang w:val="el-GR"/>
    </w:rPr>
  </w:style>
  <w:style w:type="character" w:customStyle="1" w:styleId="HeaderChar">
    <w:name w:val="Header Char"/>
    <w:basedOn w:val="DefaultParagraphFont"/>
    <w:link w:val="Header"/>
    <w:rsid w:val="00382537"/>
    <w:rPr>
      <w:rFonts w:ascii="Times New Roman" w:eastAsia="Times New Roman" w:hAnsi="Times New Roman" w:cs="Times New Roman"/>
      <w:sz w:val="24"/>
      <w:szCs w:val="20"/>
      <w:lang w:val="el-GR"/>
    </w:rPr>
  </w:style>
  <w:style w:type="paragraph" w:styleId="Footer">
    <w:name w:val="footer"/>
    <w:basedOn w:val="Normal"/>
    <w:link w:val="FooterChar"/>
    <w:uiPriority w:val="99"/>
    <w:unhideWhenUsed/>
    <w:rsid w:val="00624E42"/>
    <w:pPr>
      <w:tabs>
        <w:tab w:val="center" w:pos="4320"/>
        <w:tab w:val="right" w:pos="8640"/>
      </w:tabs>
    </w:pPr>
  </w:style>
  <w:style w:type="character" w:customStyle="1" w:styleId="FooterChar">
    <w:name w:val="Footer Char"/>
    <w:basedOn w:val="DefaultParagraphFont"/>
    <w:link w:val="Footer"/>
    <w:uiPriority w:val="99"/>
    <w:rsid w:val="00624E42"/>
    <w:rPr>
      <w:rFonts w:ascii="Calibri" w:eastAsia="Calibri" w:hAnsi="Calibri" w:cs="Times New Roman"/>
    </w:rPr>
  </w:style>
  <w:style w:type="paragraph" w:styleId="BalloonText">
    <w:name w:val="Balloon Text"/>
    <w:basedOn w:val="Normal"/>
    <w:link w:val="BalloonTextChar"/>
    <w:uiPriority w:val="99"/>
    <w:semiHidden/>
    <w:unhideWhenUsed/>
    <w:rsid w:val="00624E42"/>
    <w:rPr>
      <w:rFonts w:ascii="Tahoma" w:hAnsi="Tahoma" w:cs="Tahoma"/>
      <w:sz w:val="16"/>
      <w:szCs w:val="16"/>
    </w:rPr>
  </w:style>
  <w:style w:type="character" w:customStyle="1" w:styleId="BalloonTextChar">
    <w:name w:val="Balloon Text Char"/>
    <w:basedOn w:val="DefaultParagraphFont"/>
    <w:link w:val="BalloonText"/>
    <w:uiPriority w:val="99"/>
    <w:semiHidden/>
    <w:rsid w:val="00624E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Charilaou</dc:creator>
  <cp:lastModifiedBy>Solomou  Androula</cp:lastModifiedBy>
  <cp:revision>2</cp:revision>
  <cp:lastPrinted>2019-10-30T10:15:00Z</cp:lastPrinted>
  <dcterms:created xsi:type="dcterms:W3CDTF">2022-06-03T10:03:00Z</dcterms:created>
  <dcterms:modified xsi:type="dcterms:W3CDTF">2022-06-03T10:03:00Z</dcterms:modified>
</cp:coreProperties>
</file>