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7D4F" w14:textId="50CEB811" w:rsidR="00AA5778" w:rsidRPr="006B45E3" w:rsidRDefault="00D30F57" w:rsidP="006B45E3">
      <w:pPr>
        <w:pStyle w:val="BodyText2"/>
        <w:spacing w:line="48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</w:t>
      </w:r>
      <w:r w:rsidR="005B0C19" w:rsidRPr="006B45E3">
        <w:rPr>
          <w:rFonts w:cs="Arial"/>
          <w:b w:val="0"/>
          <w:szCs w:val="24"/>
        </w:rPr>
        <w:t>Ο</w:t>
      </w:r>
      <w:r w:rsidR="004410F9" w:rsidRPr="006B45E3">
        <w:rPr>
          <w:rFonts w:cs="Arial"/>
          <w:b w:val="0"/>
          <w:szCs w:val="24"/>
        </w:rPr>
        <w:t xml:space="preserve"> ΠΕΡΙ ΑΛΛΟΔΑΠΩΝ ΚΑΙ ΜΕΤΑΝΑΣΤΕΥΣΕΩΣ ΝΟΜΟΣ</w:t>
      </w:r>
    </w:p>
    <w:p w14:paraId="67892AD8" w14:textId="77777777" w:rsidR="004410F9" w:rsidRPr="006B45E3" w:rsidRDefault="004410F9" w:rsidP="006B45E3">
      <w:pPr>
        <w:pStyle w:val="BodyText2"/>
        <w:spacing w:line="480" w:lineRule="auto"/>
        <w:rPr>
          <w:rFonts w:cs="Arial"/>
          <w:b w:val="0"/>
          <w:szCs w:val="24"/>
        </w:rPr>
      </w:pPr>
      <w:r w:rsidRPr="006B45E3">
        <w:rPr>
          <w:rFonts w:cs="Arial"/>
          <w:b w:val="0"/>
          <w:szCs w:val="24"/>
        </w:rPr>
        <w:t>(Κανονισμοί δυνάμει του άρθρου 20</w:t>
      </w:r>
      <w:r w:rsidR="00577303" w:rsidRPr="006B45E3">
        <w:rPr>
          <w:rFonts w:cs="Arial"/>
          <w:b w:val="0"/>
          <w:szCs w:val="24"/>
        </w:rPr>
        <w:t>)</w:t>
      </w:r>
    </w:p>
    <w:p w14:paraId="143D9715" w14:textId="77777777" w:rsidR="00AA5778" w:rsidRPr="006B45E3" w:rsidRDefault="00AA5778" w:rsidP="006B45E3">
      <w:pPr>
        <w:spacing w:line="480" w:lineRule="auto"/>
        <w:jc w:val="both"/>
        <w:rPr>
          <w:rFonts w:cs="Arial"/>
          <w:b/>
          <w:szCs w:val="24"/>
          <w:u w:val="single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820"/>
        <w:gridCol w:w="5203"/>
      </w:tblGrid>
      <w:tr w:rsidR="00847B51" w:rsidRPr="006B45E3" w14:paraId="5567E7BA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D9C8B6" w14:textId="77777777" w:rsidR="002A6DCD" w:rsidRPr="006B45E3" w:rsidRDefault="002A6DCD" w:rsidP="006B45E3">
            <w:pPr>
              <w:spacing w:line="480" w:lineRule="auto"/>
              <w:rPr>
                <w:rFonts w:cs="Arial"/>
                <w:szCs w:val="24"/>
              </w:rPr>
            </w:pPr>
          </w:p>
          <w:p w14:paraId="52F5BDEA" w14:textId="77777777" w:rsidR="002A6DCD" w:rsidRPr="006B45E3" w:rsidRDefault="002A6DCD" w:rsidP="006B45E3">
            <w:pPr>
              <w:spacing w:line="480" w:lineRule="auto"/>
              <w:rPr>
                <w:rFonts w:cs="Arial"/>
                <w:szCs w:val="24"/>
              </w:rPr>
            </w:pPr>
          </w:p>
          <w:p w14:paraId="3883A502" w14:textId="77777777" w:rsidR="002A6DCD" w:rsidRPr="006B45E3" w:rsidRDefault="002A6DCD" w:rsidP="006B45E3">
            <w:pPr>
              <w:spacing w:line="480" w:lineRule="auto"/>
              <w:rPr>
                <w:rFonts w:cs="Arial"/>
                <w:szCs w:val="24"/>
              </w:rPr>
            </w:pPr>
          </w:p>
          <w:p w14:paraId="2D5DFFE4" w14:textId="77777777" w:rsidR="002A6DCD" w:rsidRPr="006B45E3" w:rsidRDefault="002A6DCD" w:rsidP="006B45E3">
            <w:pPr>
              <w:spacing w:line="480" w:lineRule="auto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Κεφ. 105</w:t>
            </w:r>
          </w:p>
          <w:p w14:paraId="0A2E9038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 xml:space="preserve"> 2 του 1972</w:t>
            </w:r>
          </w:p>
          <w:p w14:paraId="375F6546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54 του 1976</w:t>
            </w:r>
          </w:p>
          <w:p w14:paraId="61BCF95B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50 του 1988</w:t>
            </w:r>
          </w:p>
          <w:p w14:paraId="29B70A7A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197 του 1989</w:t>
            </w:r>
          </w:p>
          <w:p w14:paraId="6E19ABCE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100(Ι) του 1996</w:t>
            </w:r>
          </w:p>
          <w:p w14:paraId="69E0F498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43(Ι) του 1997</w:t>
            </w:r>
          </w:p>
          <w:p w14:paraId="761467AC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14(Ι) του 1998</w:t>
            </w:r>
          </w:p>
          <w:p w14:paraId="07DA2660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22(Ι) του 2001</w:t>
            </w:r>
          </w:p>
          <w:p w14:paraId="56FEF223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164(Ι) του 2001</w:t>
            </w:r>
          </w:p>
          <w:p w14:paraId="0D9C0A93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88(Ι) του 2002</w:t>
            </w:r>
          </w:p>
          <w:p w14:paraId="364E656C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220(Ι) του 2002</w:t>
            </w:r>
          </w:p>
          <w:p w14:paraId="7895A6AA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66(Ι) του 2003</w:t>
            </w:r>
          </w:p>
          <w:p w14:paraId="2027BE12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178(Ι) του 2004</w:t>
            </w:r>
          </w:p>
          <w:p w14:paraId="2FB38B30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8(Ι) του 2007</w:t>
            </w:r>
          </w:p>
          <w:p w14:paraId="15EF7154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184(Ι) του 2007</w:t>
            </w:r>
          </w:p>
          <w:p w14:paraId="1DDB6288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29(Ι) του 2009</w:t>
            </w:r>
          </w:p>
          <w:p w14:paraId="045FCC08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143 (Ι) του 2009</w:t>
            </w:r>
          </w:p>
          <w:p w14:paraId="6A231377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153(I) του 2011</w:t>
            </w:r>
          </w:p>
          <w:p w14:paraId="5EAE9DC9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41(I) του 2012</w:t>
            </w:r>
          </w:p>
          <w:p w14:paraId="6BE814E3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lastRenderedPageBreak/>
              <w:t>100(I) του 2012</w:t>
            </w:r>
          </w:p>
          <w:p w14:paraId="417645BF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117(I) του 2012</w:t>
            </w:r>
          </w:p>
          <w:p w14:paraId="715E7ED5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32(I) του 2013</w:t>
            </w:r>
          </w:p>
          <w:p w14:paraId="5134B866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49(Ι) του 2013</w:t>
            </w:r>
          </w:p>
          <w:p w14:paraId="6E93072E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88(Ι) του 2014</w:t>
            </w:r>
          </w:p>
          <w:p w14:paraId="19875FA8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129(Ι) του 2014</w:t>
            </w:r>
          </w:p>
          <w:p w14:paraId="796D71E4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17(Ι) του 2015</w:t>
            </w:r>
          </w:p>
          <w:p w14:paraId="76B72B11" w14:textId="77777777" w:rsidR="002A6DCD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16(Ι) του 2016</w:t>
            </w:r>
          </w:p>
          <w:p w14:paraId="6BFC1319" w14:textId="77777777" w:rsidR="001D7AA0" w:rsidRPr="006B45E3" w:rsidRDefault="002A6DCD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2(Ι) του 2017</w:t>
            </w:r>
          </w:p>
          <w:p w14:paraId="4075A3E3" w14:textId="77777777" w:rsidR="001D7AA0" w:rsidRPr="006B45E3" w:rsidRDefault="001D7AA0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9(Ι) του 2017</w:t>
            </w:r>
          </w:p>
          <w:p w14:paraId="7C1D1467" w14:textId="77777777" w:rsidR="001D7AA0" w:rsidRPr="006B45E3" w:rsidRDefault="001D7AA0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71(I)</w:t>
            </w:r>
            <w:r w:rsidR="006B0B52" w:rsidRPr="006B45E3">
              <w:rPr>
                <w:rFonts w:cs="Arial"/>
                <w:szCs w:val="24"/>
              </w:rPr>
              <w:t xml:space="preserve"> του </w:t>
            </w:r>
            <w:r w:rsidRPr="006B45E3">
              <w:rPr>
                <w:rFonts w:cs="Arial"/>
                <w:szCs w:val="24"/>
              </w:rPr>
              <w:t>2017</w:t>
            </w:r>
          </w:p>
          <w:p w14:paraId="02A4A490" w14:textId="77777777" w:rsidR="001D7AA0" w:rsidRPr="006B45E3" w:rsidRDefault="001D7AA0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6(I)</w:t>
            </w:r>
            <w:r w:rsidR="006B0B52" w:rsidRPr="006B45E3">
              <w:rPr>
                <w:rFonts w:cs="Arial"/>
                <w:szCs w:val="24"/>
              </w:rPr>
              <w:t xml:space="preserve"> του </w:t>
            </w:r>
            <w:r w:rsidRPr="006B45E3">
              <w:rPr>
                <w:rFonts w:cs="Arial"/>
                <w:szCs w:val="24"/>
              </w:rPr>
              <w:t>2019</w:t>
            </w:r>
          </w:p>
          <w:p w14:paraId="3EE052F9" w14:textId="77777777" w:rsidR="00614773" w:rsidRDefault="001D7AA0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8(I)</w:t>
            </w:r>
            <w:r w:rsidR="006B0B52" w:rsidRPr="006B45E3">
              <w:rPr>
                <w:rFonts w:cs="Arial"/>
                <w:szCs w:val="24"/>
              </w:rPr>
              <w:t xml:space="preserve"> του </w:t>
            </w:r>
            <w:r w:rsidRPr="006B45E3">
              <w:rPr>
                <w:rFonts w:cs="Arial"/>
                <w:szCs w:val="24"/>
              </w:rPr>
              <w:t>2019</w:t>
            </w:r>
          </w:p>
          <w:p w14:paraId="09B962F6" w14:textId="6C494BAD" w:rsidR="00614773" w:rsidRPr="00614773" w:rsidRDefault="00614773" w:rsidP="00614773">
            <w:pPr>
              <w:pStyle w:val="toc-instrument"/>
              <w:rPr>
                <w:rFonts w:ascii="Arial" w:hAnsi="Arial" w:cs="Arial"/>
                <w:color w:val="000000"/>
              </w:rPr>
            </w:pPr>
            <w:r w:rsidRPr="00614773">
              <w:rPr>
                <w:rStyle w:val="toc-instrument-enum"/>
                <w:rFonts w:ascii="Arial" w:hAnsi="Arial" w:cs="Arial"/>
                <w:color w:val="000000"/>
              </w:rPr>
              <w:t>127(I) του 2019</w:t>
            </w:r>
          </w:p>
          <w:p w14:paraId="28163A81" w14:textId="503C0A17" w:rsidR="00614773" w:rsidRPr="00614773" w:rsidRDefault="00614773" w:rsidP="00614773">
            <w:pPr>
              <w:pStyle w:val="toc-instrument"/>
              <w:rPr>
                <w:rFonts w:ascii="Arial" w:hAnsi="Arial" w:cs="Arial"/>
                <w:color w:val="000000"/>
              </w:rPr>
            </w:pPr>
            <w:r w:rsidRPr="00614773">
              <w:rPr>
                <w:rStyle w:val="toc-instrument-enum"/>
                <w:rFonts w:ascii="Arial" w:hAnsi="Arial" w:cs="Arial"/>
                <w:color w:val="000000"/>
              </w:rPr>
              <w:t>169(I) του 2019</w:t>
            </w:r>
          </w:p>
          <w:p w14:paraId="77CF371C" w14:textId="155B5706" w:rsidR="00614773" w:rsidRPr="00614773" w:rsidRDefault="00614773" w:rsidP="00614773">
            <w:pPr>
              <w:pStyle w:val="toc-instrument"/>
              <w:rPr>
                <w:rFonts w:ascii="Arial" w:hAnsi="Arial" w:cs="Arial"/>
                <w:color w:val="000000"/>
              </w:rPr>
            </w:pPr>
            <w:r w:rsidRPr="00614773">
              <w:rPr>
                <w:rStyle w:val="toc-instrument-enum"/>
                <w:rFonts w:ascii="Arial" w:hAnsi="Arial" w:cs="Arial"/>
                <w:color w:val="000000"/>
              </w:rPr>
              <w:t>116(I) του 2020</w:t>
            </w:r>
          </w:p>
          <w:p w14:paraId="63821B9D" w14:textId="72EA04E2" w:rsidR="00614773" w:rsidRPr="00614773" w:rsidRDefault="00614773" w:rsidP="00614773">
            <w:pPr>
              <w:pStyle w:val="toc-instrument"/>
              <w:rPr>
                <w:rFonts w:ascii="Arial" w:hAnsi="Arial" w:cs="Arial"/>
                <w:color w:val="000000"/>
              </w:rPr>
            </w:pPr>
            <w:r w:rsidRPr="00614773">
              <w:rPr>
                <w:rStyle w:val="toc-instrument-enum"/>
                <w:rFonts w:ascii="Arial" w:hAnsi="Arial" w:cs="Arial"/>
                <w:color w:val="000000"/>
              </w:rPr>
              <w:t>143(I) του 2020</w:t>
            </w:r>
          </w:p>
          <w:p w14:paraId="0149E695" w14:textId="30015D83" w:rsidR="00847B51" w:rsidRPr="006B45E3" w:rsidRDefault="00250CCE" w:rsidP="00D71581">
            <w:pPr>
              <w:pStyle w:val="toc-instrument"/>
              <w:rPr>
                <w:rFonts w:cs="Arial"/>
              </w:rPr>
            </w:pPr>
            <w:r>
              <w:rPr>
                <w:rStyle w:val="toc-instrument-enum"/>
                <w:rFonts w:ascii="Arial" w:hAnsi="Arial" w:cs="Arial"/>
                <w:color w:val="000000"/>
              </w:rPr>
              <w:t xml:space="preserve">  </w:t>
            </w:r>
            <w:r w:rsidR="00614773" w:rsidRPr="00614773">
              <w:rPr>
                <w:rStyle w:val="toc-instrument-enum"/>
                <w:rFonts w:ascii="Arial" w:hAnsi="Arial" w:cs="Arial"/>
                <w:color w:val="000000"/>
              </w:rPr>
              <w:t>46(I) του 2021</w:t>
            </w:r>
            <w:r>
              <w:rPr>
                <w:rStyle w:val="toc-instrument-enum"/>
                <w:rFonts w:ascii="Arial" w:hAnsi="Arial" w:cs="Arial"/>
                <w:color w:val="000000"/>
              </w:rPr>
              <w:t>.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F9370" w14:textId="679ED10B" w:rsidR="00847B51" w:rsidRPr="006B45E3" w:rsidRDefault="002A6DCD" w:rsidP="00250CCE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lastRenderedPageBreak/>
              <w:t xml:space="preserve">         </w:t>
            </w:r>
            <w:r w:rsidR="004410F9" w:rsidRPr="006B45E3">
              <w:rPr>
                <w:rFonts w:cs="Arial"/>
                <w:szCs w:val="24"/>
              </w:rPr>
              <w:t xml:space="preserve">Το Υπουργικό Συμβούλιο ασκώντας τις εξουσίες που του χορηγούνται από το άρθρο 20 </w:t>
            </w:r>
            <w:r w:rsidR="00614773" w:rsidRPr="006B45E3">
              <w:rPr>
                <w:rFonts w:cs="Arial"/>
                <w:szCs w:val="24"/>
              </w:rPr>
              <w:t>τ</w:t>
            </w:r>
            <w:r w:rsidR="00614773">
              <w:rPr>
                <w:rFonts w:cs="Arial"/>
                <w:szCs w:val="24"/>
              </w:rPr>
              <w:t>ου</w:t>
            </w:r>
            <w:r w:rsidR="00614773" w:rsidRPr="006B45E3">
              <w:rPr>
                <w:rFonts w:cs="Arial"/>
                <w:szCs w:val="24"/>
              </w:rPr>
              <w:t xml:space="preserve"> </w:t>
            </w:r>
            <w:r w:rsidR="004410F9" w:rsidRPr="006B45E3">
              <w:rPr>
                <w:rFonts w:cs="Arial"/>
                <w:szCs w:val="24"/>
              </w:rPr>
              <w:t xml:space="preserve">περί Αλλοδαπών και Μεταναστεύσεως </w:t>
            </w:r>
            <w:r w:rsidR="00614773" w:rsidRPr="006B45E3">
              <w:rPr>
                <w:rFonts w:cs="Arial"/>
                <w:szCs w:val="24"/>
              </w:rPr>
              <w:t>Νόμ</w:t>
            </w:r>
            <w:r w:rsidR="00614773">
              <w:rPr>
                <w:rFonts w:cs="Arial"/>
                <w:szCs w:val="24"/>
              </w:rPr>
              <w:t xml:space="preserve">ου </w:t>
            </w:r>
            <w:r w:rsidR="00250CCE">
              <w:rPr>
                <w:rFonts w:cs="Arial"/>
                <w:szCs w:val="24"/>
              </w:rPr>
              <w:t>(Κ</w:t>
            </w:r>
            <w:r w:rsidR="00614773">
              <w:rPr>
                <w:rFonts w:cs="Arial"/>
                <w:szCs w:val="24"/>
              </w:rPr>
              <w:t>εφ.</w:t>
            </w:r>
            <w:r w:rsidR="006F6B68">
              <w:rPr>
                <w:rFonts w:cs="Arial"/>
                <w:szCs w:val="24"/>
              </w:rPr>
              <w:t> </w:t>
            </w:r>
            <w:r w:rsidR="00614773">
              <w:rPr>
                <w:rFonts w:cs="Arial"/>
                <w:szCs w:val="24"/>
              </w:rPr>
              <w:t>105</w:t>
            </w:r>
            <w:r w:rsidR="00250CCE">
              <w:rPr>
                <w:rFonts w:cs="Arial"/>
                <w:szCs w:val="24"/>
              </w:rPr>
              <w:t>),</w:t>
            </w:r>
            <w:r w:rsidR="001D7AA0" w:rsidRPr="006B45E3">
              <w:rPr>
                <w:rFonts w:cs="Arial"/>
                <w:szCs w:val="24"/>
              </w:rPr>
              <w:t xml:space="preserve"> </w:t>
            </w:r>
            <w:r w:rsidR="004410F9" w:rsidRPr="006B45E3">
              <w:rPr>
                <w:rFonts w:cs="Arial"/>
                <w:szCs w:val="24"/>
              </w:rPr>
              <w:t>εκδίδει τους ακόλουθους Κανονισμούς</w:t>
            </w:r>
            <w:r w:rsidR="00250CCE">
              <w:rPr>
                <w:rFonts w:cs="Arial"/>
                <w:szCs w:val="24"/>
              </w:rPr>
              <w:t>.</w:t>
            </w:r>
          </w:p>
        </w:tc>
      </w:tr>
      <w:tr w:rsidR="00E80053" w:rsidRPr="006B45E3" w14:paraId="4604D718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432A42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8E3B7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847B51" w:rsidRPr="006B45E3" w14:paraId="05DF112A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383665" w14:textId="77777777" w:rsidR="002A6DCD" w:rsidRPr="006B45E3" w:rsidRDefault="00066171" w:rsidP="006B45E3">
            <w:pPr>
              <w:spacing w:line="480" w:lineRule="auto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Συνοπτικός τίτλος.</w:t>
            </w:r>
          </w:p>
          <w:p w14:paraId="13DA7976" w14:textId="77777777" w:rsidR="00BC5C02" w:rsidRPr="006B45E3" w:rsidRDefault="00BC5C02" w:rsidP="006B45E3">
            <w:pPr>
              <w:spacing w:line="480" w:lineRule="auto"/>
              <w:rPr>
                <w:rFonts w:cs="Arial"/>
                <w:szCs w:val="24"/>
              </w:rPr>
            </w:pPr>
          </w:p>
          <w:p w14:paraId="0D8BA65F" w14:textId="237B6E01" w:rsidR="00066171" w:rsidRDefault="00066171" w:rsidP="00250CCE">
            <w:pPr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 xml:space="preserve">Επίσημη Εφημερίδα της </w:t>
            </w:r>
            <w:r w:rsidR="00250CCE">
              <w:rPr>
                <w:rFonts w:cs="Arial"/>
                <w:szCs w:val="24"/>
              </w:rPr>
              <w:t xml:space="preserve">Δημοκρατίας Παράρτημα Τρίτο </w:t>
            </w:r>
          </w:p>
          <w:p w14:paraId="5137DD53" w14:textId="044CB26A" w:rsidR="00A13F49" w:rsidRDefault="00A13F49" w:rsidP="00250CC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22.12.1972</w:t>
            </w:r>
          </w:p>
          <w:p w14:paraId="22DDA403" w14:textId="198620F8" w:rsidR="00250CCE" w:rsidRPr="00250CCE" w:rsidRDefault="00250CCE" w:rsidP="00250CC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Επίσημη Εφημερίδα, </w:t>
            </w:r>
            <w:r>
              <w:rPr>
                <w:rFonts w:cs="Arial"/>
                <w:szCs w:val="24"/>
              </w:rPr>
              <w:lastRenderedPageBreak/>
              <w:t>Παράρτημα Τρίτο(Ι)</w:t>
            </w:r>
            <w:r w:rsidRPr="00250CCE">
              <w:rPr>
                <w:rFonts w:cs="Arial"/>
                <w:szCs w:val="24"/>
              </w:rPr>
              <w:t>:</w:t>
            </w:r>
          </w:p>
          <w:p w14:paraId="417A50A5" w14:textId="77777777" w:rsidR="00066171" w:rsidRPr="006B45E3" w:rsidRDefault="00066171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22.12.1972</w:t>
            </w:r>
          </w:p>
          <w:p w14:paraId="0C74A462" w14:textId="7B1FAB70" w:rsidR="00066171" w:rsidRPr="006B45E3" w:rsidRDefault="00066171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23.11.1984 27.12.1986 30.01.1987 11.11.1988 18.05.1990 17.04.1991 8.11.1991 15.04.1994 6.12.1996</w:t>
            </w:r>
          </w:p>
          <w:p w14:paraId="71D3004A" w14:textId="77777777" w:rsidR="00066171" w:rsidRPr="006B45E3" w:rsidRDefault="00066171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21.07.2000</w:t>
            </w:r>
          </w:p>
          <w:p w14:paraId="46BF1C08" w14:textId="77777777" w:rsidR="00066171" w:rsidRPr="006B45E3" w:rsidRDefault="00066171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31.12.2001</w:t>
            </w:r>
          </w:p>
          <w:p w14:paraId="2CA33034" w14:textId="77777777" w:rsidR="00066171" w:rsidRPr="006B45E3" w:rsidRDefault="00066171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26.07.2002</w:t>
            </w:r>
          </w:p>
          <w:p w14:paraId="0B7D17CE" w14:textId="77777777" w:rsidR="00066171" w:rsidRPr="006B45E3" w:rsidRDefault="00066171" w:rsidP="006B45E3">
            <w:pPr>
              <w:spacing w:line="480" w:lineRule="auto"/>
              <w:jc w:val="right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30.04.2004</w:t>
            </w:r>
          </w:p>
          <w:p w14:paraId="292A9391" w14:textId="0F7CD653" w:rsidR="00542929" w:rsidRPr="00250CCE" w:rsidRDefault="00066171" w:rsidP="006B45E3">
            <w:pPr>
              <w:spacing w:line="480" w:lineRule="auto"/>
              <w:jc w:val="right"/>
              <w:rPr>
                <w:rFonts w:cs="Arial"/>
                <w:szCs w:val="24"/>
                <w:lang w:val="en-GB"/>
              </w:rPr>
            </w:pPr>
            <w:r w:rsidRPr="006B45E3">
              <w:rPr>
                <w:rFonts w:cs="Arial"/>
                <w:szCs w:val="24"/>
              </w:rPr>
              <w:t>1.02.2013</w:t>
            </w:r>
            <w:r w:rsidR="00250CCE">
              <w:rPr>
                <w:rFonts w:cs="Arial"/>
                <w:szCs w:val="24"/>
                <w:lang w:val="en-GB"/>
              </w:rPr>
              <w:t>.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BF691" w14:textId="315F9F76" w:rsidR="00847B51" w:rsidRPr="006B45E3" w:rsidRDefault="00847B51" w:rsidP="00A13F49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lastRenderedPageBreak/>
              <w:t>1.</w:t>
            </w:r>
            <w:r w:rsidRPr="006B45E3">
              <w:rPr>
                <w:rFonts w:cs="Arial"/>
                <w:szCs w:val="24"/>
              </w:rPr>
              <w:tab/>
            </w:r>
            <w:r w:rsidR="00542929" w:rsidRPr="006B45E3">
              <w:rPr>
                <w:rFonts w:cs="Arial"/>
                <w:szCs w:val="24"/>
              </w:rPr>
              <w:t>Ο</w:t>
            </w:r>
            <w:r w:rsidR="002A6DCD" w:rsidRPr="006B45E3">
              <w:rPr>
                <w:rFonts w:cs="Arial"/>
                <w:szCs w:val="24"/>
              </w:rPr>
              <w:t>ι</w:t>
            </w:r>
            <w:r w:rsidR="00542929" w:rsidRPr="006B45E3">
              <w:rPr>
                <w:rFonts w:cs="Arial"/>
                <w:szCs w:val="24"/>
              </w:rPr>
              <w:t xml:space="preserve"> παρ</w:t>
            </w:r>
            <w:r w:rsidR="002A6DCD" w:rsidRPr="006B45E3">
              <w:rPr>
                <w:rFonts w:cs="Arial"/>
                <w:szCs w:val="24"/>
              </w:rPr>
              <w:t xml:space="preserve">όντες Κανονισμοί θα αναφέρονται ως οι περί </w:t>
            </w:r>
            <w:r w:rsidR="00542929" w:rsidRPr="006B45E3">
              <w:rPr>
                <w:rFonts w:cs="Arial"/>
                <w:szCs w:val="24"/>
              </w:rPr>
              <w:t xml:space="preserve"> </w:t>
            </w:r>
            <w:r w:rsidR="002A6DCD" w:rsidRPr="006B45E3">
              <w:rPr>
                <w:rFonts w:cs="Arial"/>
                <w:szCs w:val="24"/>
              </w:rPr>
              <w:t xml:space="preserve">Αλλοδαπών και Μεταναστεύσεως (Τροποποιητικοί) Κανονισμοί του </w:t>
            </w:r>
            <w:r w:rsidR="003F0647" w:rsidRPr="006B45E3">
              <w:rPr>
                <w:rFonts w:cs="Arial"/>
                <w:szCs w:val="24"/>
              </w:rPr>
              <w:t>20</w:t>
            </w:r>
            <w:r w:rsidR="003F0647">
              <w:rPr>
                <w:rFonts w:cs="Arial"/>
                <w:szCs w:val="24"/>
              </w:rPr>
              <w:t>22</w:t>
            </w:r>
            <w:r w:rsidR="003F0647" w:rsidRPr="006B45E3">
              <w:rPr>
                <w:rFonts w:cs="Arial"/>
                <w:szCs w:val="24"/>
              </w:rPr>
              <w:t xml:space="preserve"> </w:t>
            </w:r>
            <w:r w:rsidR="002A6DCD" w:rsidRPr="006B45E3">
              <w:rPr>
                <w:rFonts w:cs="Arial"/>
                <w:szCs w:val="24"/>
              </w:rPr>
              <w:t xml:space="preserve">και θα διαβάζονται μαζί με τους περί Αλλοδαπών και Μεταναστεύσεως Κανονισμούς του 1972 </w:t>
            </w:r>
            <w:r w:rsidR="00250CCE">
              <w:rPr>
                <w:rFonts w:cs="Arial"/>
                <w:szCs w:val="24"/>
              </w:rPr>
              <w:t>έως</w:t>
            </w:r>
            <w:r w:rsidR="002A6DCD" w:rsidRPr="006B45E3">
              <w:rPr>
                <w:rFonts w:cs="Arial"/>
                <w:szCs w:val="24"/>
              </w:rPr>
              <w:t xml:space="preserve"> 2013 (που στο εξής θα αναφέρονται ως «οι βασικοί κανονισμοί») </w:t>
            </w:r>
            <w:r w:rsidR="00066171" w:rsidRPr="006B45E3">
              <w:rPr>
                <w:rFonts w:cs="Arial"/>
                <w:szCs w:val="24"/>
              </w:rPr>
              <w:t xml:space="preserve">και οι βασικοί </w:t>
            </w:r>
            <w:r w:rsidR="00A13F49">
              <w:rPr>
                <w:rFonts w:cs="Arial"/>
                <w:szCs w:val="24"/>
              </w:rPr>
              <w:t>κ</w:t>
            </w:r>
            <w:r w:rsidR="00066171" w:rsidRPr="006B45E3">
              <w:rPr>
                <w:rFonts w:cs="Arial"/>
                <w:szCs w:val="24"/>
              </w:rPr>
              <w:t xml:space="preserve">ανονισμοί και οι παρόντες Κανονισμοί θα αναφέρονται μαζί ως οι περί Αλλοδαπών και Μεταναστεύσεως Κανονισμοί του 1972 </w:t>
            </w:r>
            <w:r w:rsidR="00250CCE">
              <w:rPr>
                <w:rFonts w:cs="Arial"/>
                <w:szCs w:val="24"/>
              </w:rPr>
              <w:t>έως</w:t>
            </w:r>
            <w:r w:rsidR="00066171" w:rsidRPr="006B45E3">
              <w:rPr>
                <w:rFonts w:cs="Arial"/>
                <w:szCs w:val="24"/>
              </w:rPr>
              <w:t xml:space="preserve"> </w:t>
            </w:r>
            <w:r w:rsidR="003F0647" w:rsidRPr="006B45E3">
              <w:rPr>
                <w:rFonts w:cs="Arial"/>
                <w:szCs w:val="24"/>
              </w:rPr>
              <w:t>20</w:t>
            </w:r>
            <w:r w:rsidR="003F0647">
              <w:rPr>
                <w:rFonts w:cs="Arial"/>
                <w:szCs w:val="24"/>
              </w:rPr>
              <w:t>22</w:t>
            </w:r>
            <w:r w:rsidR="00542929" w:rsidRPr="006B45E3">
              <w:rPr>
                <w:rFonts w:cs="Arial"/>
                <w:szCs w:val="24"/>
              </w:rPr>
              <w:t xml:space="preserve">. </w:t>
            </w:r>
          </w:p>
        </w:tc>
      </w:tr>
      <w:tr w:rsidR="00E80053" w:rsidRPr="006B45E3" w14:paraId="7A8E311A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952DD9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C93C8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19A7618D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3D666D" w14:textId="0A2D8858" w:rsidR="006B45E3" w:rsidRPr="006B45E3" w:rsidRDefault="006B45E3" w:rsidP="00250CCE">
            <w:pPr>
              <w:spacing w:line="480" w:lineRule="auto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 xml:space="preserve">Αντικατάσταση του Κανονισμού 5 των βασικών </w:t>
            </w:r>
            <w:r w:rsidR="00250CCE">
              <w:rPr>
                <w:rFonts w:cs="Arial"/>
                <w:szCs w:val="24"/>
              </w:rPr>
              <w:t>κ</w:t>
            </w:r>
            <w:r w:rsidRPr="006B45E3">
              <w:rPr>
                <w:rFonts w:cs="Arial"/>
                <w:szCs w:val="24"/>
              </w:rPr>
              <w:t>ανονισμών.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8FF50" w14:textId="13E6ECEB" w:rsidR="006B45E3" w:rsidRPr="006B45E3" w:rsidRDefault="00614773" w:rsidP="00250CCE">
            <w:pPr>
              <w:spacing w:line="48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6B45E3" w:rsidRPr="006B45E3">
              <w:rPr>
                <w:rFonts w:cs="Arial"/>
                <w:szCs w:val="24"/>
              </w:rPr>
              <w:t xml:space="preserve">. Ο Κανονισμός 5 των βασικών </w:t>
            </w:r>
            <w:r w:rsidR="00250CCE">
              <w:rPr>
                <w:rFonts w:cs="Arial"/>
                <w:szCs w:val="24"/>
              </w:rPr>
              <w:t>κ</w:t>
            </w:r>
            <w:r w:rsidR="006B45E3" w:rsidRPr="006B45E3">
              <w:rPr>
                <w:rFonts w:cs="Arial"/>
                <w:szCs w:val="24"/>
              </w:rPr>
              <w:t>ανονισμών αντικαθίσταται με τον ακόλουθο νέο Κανονισμό 5:</w:t>
            </w:r>
          </w:p>
        </w:tc>
      </w:tr>
      <w:tr w:rsidR="00E80053" w:rsidRPr="006B45E3" w14:paraId="3D919C36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CA01EE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8CCB2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3E6CEE07" w14:textId="56D4E6F4" w:rsidTr="00250CCE">
        <w:trPr>
          <w:trHeight w:val="1032"/>
          <w:jc w:val="center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E98C1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E6FC61" w14:textId="769A2DB9" w:rsidR="006B45E3" w:rsidRPr="006B45E3" w:rsidRDefault="006B45E3" w:rsidP="00A13F49">
            <w:pPr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«Προσόντα για άδεια μετανάστευσης»</w:t>
            </w:r>
            <w:r w:rsidR="00250CCE">
              <w:rPr>
                <w:rFonts w:cs="Arial"/>
                <w:szCs w:val="24"/>
              </w:rPr>
              <w:t>.</w:t>
            </w: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D145A" w14:textId="2568B7FF" w:rsidR="006B45E3" w:rsidRPr="006B45E3" w:rsidRDefault="006B45E3" w:rsidP="00A13F49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5</w:t>
            </w:r>
            <w:r w:rsidR="00250CCE">
              <w:rPr>
                <w:rFonts w:cs="Arial"/>
                <w:szCs w:val="24"/>
              </w:rPr>
              <w:t>.</w:t>
            </w:r>
            <w:r w:rsidRPr="006B45E3">
              <w:rPr>
                <w:rFonts w:cs="Arial"/>
                <w:szCs w:val="24"/>
              </w:rPr>
              <w:t>(1)</w:t>
            </w:r>
            <w:r w:rsidR="00250CCE">
              <w:rPr>
                <w:rFonts w:cs="Arial"/>
                <w:szCs w:val="24"/>
              </w:rPr>
              <w:t xml:space="preserve"> </w:t>
            </w:r>
            <w:r w:rsidRPr="006B45E3">
              <w:rPr>
                <w:rFonts w:cs="Arial"/>
                <w:szCs w:val="24"/>
              </w:rPr>
              <w:t xml:space="preserve">Άδεια μετανάστευσης </w:t>
            </w:r>
            <w:r w:rsidR="00250CCE">
              <w:rPr>
                <w:rFonts w:cs="Arial"/>
                <w:szCs w:val="24"/>
              </w:rPr>
              <w:t xml:space="preserve">δύναται να </w:t>
            </w:r>
            <w:r w:rsidRPr="006B45E3">
              <w:rPr>
                <w:rFonts w:cs="Arial"/>
                <w:szCs w:val="24"/>
              </w:rPr>
              <w:t>χορηγ</w:t>
            </w:r>
            <w:r w:rsidR="00A13F49">
              <w:rPr>
                <w:rFonts w:cs="Arial"/>
                <w:szCs w:val="24"/>
              </w:rPr>
              <w:t>ηθεί</w:t>
            </w:r>
            <w:r w:rsidRPr="006B45E3">
              <w:rPr>
                <w:rFonts w:cs="Arial"/>
                <w:szCs w:val="24"/>
              </w:rPr>
              <w:t xml:space="preserve"> σε αλλοδαπό </w:t>
            </w:r>
            <w:r w:rsidR="00250CCE">
              <w:rPr>
                <w:rFonts w:cs="Arial"/>
                <w:szCs w:val="24"/>
              </w:rPr>
              <w:t>ο οποίος</w:t>
            </w:r>
            <w:r w:rsidRPr="006B45E3">
              <w:rPr>
                <w:rFonts w:cs="Arial"/>
                <w:szCs w:val="24"/>
              </w:rPr>
              <w:t xml:space="preserve"> ανήκει σε μια από τις ακόλουθες κατηγορίες:</w:t>
            </w:r>
          </w:p>
        </w:tc>
      </w:tr>
      <w:tr w:rsidR="00E80053" w:rsidRPr="006B45E3" w14:paraId="20695331" w14:textId="77777777" w:rsidTr="00250CCE">
        <w:trPr>
          <w:trHeight w:val="481"/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53604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62E4A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AAA04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58522C98" w14:textId="77777777" w:rsidTr="00250CCE">
        <w:trPr>
          <w:trHeight w:val="1730"/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BD73E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D3C25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90A05" w14:textId="61A9B450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(α</w:t>
            </w:r>
            <w:r w:rsidRPr="001814A9">
              <w:rPr>
                <w:rFonts w:cs="Arial"/>
                <w:szCs w:val="24"/>
              </w:rPr>
              <w:t xml:space="preserve">) </w:t>
            </w:r>
            <w:r w:rsidR="00F225F9" w:rsidRPr="00792A33">
              <w:rPr>
                <w:rFonts w:cs="Arial"/>
                <w:szCs w:val="24"/>
                <w:u w:val="single"/>
              </w:rPr>
              <w:t>Αυτοαπασχολούμενο</w:t>
            </w:r>
            <w:r w:rsidR="00F3411B" w:rsidRPr="00792A33">
              <w:rPr>
                <w:rFonts w:cs="Arial"/>
                <w:szCs w:val="24"/>
                <w:u w:val="single"/>
              </w:rPr>
              <w:t>υ αλλοδαπού</w:t>
            </w:r>
            <w:r w:rsidR="005750B4">
              <w:rPr>
                <w:rFonts w:cs="Arial"/>
                <w:szCs w:val="24"/>
              </w:rPr>
              <w:t>:</w:t>
            </w:r>
            <w:r w:rsidRPr="001814A9">
              <w:rPr>
                <w:rFonts w:cs="Arial"/>
                <w:szCs w:val="24"/>
              </w:rPr>
              <w:t xml:space="preserve"> </w:t>
            </w:r>
            <w:r w:rsidRPr="006B45E3">
              <w:rPr>
                <w:rFonts w:cs="Arial"/>
                <w:szCs w:val="24"/>
              </w:rPr>
              <w:t xml:space="preserve">Πρόσωπο </w:t>
            </w:r>
            <w:proofErr w:type="spellStart"/>
            <w:r w:rsidRPr="006B45E3">
              <w:rPr>
                <w:rFonts w:cs="Arial"/>
                <w:szCs w:val="24"/>
              </w:rPr>
              <w:t>προτιθέμενο</w:t>
            </w:r>
            <w:proofErr w:type="spellEnd"/>
            <w:r w:rsidRPr="006B45E3">
              <w:rPr>
                <w:rFonts w:cs="Arial"/>
                <w:szCs w:val="24"/>
              </w:rPr>
              <w:t xml:space="preserve"> να </w:t>
            </w:r>
            <w:proofErr w:type="spellStart"/>
            <w:r w:rsidRPr="006B45E3">
              <w:rPr>
                <w:rFonts w:cs="Arial"/>
                <w:szCs w:val="24"/>
              </w:rPr>
              <w:t>αυτοαπασχοληθεί</w:t>
            </w:r>
            <w:proofErr w:type="spellEnd"/>
            <w:r w:rsidRPr="006B45E3">
              <w:rPr>
                <w:rFonts w:cs="Arial"/>
                <w:szCs w:val="24"/>
              </w:rPr>
              <w:t xml:space="preserve"> σε επιχείρηση ή επάγγελμα ή επιστήμη στη Δημ</w:t>
            </w:r>
            <w:r w:rsidR="00A13F49">
              <w:rPr>
                <w:rFonts w:cs="Arial"/>
                <w:szCs w:val="24"/>
              </w:rPr>
              <w:t>οκρατία, με την προϋπόθεση ότι πληρούνται σωρευτικά τα ακόλουθα:</w:t>
            </w:r>
          </w:p>
        </w:tc>
      </w:tr>
      <w:tr w:rsidR="00E80053" w:rsidRPr="006B45E3" w14:paraId="29EFA572" w14:textId="77777777" w:rsidTr="00250CCE">
        <w:trPr>
          <w:trHeight w:val="173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E71B89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1182034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82C7E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7571DCF5" w14:textId="3BCD2509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386CC5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B1AD9C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C5E3706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14:paraId="48128B88" w14:textId="7834A1CA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(</w:t>
            </w:r>
            <w:r w:rsidRPr="006B45E3">
              <w:rPr>
                <w:rFonts w:cs="Arial"/>
                <w:szCs w:val="24"/>
                <w:lang w:val="en-US"/>
              </w:rPr>
              <w:t>i</w:t>
            </w:r>
            <w:r w:rsidRPr="006B45E3">
              <w:rPr>
                <w:rFonts w:cs="Arial"/>
                <w:szCs w:val="24"/>
              </w:rPr>
              <w:t>) κατέχει τα προσόντα για άσκηση του επαγγέλματος αυτού ή της επιστήμης αυτής ή για τη λειτ</w:t>
            </w:r>
            <w:r w:rsidR="00250CCE">
              <w:rPr>
                <w:rFonts w:cs="Arial"/>
                <w:szCs w:val="24"/>
              </w:rPr>
              <w:t>ουργία της επιχείρησης αυτής,</w:t>
            </w:r>
          </w:p>
        </w:tc>
      </w:tr>
      <w:tr w:rsidR="00E80053" w:rsidRPr="006B45E3" w14:paraId="7F489638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48054C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001904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ECC7137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14:paraId="24201EC1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6D893867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F12C59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3F1A69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8E5244E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14:paraId="69AEAF55" w14:textId="412AD9E5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(</w:t>
            </w:r>
            <w:r w:rsidRPr="006B45E3">
              <w:rPr>
                <w:rFonts w:cs="Arial"/>
                <w:szCs w:val="24"/>
                <w:lang w:val="en-US"/>
              </w:rPr>
              <w:t>ii</w:t>
            </w:r>
            <w:r w:rsidRPr="006B45E3">
              <w:rPr>
                <w:rFonts w:cs="Arial"/>
                <w:szCs w:val="24"/>
              </w:rPr>
              <w:t>) εάν απαιτείται επαγγελματική ή άλλη άδεια για να μπορέσει να απασχοληθεί στον τομέα που επιλέγει, εί</w:t>
            </w:r>
            <w:r w:rsidR="00250CCE">
              <w:rPr>
                <w:rFonts w:cs="Arial"/>
                <w:szCs w:val="24"/>
              </w:rPr>
              <w:t>ναι κάτοχος της άδειας αυτής,</w:t>
            </w:r>
          </w:p>
        </w:tc>
      </w:tr>
      <w:tr w:rsidR="00E80053" w:rsidRPr="006B45E3" w14:paraId="0A3748B1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EA8B07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E46647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E34B0B9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14:paraId="066C77A9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322CDA8C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EE8E6C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DA6839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6DD4C3F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14:paraId="72C2B1D3" w14:textId="639EFCC5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(</w:t>
            </w:r>
            <w:r w:rsidRPr="006B45E3">
              <w:rPr>
                <w:rFonts w:cs="Arial"/>
                <w:szCs w:val="24"/>
                <w:lang w:val="en-US"/>
              </w:rPr>
              <w:t>iii</w:t>
            </w:r>
            <w:r w:rsidRPr="006B45E3">
              <w:rPr>
                <w:rFonts w:cs="Arial"/>
                <w:szCs w:val="24"/>
              </w:rPr>
              <w:t xml:space="preserve">) κατέχει επαρκή κεφάλαια για τον σκοπό αυτό, </w:t>
            </w:r>
            <w:r w:rsidR="00197440">
              <w:rPr>
                <w:rFonts w:cs="Arial"/>
                <w:szCs w:val="24"/>
              </w:rPr>
              <w:t>τα οποία καθορίζονται με Απόφαση του Υπουργικού Συμβουλίου</w:t>
            </w:r>
            <w:r w:rsidR="00250CCE">
              <w:rPr>
                <w:rFonts w:cs="Arial"/>
                <w:szCs w:val="24"/>
              </w:rPr>
              <w:t xml:space="preserve">, </w:t>
            </w:r>
          </w:p>
        </w:tc>
      </w:tr>
      <w:tr w:rsidR="00E80053" w:rsidRPr="006B45E3" w14:paraId="1C2C95D4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CF7CF2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F8F514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2DEDDB4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14:paraId="0AEC0947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3E948519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479725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7E3D5C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704C0E0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14:paraId="7C680BAA" w14:textId="5E319A0F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(</w:t>
            </w:r>
            <w:r w:rsidRPr="006B45E3">
              <w:rPr>
                <w:rFonts w:cs="Arial"/>
                <w:szCs w:val="24"/>
                <w:lang w:val="en-US"/>
              </w:rPr>
              <w:t>iv</w:t>
            </w:r>
            <w:r w:rsidRPr="006B45E3">
              <w:rPr>
                <w:rFonts w:cs="Arial"/>
                <w:szCs w:val="24"/>
              </w:rPr>
              <w:t>) έχει διευθετημένες τυχόν υποχρεώσεις προς τις Υπηρεσίες Κοινωνικών Ασφαλίσεων και το Τμήμα Φορολογίας, σε σχέση με φόρους και εισφορές, και</w:t>
            </w:r>
          </w:p>
        </w:tc>
      </w:tr>
      <w:tr w:rsidR="00E80053" w:rsidRPr="006B45E3" w14:paraId="26F10574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3D3CD3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531DFB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CB1E9EB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14:paraId="0067BE02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275C0284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32A6D4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36FE16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CBE817D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14:paraId="237A56AD" w14:textId="0D129D93" w:rsidR="006B45E3" w:rsidRPr="006B45E3" w:rsidRDefault="006B45E3" w:rsidP="00250CCE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(</w:t>
            </w:r>
            <w:r w:rsidRPr="006B45E3">
              <w:rPr>
                <w:rFonts w:cs="Arial"/>
                <w:szCs w:val="24"/>
                <w:lang w:val="en-US"/>
              </w:rPr>
              <w:t>v</w:t>
            </w:r>
            <w:r w:rsidRPr="006B45E3">
              <w:rPr>
                <w:rFonts w:cs="Arial"/>
                <w:szCs w:val="24"/>
              </w:rPr>
              <w:t xml:space="preserve">) η </w:t>
            </w:r>
            <w:r w:rsidR="00E11A0D">
              <w:rPr>
                <w:rFonts w:cs="Arial"/>
                <w:szCs w:val="24"/>
              </w:rPr>
              <w:t>συγκεκριμένη</w:t>
            </w:r>
            <w:r w:rsidRPr="006B45E3">
              <w:rPr>
                <w:rFonts w:cs="Arial"/>
                <w:szCs w:val="24"/>
              </w:rPr>
              <w:t xml:space="preserve"> απασχόληση</w:t>
            </w:r>
            <w:r w:rsidR="0068139C">
              <w:rPr>
                <w:rFonts w:cs="Arial"/>
                <w:szCs w:val="24"/>
              </w:rPr>
              <w:t xml:space="preserve"> θα φέρει όφελος στη Δημοκρατία, θα είναι σύμφωνη με τις αναπτυξιακές προτεραιότητ</w:t>
            </w:r>
            <w:r w:rsidR="00E11A0D">
              <w:rPr>
                <w:rFonts w:cs="Arial"/>
                <w:szCs w:val="24"/>
              </w:rPr>
              <w:t>έ</w:t>
            </w:r>
            <w:r w:rsidR="0068139C">
              <w:rPr>
                <w:rFonts w:cs="Arial"/>
                <w:szCs w:val="24"/>
              </w:rPr>
              <w:t xml:space="preserve">ς </w:t>
            </w:r>
            <w:r w:rsidR="00E11A0D">
              <w:rPr>
                <w:rFonts w:cs="Arial"/>
                <w:szCs w:val="24"/>
              </w:rPr>
              <w:t xml:space="preserve">της, δεν θα επηρεάσει δυσμενώς τη γενική οικονομία της </w:t>
            </w:r>
            <w:r w:rsidR="00E11A0D">
              <w:rPr>
                <w:rFonts w:cs="Arial"/>
                <w:szCs w:val="24"/>
              </w:rPr>
              <w:lastRenderedPageBreak/>
              <w:t xml:space="preserve">και </w:t>
            </w:r>
            <w:r w:rsidR="0068139C">
              <w:rPr>
                <w:rFonts w:cs="Arial"/>
                <w:szCs w:val="24"/>
              </w:rPr>
              <w:t xml:space="preserve">δεν θα </w:t>
            </w:r>
            <w:r w:rsidRPr="006B45E3">
              <w:rPr>
                <w:rFonts w:cs="Arial"/>
                <w:szCs w:val="24"/>
              </w:rPr>
              <w:t>δημιουργήσει αδικαιολόγητο ανταγωνισμό</w:t>
            </w:r>
            <w:r w:rsidR="0068139C">
              <w:rPr>
                <w:rFonts w:cs="Arial"/>
                <w:szCs w:val="24"/>
              </w:rPr>
              <w:t xml:space="preserve"> </w:t>
            </w:r>
            <w:r w:rsidR="00E11A0D">
              <w:rPr>
                <w:rFonts w:cs="Arial"/>
                <w:szCs w:val="24"/>
              </w:rPr>
              <w:t>στην εγχώρια αγορά εργασίας</w:t>
            </w:r>
            <w:r w:rsidR="00250CCE">
              <w:rPr>
                <w:rFonts w:cs="Arial"/>
                <w:szCs w:val="24"/>
              </w:rPr>
              <w:t>∙</w:t>
            </w:r>
          </w:p>
        </w:tc>
      </w:tr>
      <w:tr w:rsidR="00E80053" w:rsidRPr="006B45E3" w14:paraId="18A7A4A9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287731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B717D6D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BE59B49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14:paraId="22830D72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63CB4507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07F7A9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B4B908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E98DD" w14:textId="3B97AEC1" w:rsidR="006B45E3" w:rsidRPr="00250CCE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 xml:space="preserve">(β) </w:t>
            </w:r>
            <w:r w:rsidRPr="006B45E3">
              <w:rPr>
                <w:rFonts w:cs="Arial"/>
                <w:szCs w:val="24"/>
                <w:u w:val="single"/>
              </w:rPr>
              <w:t>Μισθωτ</w:t>
            </w:r>
            <w:r w:rsidR="00F3411B">
              <w:rPr>
                <w:rFonts w:cs="Arial"/>
                <w:szCs w:val="24"/>
                <w:u w:val="single"/>
              </w:rPr>
              <w:t>ού αλλοδαπού</w:t>
            </w:r>
            <w:r w:rsidRPr="006B45E3">
              <w:rPr>
                <w:rFonts w:cs="Arial"/>
                <w:szCs w:val="24"/>
              </w:rPr>
              <w:t>: Πρόσωπο στο οποίο προσφέρεται απασχόληση και που προτίθεται να αποδεχτεί αυτήν, με την προϋπόθεση ότι δεν θα δημιουργήσει αδικαιολόγητο ανταγωνισμό στην κατηγορία της απασχόλησης στην οποία προτίθεται να απασχοληθεί</w:t>
            </w:r>
            <w:r w:rsidR="00250CCE" w:rsidRPr="00250CCE">
              <w:rPr>
                <w:rFonts w:cs="Arial"/>
                <w:szCs w:val="24"/>
              </w:rPr>
              <w:t>:</w:t>
            </w:r>
          </w:p>
        </w:tc>
      </w:tr>
      <w:tr w:rsidR="00E80053" w:rsidRPr="006B45E3" w14:paraId="38B5288E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A04C79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A26D02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CE8A1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28E3C048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022EE3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CDA4A4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1E9D1" w14:textId="3298033D" w:rsidR="006B45E3" w:rsidRPr="00250CCE" w:rsidRDefault="006B45E3" w:rsidP="00250CCE">
            <w:pPr>
              <w:spacing w:line="480" w:lineRule="auto"/>
              <w:ind w:firstLine="464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Νοείται ότι</w:t>
            </w:r>
            <w:r w:rsidR="00250CCE" w:rsidRPr="00250CCE">
              <w:rPr>
                <w:rFonts w:cs="Arial"/>
                <w:szCs w:val="24"/>
              </w:rPr>
              <w:t>,</w:t>
            </w:r>
            <w:r w:rsidRPr="006B45E3">
              <w:rPr>
                <w:rFonts w:cs="Arial"/>
                <w:szCs w:val="24"/>
              </w:rPr>
              <w:t xml:space="preserve"> ο αλλοδαπός και ο εργοδότης έχουν συνάψει μεταξύ τους σύμβαση απασχόλησης, δεόντως επικυρωμένη από την αρμόδια αρχή, όπου αυτό </w:t>
            </w:r>
            <w:r w:rsidR="007F7104">
              <w:rPr>
                <w:rFonts w:cs="Arial"/>
                <w:szCs w:val="24"/>
              </w:rPr>
              <w:t>εφαρμόζεται</w:t>
            </w:r>
            <w:r w:rsidR="00250CCE" w:rsidRPr="00250CCE">
              <w:rPr>
                <w:rFonts w:cs="Arial"/>
                <w:szCs w:val="24"/>
              </w:rPr>
              <w:t>:</w:t>
            </w:r>
          </w:p>
        </w:tc>
      </w:tr>
      <w:tr w:rsidR="00E80053" w:rsidRPr="006B45E3" w14:paraId="31362CC0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5DDA57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8E24F5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C8D50" w14:textId="77777777" w:rsidR="00E80053" w:rsidRPr="006B45E3" w:rsidRDefault="00E80053" w:rsidP="006B45E3">
            <w:pPr>
              <w:spacing w:line="480" w:lineRule="auto"/>
              <w:ind w:firstLine="464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1255ACB0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661B12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2958FA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76E0D" w14:textId="2C4A3339" w:rsidR="006B45E3" w:rsidRPr="006B45E3" w:rsidRDefault="006B45E3" w:rsidP="00250CCE">
            <w:pPr>
              <w:spacing w:line="480" w:lineRule="auto"/>
              <w:ind w:firstLine="464"/>
              <w:jc w:val="both"/>
              <w:rPr>
                <w:rFonts w:cs="Arial"/>
                <w:szCs w:val="24"/>
              </w:rPr>
            </w:pPr>
            <w:r w:rsidRPr="00DB2097">
              <w:rPr>
                <w:rFonts w:cs="Arial"/>
                <w:szCs w:val="24"/>
              </w:rPr>
              <w:t>Νοείται περαιτέρω ότι</w:t>
            </w:r>
            <w:r w:rsidR="00250CCE" w:rsidRPr="00250CCE">
              <w:rPr>
                <w:rFonts w:cs="Arial"/>
                <w:szCs w:val="24"/>
              </w:rPr>
              <w:t>,</w:t>
            </w:r>
            <w:r w:rsidRPr="00DB2097">
              <w:rPr>
                <w:rFonts w:cs="Arial"/>
                <w:szCs w:val="24"/>
              </w:rPr>
              <w:t xml:space="preserve"> ο εργοδότης πληροί τα κριτήρια και τις προϋποθέσεις για απασχόληση αλλοδαπών και ότι έχει διευθετημένες τυχόν υποχρεώσεις </w:t>
            </w:r>
            <w:r w:rsidR="00250CCE" w:rsidRPr="00250CCE">
              <w:rPr>
                <w:rFonts w:cs="Arial"/>
                <w:szCs w:val="24"/>
              </w:rPr>
              <w:t xml:space="preserve">του </w:t>
            </w:r>
            <w:r w:rsidRPr="006B45E3">
              <w:rPr>
                <w:rFonts w:cs="Arial"/>
                <w:szCs w:val="24"/>
              </w:rPr>
              <w:t>προς τις Υπηρεσίες Κοινωνικών Ασφαλίσεων και το Τμήμα Φορολογίας, σε σχέση με φόρους και εισφορές</w:t>
            </w:r>
            <w:r w:rsidR="00250CCE">
              <w:rPr>
                <w:rFonts w:cs="Arial"/>
                <w:szCs w:val="24"/>
              </w:rPr>
              <w:t>∙</w:t>
            </w:r>
          </w:p>
        </w:tc>
      </w:tr>
      <w:tr w:rsidR="00E80053" w:rsidRPr="006B45E3" w14:paraId="19CD74CD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6150ED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6A5391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48F61" w14:textId="77777777" w:rsidR="00E80053" w:rsidRPr="00DB2097" w:rsidRDefault="00E80053" w:rsidP="006B45E3">
            <w:pPr>
              <w:spacing w:line="480" w:lineRule="auto"/>
              <w:ind w:firstLine="464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50CFB7D9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CEB089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576D54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A2F91" w14:textId="2EF124CE" w:rsidR="006B45E3" w:rsidRPr="006B45E3" w:rsidRDefault="006B45E3" w:rsidP="00250CCE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 xml:space="preserve">(γ) </w:t>
            </w:r>
            <w:r w:rsidRPr="006B45E3">
              <w:rPr>
                <w:rFonts w:cs="Arial"/>
                <w:szCs w:val="24"/>
                <w:u w:val="single"/>
              </w:rPr>
              <w:t>Επενδυτ</w:t>
            </w:r>
            <w:r w:rsidR="005C5BA7">
              <w:rPr>
                <w:rFonts w:cs="Arial"/>
                <w:szCs w:val="24"/>
                <w:u w:val="single"/>
              </w:rPr>
              <w:t>ή</w:t>
            </w:r>
            <w:r w:rsidR="00F3411B">
              <w:rPr>
                <w:rFonts w:cs="Arial"/>
                <w:szCs w:val="24"/>
                <w:u w:val="single"/>
              </w:rPr>
              <w:t xml:space="preserve"> αλλοδαπού</w:t>
            </w:r>
            <w:r w:rsidRPr="006B45E3">
              <w:rPr>
                <w:rFonts w:cs="Arial"/>
                <w:szCs w:val="24"/>
              </w:rPr>
              <w:t xml:space="preserve">: Πρόσωπο που έχει προβεί σε σημαντική επένδυση στη Δημοκρατία, </w:t>
            </w:r>
            <w:r w:rsidR="008C561B">
              <w:rPr>
                <w:rFonts w:cs="Arial"/>
                <w:szCs w:val="24"/>
              </w:rPr>
              <w:t>το ύψος</w:t>
            </w:r>
            <w:r w:rsidR="00EF0148">
              <w:rPr>
                <w:rFonts w:cs="Arial"/>
                <w:szCs w:val="24"/>
              </w:rPr>
              <w:t xml:space="preserve"> και το είδος</w:t>
            </w:r>
            <w:r w:rsidR="008C561B">
              <w:rPr>
                <w:rFonts w:cs="Arial"/>
                <w:szCs w:val="24"/>
              </w:rPr>
              <w:t xml:space="preserve"> της οποίας καθορίζεται με </w:t>
            </w:r>
            <w:r w:rsidR="00555121">
              <w:rPr>
                <w:rFonts w:cs="Arial"/>
                <w:szCs w:val="24"/>
              </w:rPr>
              <w:t>Α</w:t>
            </w:r>
            <w:r w:rsidR="008C561B">
              <w:rPr>
                <w:rFonts w:cs="Arial"/>
                <w:szCs w:val="24"/>
              </w:rPr>
              <w:t xml:space="preserve">πόφαση του </w:t>
            </w:r>
            <w:r w:rsidR="008C561B">
              <w:rPr>
                <w:rFonts w:cs="Arial"/>
                <w:szCs w:val="24"/>
              </w:rPr>
              <w:lastRenderedPageBreak/>
              <w:t xml:space="preserve">Υπουργικού Συμβουλίου, </w:t>
            </w:r>
            <w:r w:rsidRPr="006B45E3">
              <w:rPr>
                <w:rFonts w:cs="Arial"/>
                <w:szCs w:val="24"/>
              </w:rPr>
              <w:t xml:space="preserve">με κεφάλαια προερχόμενα από </w:t>
            </w:r>
            <w:r w:rsidR="00250CCE">
              <w:rPr>
                <w:rFonts w:cs="Arial"/>
                <w:szCs w:val="24"/>
              </w:rPr>
              <w:t xml:space="preserve">νόμιμες </w:t>
            </w:r>
            <w:r w:rsidRPr="006B45E3">
              <w:rPr>
                <w:rFonts w:cs="Arial"/>
                <w:szCs w:val="24"/>
              </w:rPr>
              <w:t>πηγές εκτός Δημοκρατίας</w:t>
            </w:r>
            <w:r w:rsidR="00250CCE">
              <w:rPr>
                <w:rFonts w:cs="Arial"/>
                <w:szCs w:val="24"/>
              </w:rPr>
              <w:t>∙</w:t>
            </w:r>
          </w:p>
        </w:tc>
      </w:tr>
      <w:tr w:rsidR="00E80053" w:rsidRPr="006B45E3" w14:paraId="45881BAC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FEDE85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AB5488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6B26F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75C6E3CA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18A8A0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8E6612" w14:textId="77777777" w:rsid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3B4A40F4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34C765B6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32BB75E7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0C267BDE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1609B0D5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3FC37B65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2343BCA1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1421B785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629BCE5A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76C89547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63F307C7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3C26AF1B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79C0F794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1F7D472E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2AC6B6D5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330029BC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09F6861F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1B7FA892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077E52B9" w14:textId="77777777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4E114C1C" w14:textId="5ABEBD0F" w:rsid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89(Ι) του 2001.</w:t>
            </w:r>
          </w:p>
          <w:p w14:paraId="3909DB4A" w14:textId="694B0D97" w:rsidR="00EB1EA5" w:rsidRPr="006B45E3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37B3E" w14:textId="27DD0090" w:rsidR="00F854C5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 xml:space="preserve">(δ) </w:t>
            </w:r>
            <w:r w:rsidR="00B0719F" w:rsidRPr="00B0719F">
              <w:rPr>
                <w:rFonts w:cs="Arial"/>
                <w:szCs w:val="24"/>
                <w:u w:val="single"/>
              </w:rPr>
              <w:t>Αυτοσυντηρούμενου αλλοδαπού</w:t>
            </w:r>
            <w:r w:rsidRPr="006B45E3">
              <w:rPr>
                <w:rFonts w:cs="Arial"/>
                <w:szCs w:val="24"/>
              </w:rPr>
              <w:t>: Πρόσωπο που προτίθεται να διαμείνει στην Δημοκρατία, χωρίς την άσκηση οποιασδήποτε απασχόλησης ή άλλης οικονομικής δραστηριότητας στη Δημοκρατία</w:t>
            </w:r>
            <w:r w:rsidR="00763A79">
              <w:rPr>
                <w:rFonts w:cs="Arial"/>
                <w:szCs w:val="24"/>
              </w:rPr>
              <w:t xml:space="preserve"> και έχει στη διάθεσή του ασφαλισμένο ετήσιο εισόδημα</w:t>
            </w:r>
            <w:r w:rsidR="00D30F57">
              <w:rPr>
                <w:rFonts w:cs="Arial"/>
                <w:szCs w:val="24"/>
              </w:rPr>
              <w:t xml:space="preserve">, </w:t>
            </w:r>
            <w:r w:rsidR="00250CCE">
              <w:rPr>
                <w:rFonts w:cs="Arial"/>
                <w:szCs w:val="24"/>
              </w:rPr>
              <w:t>€</w:t>
            </w:r>
            <w:r w:rsidR="00D30F57">
              <w:rPr>
                <w:rFonts w:cs="Arial"/>
                <w:szCs w:val="24"/>
              </w:rPr>
              <w:t xml:space="preserve">40.000, αυξανόμενο κατά </w:t>
            </w:r>
            <w:r w:rsidR="00250CCE">
              <w:rPr>
                <w:rFonts w:cs="Arial"/>
                <w:szCs w:val="24"/>
              </w:rPr>
              <w:t>€</w:t>
            </w:r>
            <w:r w:rsidR="00D30F57">
              <w:rPr>
                <w:rFonts w:cs="Arial"/>
                <w:szCs w:val="24"/>
              </w:rPr>
              <w:t>10.000 για κάθε πρόσθετο μέλος της οικογένειας</w:t>
            </w:r>
            <w:r w:rsidR="00763A79" w:rsidRPr="006B45E3">
              <w:rPr>
                <w:rFonts w:cs="Arial"/>
                <w:szCs w:val="24"/>
              </w:rPr>
              <w:t xml:space="preserve">, </w:t>
            </w:r>
            <w:r w:rsidR="00E11A0D">
              <w:rPr>
                <w:rFonts w:cs="Arial"/>
                <w:szCs w:val="24"/>
              </w:rPr>
              <w:t>καθώς επίσης κατάλληλο ιδιόκτητο κατάλυμα στη Δημοκρατία για τη διαμονή του ιδίου και των μελών της οικογένειάς του</w:t>
            </w:r>
            <w:r w:rsidR="00D30F57">
              <w:rPr>
                <w:rFonts w:cs="Arial"/>
                <w:szCs w:val="24"/>
              </w:rPr>
              <w:t xml:space="preserve"> αξίας</w:t>
            </w:r>
            <w:r w:rsidR="00250CCE">
              <w:rPr>
                <w:rFonts w:cs="Arial"/>
                <w:szCs w:val="24"/>
              </w:rPr>
              <w:t xml:space="preserve"> €</w:t>
            </w:r>
            <w:r w:rsidR="00D30F57">
              <w:rPr>
                <w:rFonts w:cs="Arial"/>
                <w:szCs w:val="24"/>
              </w:rPr>
              <w:t>250.000 Ευρώ</w:t>
            </w:r>
            <w:r w:rsidR="00250CCE" w:rsidRPr="00250CCE">
              <w:rPr>
                <w:rFonts w:cs="Arial"/>
                <w:szCs w:val="24"/>
              </w:rPr>
              <w:t>:</w:t>
            </w:r>
          </w:p>
          <w:p w14:paraId="646B6708" w14:textId="6DE15609" w:rsidR="00250CCE" w:rsidRDefault="00250CCE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78AE7813" w14:textId="01C55D04" w:rsidR="00250CCE" w:rsidRP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EB1EA5">
              <w:rPr>
                <w:rFonts w:cs="Arial"/>
                <w:szCs w:val="24"/>
              </w:rPr>
              <w:t>Νοε</w:t>
            </w:r>
            <w:r>
              <w:rPr>
                <w:rFonts w:cs="Arial"/>
                <w:szCs w:val="24"/>
              </w:rPr>
              <w:t>ίται ότι,</w:t>
            </w:r>
            <w:r w:rsidRPr="00EB1EA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μέτοχος σε εταιρεία εγγεγραμμένη στη Δημοκρατία που λαμβάνει μέρισμα δεν θεωρείται ότι ασκεί οικονομική δραστηριότητα</w:t>
            </w:r>
            <w:r w:rsidRPr="00EB1EA5">
              <w:rPr>
                <w:rFonts w:cs="Arial"/>
                <w:szCs w:val="24"/>
              </w:rPr>
              <w:t>:</w:t>
            </w:r>
          </w:p>
          <w:p w14:paraId="30A82821" w14:textId="77777777" w:rsidR="00EB1EA5" w:rsidRPr="00EB1EA5" w:rsidRDefault="00EB1EA5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  <w:p w14:paraId="4A2E8591" w14:textId="096EF6DE" w:rsidR="00184334" w:rsidRPr="00184334" w:rsidRDefault="00184334" w:rsidP="00EB1EA5">
            <w:pPr>
              <w:spacing w:line="48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Νοείται </w:t>
            </w:r>
            <w:r w:rsidR="00EB1EA5" w:rsidRPr="00EB1EA5">
              <w:rPr>
                <w:rFonts w:cs="Arial"/>
                <w:szCs w:val="24"/>
              </w:rPr>
              <w:t>περαιτ</w:t>
            </w:r>
            <w:r w:rsidR="00EB1EA5">
              <w:rPr>
                <w:rFonts w:cs="Arial"/>
                <w:szCs w:val="24"/>
              </w:rPr>
              <w:t xml:space="preserve">έρω </w:t>
            </w:r>
            <w:r>
              <w:rPr>
                <w:rFonts w:cs="Arial"/>
                <w:szCs w:val="24"/>
              </w:rPr>
              <w:t xml:space="preserve">ότι, για σκοπούς πρόσβασης στο γενικό σύστημα υγείας,  ο αυτοσυντηρούμενος αλλοδαπός τελεί υπό την υποχρέωση καταβολής εισφοράς και εν πάση </w:t>
            </w:r>
            <w:proofErr w:type="spellStart"/>
            <w:r>
              <w:rPr>
                <w:rFonts w:cs="Arial"/>
                <w:szCs w:val="24"/>
              </w:rPr>
              <w:t>περιπτώσει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r w:rsidR="00EB1EA5">
              <w:rPr>
                <w:rFonts w:cs="Arial"/>
                <w:szCs w:val="24"/>
              </w:rPr>
              <w:t>κ</w:t>
            </w:r>
            <w:r>
              <w:rPr>
                <w:rFonts w:cs="Arial"/>
                <w:szCs w:val="24"/>
              </w:rPr>
              <w:t xml:space="preserve">αταβάλλει το ποσό το οποίο θα του υποδειχθεί από τον Οργανισμό, σύμφωνα με τις διατάξεις του περί </w:t>
            </w:r>
            <w:r w:rsidR="00EB1EA5">
              <w:rPr>
                <w:rFonts w:cs="Arial"/>
                <w:szCs w:val="24"/>
              </w:rPr>
              <w:t>Γενικού Συστήματος Υγείας Νόμου</w:t>
            </w:r>
            <w:r>
              <w:rPr>
                <w:rFonts w:cs="Arial"/>
                <w:szCs w:val="24"/>
              </w:rPr>
              <w:t xml:space="preserve"> </w:t>
            </w:r>
            <w:r w:rsidR="00EB1EA5">
              <w:rPr>
                <w:rFonts w:cs="Arial"/>
                <w:szCs w:val="24"/>
              </w:rPr>
              <w:t xml:space="preserve">του </w:t>
            </w:r>
            <w:r>
              <w:rPr>
                <w:rFonts w:cs="Arial"/>
                <w:szCs w:val="24"/>
              </w:rPr>
              <w:t>20</w:t>
            </w:r>
            <w:r w:rsidR="00EB1EA5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1.</w:t>
            </w:r>
          </w:p>
        </w:tc>
      </w:tr>
      <w:tr w:rsidR="00E80053" w:rsidRPr="006B45E3" w14:paraId="675AD3E6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21205A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E2F0D6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E4145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4C62BC2F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4720FA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C8EB7C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EFDFE" w14:textId="05B1C36C" w:rsidR="006B45E3" w:rsidRPr="006B45E3" w:rsidRDefault="00A13F49" w:rsidP="00A13F49">
            <w:pPr>
              <w:spacing w:line="48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(2) </w:t>
            </w:r>
            <w:r w:rsidR="006B45E3" w:rsidRPr="006B45E3">
              <w:rPr>
                <w:rFonts w:cs="Arial"/>
                <w:szCs w:val="24"/>
              </w:rPr>
              <w:t>Τηρουμένης της παραγράφου (1), άδεια μετανάστευσης</w:t>
            </w:r>
            <w:r w:rsidR="00EB1EA5">
              <w:rPr>
                <w:rFonts w:cs="Arial"/>
                <w:szCs w:val="24"/>
              </w:rPr>
              <w:t xml:space="preserve"> δύναται να</w:t>
            </w:r>
            <w:r w:rsidR="006B45E3" w:rsidRPr="006B45E3">
              <w:rPr>
                <w:rFonts w:cs="Arial"/>
                <w:szCs w:val="24"/>
              </w:rPr>
              <w:t xml:space="preserve"> χορηγ</w:t>
            </w:r>
            <w:r>
              <w:rPr>
                <w:rFonts w:cs="Arial"/>
                <w:szCs w:val="24"/>
              </w:rPr>
              <w:t>ηθεί</w:t>
            </w:r>
            <w:r w:rsidR="006B45E3" w:rsidRPr="006B45E3">
              <w:rPr>
                <w:rFonts w:cs="Arial"/>
                <w:szCs w:val="24"/>
              </w:rPr>
              <w:t xml:space="preserve"> σε αλλοδαπό όταν ικανοποιούνται σωρευτικά</w:t>
            </w:r>
            <w:r w:rsidR="00EB1EA5">
              <w:rPr>
                <w:rFonts w:cs="Arial"/>
                <w:szCs w:val="24"/>
              </w:rPr>
              <w:t xml:space="preserve"> και</w:t>
            </w:r>
            <w:r w:rsidR="006B45E3" w:rsidRPr="006B45E3">
              <w:rPr>
                <w:rFonts w:cs="Arial"/>
                <w:szCs w:val="24"/>
              </w:rPr>
              <w:t xml:space="preserve"> οι ακόλουθες προϋποθέσεις:</w:t>
            </w:r>
          </w:p>
        </w:tc>
      </w:tr>
      <w:tr w:rsidR="00E80053" w:rsidRPr="006B45E3" w14:paraId="0B426BCF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680180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0E638B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D8F63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4EFBB0C1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EAC458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7B308C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236C2" w14:textId="1C446998" w:rsidR="006B45E3" w:rsidRPr="006B45E3" w:rsidRDefault="006B45E3" w:rsidP="00EB1EA5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 xml:space="preserve">(α) </w:t>
            </w:r>
            <w:r w:rsidR="00EB1EA5">
              <w:rPr>
                <w:rFonts w:cs="Arial"/>
                <w:szCs w:val="24"/>
              </w:rPr>
              <w:t>Ο</w:t>
            </w:r>
            <w:r w:rsidRPr="006B45E3">
              <w:rPr>
                <w:rFonts w:cs="Arial"/>
                <w:szCs w:val="24"/>
              </w:rPr>
              <w:t xml:space="preserve"> αλλοδαπός είναι κάτοχος έγκυρου διαβατηρίου ή άλλου ταξιδιωτικού εγγράφου·</w:t>
            </w:r>
            <w:r w:rsidR="00EB1EA5">
              <w:rPr>
                <w:rFonts w:cs="Arial"/>
                <w:szCs w:val="24"/>
              </w:rPr>
              <w:t xml:space="preserve"> και</w:t>
            </w:r>
          </w:p>
        </w:tc>
      </w:tr>
      <w:tr w:rsidR="00E80053" w:rsidRPr="006B45E3" w14:paraId="066C88E6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D29A09" w14:textId="77777777" w:rsidR="00E80053" w:rsidRPr="006B45E3" w:rsidRDefault="00E8005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6C2064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3687E" w14:textId="77777777" w:rsidR="00E80053" w:rsidRPr="006B45E3" w:rsidRDefault="00E8005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6B45E3" w:rsidRPr="006B45E3" w14:paraId="002B0A9B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466620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C890FF" w14:textId="77777777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F6964" w14:textId="6518AD37" w:rsidR="006B45E3" w:rsidRPr="006B45E3" w:rsidRDefault="006B45E3" w:rsidP="00EB1EA5">
            <w:pPr>
              <w:spacing w:line="480" w:lineRule="auto"/>
              <w:jc w:val="both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>(β) ο αλλοδαπός δεν συνιστά απειλή για τη</w:t>
            </w:r>
            <w:r w:rsidR="00EB1EA5">
              <w:rPr>
                <w:rFonts w:cs="Arial"/>
                <w:szCs w:val="24"/>
              </w:rPr>
              <w:t xml:space="preserve">ν εθνική ασφάλεια, </w:t>
            </w:r>
            <w:r w:rsidRPr="006B45E3">
              <w:rPr>
                <w:rFonts w:cs="Arial"/>
                <w:szCs w:val="24"/>
              </w:rPr>
              <w:t>δημόσια τάξη</w:t>
            </w:r>
            <w:r w:rsidR="00EF0148">
              <w:rPr>
                <w:rFonts w:cs="Arial"/>
                <w:szCs w:val="24"/>
              </w:rPr>
              <w:t>, και</w:t>
            </w:r>
            <w:r w:rsidR="00EB1EA5">
              <w:rPr>
                <w:rFonts w:cs="Arial"/>
                <w:szCs w:val="24"/>
              </w:rPr>
              <w:t xml:space="preserve"> δημόσια </w:t>
            </w:r>
            <w:r w:rsidR="00EF0148">
              <w:rPr>
                <w:rFonts w:cs="Arial"/>
                <w:szCs w:val="24"/>
              </w:rPr>
              <w:t xml:space="preserve"> υγεία </w:t>
            </w:r>
            <w:r w:rsidRPr="006B45E3">
              <w:rPr>
                <w:rFonts w:cs="Arial"/>
                <w:szCs w:val="24"/>
              </w:rPr>
              <w:t>με οποιονδήποτε τρόπο</w:t>
            </w:r>
            <w:r w:rsidR="00EB1EA5">
              <w:rPr>
                <w:rFonts w:cs="Arial"/>
                <w:szCs w:val="24"/>
              </w:rPr>
              <w:t>.».</w:t>
            </w:r>
          </w:p>
        </w:tc>
      </w:tr>
      <w:tr w:rsidR="006B45E3" w:rsidRPr="006B45E3" w14:paraId="163D78B1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65ED76" w14:textId="77777777" w:rsidR="006B45E3" w:rsidRPr="006B45E3" w:rsidRDefault="006B45E3" w:rsidP="006B45E3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9C37E" w14:textId="1BBF383F" w:rsidR="006B45E3" w:rsidRPr="006B45E3" w:rsidRDefault="006B45E3" w:rsidP="006B45E3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  <w:tr w:rsidR="00DB2097" w:rsidRPr="006B45E3" w14:paraId="2D8BEFE4" w14:textId="77777777" w:rsidTr="00250CCE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531633" w14:textId="3B97E12E" w:rsidR="00DB2097" w:rsidRPr="006B45E3" w:rsidRDefault="00DB2097" w:rsidP="00EB1EA5">
            <w:pPr>
              <w:spacing w:line="480" w:lineRule="auto"/>
              <w:rPr>
                <w:rFonts w:cs="Arial"/>
                <w:szCs w:val="24"/>
              </w:rPr>
            </w:pPr>
            <w:r w:rsidRPr="006B45E3">
              <w:rPr>
                <w:rFonts w:cs="Arial"/>
                <w:szCs w:val="24"/>
              </w:rPr>
              <w:t xml:space="preserve">Κατάργηση του Πρώτου Πίνακα των βασικών </w:t>
            </w:r>
            <w:r w:rsidR="00EB1EA5">
              <w:rPr>
                <w:rFonts w:cs="Arial"/>
                <w:szCs w:val="24"/>
              </w:rPr>
              <w:t>κ</w:t>
            </w:r>
            <w:r w:rsidRPr="006B45E3">
              <w:rPr>
                <w:rFonts w:cs="Arial"/>
                <w:szCs w:val="24"/>
              </w:rPr>
              <w:t>ανονισμών.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2F0CB" w14:textId="2F76B336" w:rsidR="00BC30AF" w:rsidRDefault="00F3411B" w:rsidP="00BC30AF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DB2097" w:rsidRPr="006B45E3">
              <w:rPr>
                <w:rFonts w:cs="Arial"/>
                <w:szCs w:val="24"/>
              </w:rPr>
              <w:t xml:space="preserve">. Ο Πρώτος Πίνακας των βασικών </w:t>
            </w:r>
            <w:r w:rsidR="00A13F49">
              <w:rPr>
                <w:rFonts w:cs="Arial"/>
                <w:szCs w:val="24"/>
              </w:rPr>
              <w:t>κ</w:t>
            </w:r>
            <w:r w:rsidR="00DB2097" w:rsidRPr="006B45E3">
              <w:rPr>
                <w:rFonts w:cs="Arial"/>
                <w:szCs w:val="24"/>
              </w:rPr>
              <w:t>ανονισμών καταργείται.</w:t>
            </w:r>
          </w:p>
          <w:p w14:paraId="4C7B3423" w14:textId="5D2A3B88" w:rsidR="00BC30AF" w:rsidRPr="00BC30AF" w:rsidRDefault="00BC30AF" w:rsidP="00DB2097">
            <w:pPr>
              <w:spacing w:line="480" w:lineRule="auto"/>
              <w:jc w:val="both"/>
              <w:rPr>
                <w:rFonts w:cs="Arial"/>
                <w:szCs w:val="24"/>
              </w:rPr>
            </w:pPr>
          </w:p>
        </w:tc>
      </w:tr>
    </w:tbl>
    <w:p w14:paraId="28637E62" w14:textId="3DE304FA" w:rsidR="00D60AF9" w:rsidRDefault="00D60AF9" w:rsidP="00EB1EA5">
      <w:pPr>
        <w:spacing w:line="480" w:lineRule="auto"/>
        <w:jc w:val="both"/>
        <w:rPr>
          <w:rFonts w:cs="Arial"/>
          <w:szCs w:val="24"/>
        </w:rPr>
      </w:pPr>
    </w:p>
    <w:p w14:paraId="4942C688" w14:textId="5E7589FE" w:rsidR="00EB1EA5" w:rsidRDefault="00EB1EA5" w:rsidP="00EB1EA5">
      <w:pPr>
        <w:spacing w:line="480" w:lineRule="auto"/>
        <w:jc w:val="both"/>
        <w:rPr>
          <w:rFonts w:cs="Arial"/>
          <w:szCs w:val="24"/>
        </w:rPr>
      </w:pPr>
    </w:p>
    <w:p w14:paraId="5E3BBA80" w14:textId="4EA418B5" w:rsidR="00EB1EA5" w:rsidRDefault="00EB1EA5" w:rsidP="00EB1EA5">
      <w:pPr>
        <w:spacing w:line="480" w:lineRule="auto"/>
        <w:jc w:val="both"/>
        <w:rPr>
          <w:rFonts w:cs="Arial"/>
          <w:szCs w:val="24"/>
        </w:rPr>
      </w:pPr>
    </w:p>
    <w:p w14:paraId="0854A96E" w14:textId="3FF861CB" w:rsidR="00EB1EA5" w:rsidRDefault="00EB1EA5" w:rsidP="00EB1EA5">
      <w:pPr>
        <w:spacing w:line="480" w:lineRule="auto"/>
        <w:jc w:val="both"/>
        <w:rPr>
          <w:rFonts w:cs="Arial"/>
          <w:szCs w:val="24"/>
        </w:rPr>
      </w:pPr>
    </w:p>
    <w:p w14:paraId="36CC794B" w14:textId="352A6545" w:rsidR="00EB1EA5" w:rsidRDefault="00EB1EA5" w:rsidP="00EB1EA5">
      <w:pPr>
        <w:spacing w:line="480" w:lineRule="auto"/>
        <w:jc w:val="both"/>
        <w:rPr>
          <w:rFonts w:cs="Arial"/>
          <w:szCs w:val="24"/>
        </w:rPr>
      </w:pPr>
    </w:p>
    <w:p w14:paraId="367BCDFA" w14:textId="0160F3AD" w:rsidR="00A13F49" w:rsidRDefault="00A13F49" w:rsidP="00EB1EA5">
      <w:pPr>
        <w:spacing w:line="480" w:lineRule="auto"/>
        <w:jc w:val="both"/>
        <w:rPr>
          <w:rFonts w:cs="Arial"/>
          <w:szCs w:val="24"/>
        </w:rPr>
      </w:pPr>
    </w:p>
    <w:p w14:paraId="7F70EED0" w14:textId="77777777" w:rsidR="00A13F49" w:rsidRDefault="00A13F49" w:rsidP="00EB1EA5">
      <w:pPr>
        <w:spacing w:line="480" w:lineRule="auto"/>
        <w:jc w:val="both"/>
        <w:rPr>
          <w:rFonts w:cs="Arial"/>
          <w:szCs w:val="24"/>
        </w:rPr>
      </w:pPr>
    </w:p>
    <w:p w14:paraId="71C695BD" w14:textId="658B11C3" w:rsidR="00EB1EA5" w:rsidRDefault="00EB1EA5" w:rsidP="00EB1EA5">
      <w:pPr>
        <w:spacing w:line="480" w:lineRule="auto"/>
        <w:jc w:val="both"/>
        <w:rPr>
          <w:rFonts w:cs="Arial"/>
          <w:szCs w:val="24"/>
        </w:rPr>
      </w:pPr>
    </w:p>
    <w:p w14:paraId="2335563C" w14:textId="45696ECF" w:rsidR="00EB1EA5" w:rsidRPr="00EB1EA5" w:rsidRDefault="00EB1EA5" w:rsidP="00EB1EA5">
      <w:pPr>
        <w:spacing w:line="480" w:lineRule="auto"/>
        <w:jc w:val="both"/>
        <w:rPr>
          <w:rFonts w:cs="Arial"/>
          <w:sz w:val="18"/>
          <w:szCs w:val="18"/>
        </w:rPr>
      </w:pPr>
      <w:r w:rsidRPr="00EB1EA5">
        <w:rPr>
          <w:rFonts w:cs="Arial"/>
          <w:sz w:val="18"/>
          <w:szCs w:val="18"/>
        </w:rPr>
        <w:t>/ΚΚ  ο περί αλλοδαπών και μεταναστεύσεως νόμος 8 Φεβρουαρίου 2022</w:t>
      </w:r>
    </w:p>
    <w:sectPr w:rsidR="00EB1EA5" w:rsidRPr="00EB1EA5" w:rsidSect="00EB1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0FA9" w14:textId="77777777" w:rsidR="00203D18" w:rsidRDefault="00203D18">
      <w:r>
        <w:separator/>
      </w:r>
    </w:p>
  </w:endnote>
  <w:endnote w:type="continuationSeparator" w:id="0">
    <w:p w14:paraId="5A220EB2" w14:textId="77777777" w:rsidR="00203D18" w:rsidRDefault="0020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1995" w14:textId="77777777" w:rsidR="00F213EC" w:rsidRDefault="00F21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D4BC" w14:textId="77777777" w:rsidR="00F213EC" w:rsidRDefault="00F21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2439" w14:textId="77777777" w:rsidR="00F213EC" w:rsidRDefault="00F21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1D34" w14:textId="77777777" w:rsidR="00203D18" w:rsidRDefault="00203D18">
      <w:r>
        <w:separator/>
      </w:r>
    </w:p>
  </w:footnote>
  <w:footnote w:type="continuationSeparator" w:id="0">
    <w:p w14:paraId="52701EE7" w14:textId="77777777" w:rsidR="00203D18" w:rsidRDefault="0020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6EBC" w14:textId="77777777" w:rsidR="007F7F94" w:rsidRDefault="005B7A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7F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F94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4A414B6" w14:textId="77777777" w:rsidR="007F7F94" w:rsidRDefault="007F7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E771" w14:textId="655190A8" w:rsidR="007F7F94" w:rsidRDefault="005B7A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7F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F49">
      <w:rPr>
        <w:rStyle w:val="PageNumber"/>
        <w:noProof/>
      </w:rPr>
      <w:t>7</w:t>
    </w:r>
    <w:r>
      <w:rPr>
        <w:rStyle w:val="PageNumber"/>
      </w:rPr>
      <w:fldChar w:fldCharType="end"/>
    </w:r>
  </w:p>
  <w:p w14:paraId="57458C8D" w14:textId="77777777" w:rsidR="007F7F94" w:rsidRDefault="007F7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C81D" w14:textId="4036E5DE" w:rsidR="00F213EC" w:rsidRDefault="00F21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BA7"/>
    <w:multiLevelType w:val="singleLevel"/>
    <w:tmpl w:val="B8145B0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255AFA"/>
    <w:multiLevelType w:val="hybridMultilevel"/>
    <w:tmpl w:val="E1C4C7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0FF8"/>
    <w:multiLevelType w:val="singleLevel"/>
    <w:tmpl w:val="ABC4167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25"/>
      </w:pPr>
      <w:rPr>
        <w:rFonts w:hint="default"/>
      </w:rPr>
    </w:lvl>
  </w:abstractNum>
  <w:abstractNum w:abstractNumId="3" w15:restartNumberingAfterBreak="0">
    <w:nsid w:val="050A7DBC"/>
    <w:multiLevelType w:val="hybridMultilevel"/>
    <w:tmpl w:val="9224D3E6"/>
    <w:lvl w:ilvl="0" w:tplc="E0885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219C"/>
    <w:multiLevelType w:val="hybridMultilevel"/>
    <w:tmpl w:val="012406E2"/>
    <w:lvl w:ilvl="0" w:tplc="F8B6E63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B2124"/>
    <w:multiLevelType w:val="singleLevel"/>
    <w:tmpl w:val="2738DA7E"/>
    <w:lvl w:ilvl="0">
      <w:start w:val="4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6" w15:restartNumberingAfterBreak="0">
    <w:nsid w:val="0C930841"/>
    <w:multiLevelType w:val="singleLevel"/>
    <w:tmpl w:val="8E32A47C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525"/>
      </w:pPr>
      <w:rPr>
        <w:rFonts w:hint="default"/>
      </w:rPr>
    </w:lvl>
  </w:abstractNum>
  <w:abstractNum w:abstractNumId="7" w15:restartNumberingAfterBreak="0">
    <w:nsid w:val="0C9C6EEC"/>
    <w:multiLevelType w:val="singleLevel"/>
    <w:tmpl w:val="349CCEA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25"/>
      </w:pPr>
      <w:rPr>
        <w:rFonts w:hint="default"/>
      </w:rPr>
    </w:lvl>
  </w:abstractNum>
  <w:abstractNum w:abstractNumId="8" w15:restartNumberingAfterBreak="0">
    <w:nsid w:val="0EB44174"/>
    <w:multiLevelType w:val="hybridMultilevel"/>
    <w:tmpl w:val="A67A1B04"/>
    <w:lvl w:ilvl="0" w:tplc="7D4ADC5C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A52786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36A1"/>
    <w:multiLevelType w:val="hybridMultilevel"/>
    <w:tmpl w:val="DD50C45E"/>
    <w:lvl w:ilvl="0" w:tplc="35D0D1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35AE7"/>
    <w:multiLevelType w:val="hybridMultilevel"/>
    <w:tmpl w:val="5FC8E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00324"/>
    <w:multiLevelType w:val="hybridMultilevel"/>
    <w:tmpl w:val="87CE5880"/>
    <w:lvl w:ilvl="0" w:tplc="55E0D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CDE"/>
    <w:multiLevelType w:val="multilevel"/>
    <w:tmpl w:val="C160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50F2B"/>
    <w:multiLevelType w:val="hybridMultilevel"/>
    <w:tmpl w:val="CBFC386C"/>
    <w:lvl w:ilvl="0" w:tplc="F6DCF89A">
      <w:start w:val="1"/>
      <w:numFmt w:val="lowerRoman"/>
      <w:lvlText w:val="(%1)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414DD"/>
    <w:multiLevelType w:val="hybridMultilevel"/>
    <w:tmpl w:val="4D78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3709C"/>
    <w:multiLevelType w:val="hybridMultilevel"/>
    <w:tmpl w:val="D152F386"/>
    <w:lvl w:ilvl="0" w:tplc="FFFC2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8788C"/>
    <w:multiLevelType w:val="singleLevel"/>
    <w:tmpl w:val="C65AF1C6"/>
    <w:lvl w:ilvl="0">
      <w:start w:val="4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1B66349"/>
    <w:multiLevelType w:val="hybridMultilevel"/>
    <w:tmpl w:val="746CF0FE"/>
    <w:lvl w:ilvl="0" w:tplc="EC66BE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D18FC"/>
    <w:multiLevelType w:val="multilevel"/>
    <w:tmpl w:val="4F8A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2D62D8"/>
    <w:multiLevelType w:val="hybridMultilevel"/>
    <w:tmpl w:val="34D4F6EE"/>
    <w:lvl w:ilvl="0" w:tplc="3ED4A5B8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427958E1"/>
    <w:multiLevelType w:val="hybridMultilevel"/>
    <w:tmpl w:val="5B821D2E"/>
    <w:lvl w:ilvl="0" w:tplc="AE42D1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30CF0"/>
    <w:multiLevelType w:val="singleLevel"/>
    <w:tmpl w:val="309072C2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563B4D20"/>
    <w:multiLevelType w:val="hybridMultilevel"/>
    <w:tmpl w:val="C0B67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56645"/>
    <w:multiLevelType w:val="hybridMultilevel"/>
    <w:tmpl w:val="78D2A1F4"/>
    <w:lvl w:ilvl="0" w:tplc="62D2A79C">
      <w:start w:val="49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4" w15:restartNumberingAfterBreak="0">
    <w:nsid w:val="62715BAB"/>
    <w:multiLevelType w:val="hybridMultilevel"/>
    <w:tmpl w:val="E5DC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146C"/>
    <w:multiLevelType w:val="hybridMultilevel"/>
    <w:tmpl w:val="4DE83400"/>
    <w:lvl w:ilvl="0" w:tplc="9E4E8EDE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64240C1B"/>
    <w:multiLevelType w:val="hybridMultilevel"/>
    <w:tmpl w:val="DAA81264"/>
    <w:lvl w:ilvl="0" w:tplc="30A8E22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3B202F"/>
    <w:multiLevelType w:val="hybridMultilevel"/>
    <w:tmpl w:val="76367E20"/>
    <w:lvl w:ilvl="0" w:tplc="405A209C">
      <w:start w:val="3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114426"/>
    <w:multiLevelType w:val="hybridMultilevel"/>
    <w:tmpl w:val="E400984A"/>
    <w:lvl w:ilvl="0" w:tplc="5E12709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574DC"/>
    <w:multiLevelType w:val="hybridMultilevel"/>
    <w:tmpl w:val="34D4F6EE"/>
    <w:lvl w:ilvl="0" w:tplc="3ED4A5B8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71BB7125"/>
    <w:multiLevelType w:val="singleLevel"/>
    <w:tmpl w:val="E562753C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525"/>
      </w:pPr>
      <w:rPr>
        <w:rFonts w:hint="default"/>
      </w:rPr>
    </w:lvl>
  </w:abstractNum>
  <w:abstractNum w:abstractNumId="31" w15:restartNumberingAfterBreak="0">
    <w:nsid w:val="745C4EC6"/>
    <w:multiLevelType w:val="singleLevel"/>
    <w:tmpl w:val="AE38145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437127"/>
    <w:multiLevelType w:val="singleLevel"/>
    <w:tmpl w:val="496E583E"/>
    <w:lvl w:ilvl="0">
      <w:start w:val="2"/>
      <w:numFmt w:val="decimal"/>
      <w:lvlText w:val="(%1)"/>
      <w:lvlJc w:val="left"/>
      <w:pPr>
        <w:tabs>
          <w:tab w:val="num" w:pos="750"/>
        </w:tabs>
        <w:ind w:left="750" w:hanging="555"/>
      </w:pPr>
      <w:rPr>
        <w:rFonts w:hint="default"/>
      </w:rPr>
    </w:lvl>
  </w:abstractNum>
  <w:abstractNum w:abstractNumId="33" w15:restartNumberingAfterBreak="0">
    <w:nsid w:val="79CC620B"/>
    <w:multiLevelType w:val="singleLevel"/>
    <w:tmpl w:val="2C4AA15E"/>
    <w:lvl w:ilvl="0">
      <w:start w:val="4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34" w15:restartNumberingAfterBreak="0">
    <w:nsid w:val="7B1D52A0"/>
    <w:multiLevelType w:val="hybridMultilevel"/>
    <w:tmpl w:val="8F52D19E"/>
    <w:lvl w:ilvl="0" w:tplc="0A9C81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4E27"/>
    <w:multiLevelType w:val="hybridMultilevel"/>
    <w:tmpl w:val="DA1A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2"/>
  </w:num>
  <w:num w:numId="4">
    <w:abstractNumId w:val="3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1"/>
  </w:num>
  <w:num w:numId="10">
    <w:abstractNumId w:val="16"/>
  </w:num>
  <w:num w:numId="11">
    <w:abstractNumId w:val="21"/>
  </w:num>
  <w:num w:numId="12">
    <w:abstractNumId w:val="26"/>
  </w:num>
  <w:num w:numId="13">
    <w:abstractNumId w:val="10"/>
  </w:num>
  <w:num w:numId="14">
    <w:abstractNumId w:val="23"/>
  </w:num>
  <w:num w:numId="15">
    <w:abstractNumId w:val="27"/>
  </w:num>
  <w:num w:numId="16">
    <w:abstractNumId w:val="8"/>
  </w:num>
  <w:num w:numId="17">
    <w:abstractNumId w:val="13"/>
  </w:num>
  <w:num w:numId="18">
    <w:abstractNumId w:val="25"/>
  </w:num>
  <w:num w:numId="19">
    <w:abstractNumId w:val="24"/>
  </w:num>
  <w:num w:numId="20">
    <w:abstractNumId w:val="11"/>
  </w:num>
  <w:num w:numId="21">
    <w:abstractNumId w:val="14"/>
  </w:num>
  <w:num w:numId="22">
    <w:abstractNumId w:val="35"/>
  </w:num>
  <w:num w:numId="23">
    <w:abstractNumId w:val="4"/>
  </w:num>
  <w:num w:numId="24">
    <w:abstractNumId w:val="18"/>
  </w:num>
  <w:num w:numId="25">
    <w:abstractNumId w:val="28"/>
  </w:num>
  <w:num w:numId="26">
    <w:abstractNumId w:val="20"/>
  </w:num>
  <w:num w:numId="27">
    <w:abstractNumId w:val="34"/>
  </w:num>
  <w:num w:numId="28">
    <w:abstractNumId w:val="19"/>
  </w:num>
  <w:num w:numId="29">
    <w:abstractNumId w:val="29"/>
  </w:num>
  <w:num w:numId="30">
    <w:abstractNumId w:val="17"/>
  </w:num>
  <w:num w:numId="31">
    <w:abstractNumId w:val="3"/>
  </w:num>
  <w:num w:numId="32">
    <w:abstractNumId w:val="1"/>
  </w:num>
  <w:num w:numId="33">
    <w:abstractNumId w:val="9"/>
  </w:num>
  <w:num w:numId="34">
    <w:abstractNumId w:val="22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26"/>
    <w:rsid w:val="0000047E"/>
    <w:rsid w:val="00000C4E"/>
    <w:rsid w:val="00002024"/>
    <w:rsid w:val="0000313D"/>
    <w:rsid w:val="00004CA2"/>
    <w:rsid w:val="00006967"/>
    <w:rsid w:val="000104AA"/>
    <w:rsid w:val="000126B1"/>
    <w:rsid w:val="000139F3"/>
    <w:rsid w:val="00016F58"/>
    <w:rsid w:val="00020943"/>
    <w:rsid w:val="00021352"/>
    <w:rsid w:val="00021F39"/>
    <w:rsid w:val="00021F7E"/>
    <w:rsid w:val="00023110"/>
    <w:rsid w:val="00023548"/>
    <w:rsid w:val="00024756"/>
    <w:rsid w:val="00024EC5"/>
    <w:rsid w:val="00034132"/>
    <w:rsid w:val="00036410"/>
    <w:rsid w:val="00036AA9"/>
    <w:rsid w:val="00037DD8"/>
    <w:rsid w:val="00037FC9"/>
    <w:rsid w:val="000418B6"/>
    <w:rsid w:val="00041B43"/>
    <w:rsid w:val="000424BA"/>
    <w:rsid w:val="000428E0"/>
    <w:rsid w:val="00042B93"/>
    <w:rsid w:val="00044E38"/>
    <w:rsid w:val="0004532D"/>
    <w:rsid w:val="00052754"/>
    <w:rsid w:val="0005298B"/>
    <w:rsid w:val="00053C77"/>
    <w:rsid w:val="00057872"/>
    <w:rsid w:val="00061707"/>
    <w:rsid w:val="00063A72"/>
    <w:rsid w:val="00064A82"/>
    <w:rsid w:val="00066171"/>
    <w:rsid w:val="00067847"/>
    <w:rsid w:val="000711E9"/>
    <w:rsid w:val="00071EC2"/>
    <w:rsid w:val="000751D3"/>
    <w:rsid w:val="00075402"/>
    <w:rsid w:val="000759A5"/>
    <w:rsid w:val="00075C8A"/>
    <w:rsid w:val="00075DCC"/>
    <w:rsid w:val="00077ADF"/>
    <w:rsid w:val="00077B22"/>
    <w:rsid w:val="00077E64"/>
    <w:rsid w:val="000807C9"/>
    <w:rsid w:val="00080F24"/>
    <w:rsid w:val="00081C7C"/>
    <w:rsid w:val="000869C6"/>
    <w:rsid w:val="0008745E"/>
    <w:rsid w:val="0009055E"/>
    <w:rsid w:val="00095B4F"/>
    <w:rsid w:val="000A1CB1"/>
    <w:rsid w:val="000A270B"/>
    <w:rsid w:val="000A2746"/>
    <w:rsid w:val="000A32B3"/>
    <w:rsid w:val="000A505F"/>
    <w:rsid w:val="000A5312"/>
    <w:rsid w:val="000A7B31"/>
    <w:rsid w:val="000B4113"/>
    <w:rsid w:val="000B49CD"/>
    <w:rsid w:val="000B5157"/>
    <w:rsid w:val="000B5F41"/>
    <w:rsid w:val="000C099E"/>
    <w:rsid w:val="000C1E11"/>
    <w:rsid w:val="000C558D"/>
    <w:rsid w:val="000C61E9"/>
    <w:rsid w:val="000C6D1F"/>
    <w:rsid w:val="000C765D"/>
    <w:rsid w:val="000C78CA"/>
    <w:rsid w:val="000D1D90"/>
    <w:rsid w:val="000D3B17"/>
    <w:rsid w:val="000D7862"/>
    <w:rsid w:val="000D7EE8"/>
    <w:rsid w:val="000E059A"/>
    <w:rsid w:val="000E25D4"/>
    <w:rsid w:val="000E762F"/>
    <w:rsid w:val="000E7661"/>
    <w:rsid w:val="000F1904"/>
    <w:rsid w:val="000F26B7"/>
    <w:rsid w:val="000F2AC1"/>
    <w:rsid w:val="000F5286"/>
    <w:rsid w:val="000F591D"/>
    <w:rsid w:val="000F62F5"/>
    <w:rsid w:val="000F6D63"/>
    <w:rsid w:val="0010055E"/>
    <w:rsid w:val="00112F33"/>
    <w:rsid w:val="0011326D"/>
    <w:rsid w:val="001135C4"/>
    <w:rsid w:val="001141FD"/>
    <w:rsid w:val="00116AD9"/>
    <w:rsid w:val="00117C1B"/>
    <w:rsid w:val="001211AC"/>
    <w:rsid w:val="00121E1F"/>
    <w:rsid w:val="00123221"/>
    <w:rsid w:val="0012452F"/>
    <w:rsid w:val="00126AA4"/>
    <w:rsid w:val="001279B7"/>
    <w:rsid w:val="001368E7"/>
    <w:rsid w:val="00142668"/>
    <w:rsid w:val="0014324A"/>
    <w:rsid w:val="001455C5"/>
    <w:rsid w:val="001460FD"/>
    <w:rsid w:val="001520B4"/>
    <w:rsid w:val="00153BA4"/>
    <w:rsid w:val="00160CF3"/>
    <w:rsid w:val="001618E6"/>
    <w:rsid w:val="00162D84"/>
    <w:rsid w:val="00165FE0"/>
    <w:rsid w:val="001667D9"/>
    <w:rsid w:val="001669C5"/>
    <w:rsid w:val="00166EDC"/>
    <w:rsid w:val="001778F6"/>
    <w:rsid w:val="00180AC2"/>
    <w:rsid w:val="001814A9"/>
    <w:rsid w:val="00183518"/>
    <w:rsid w:val="00184334"/>
    <w:rsid w:val="00186019"/>
    <w:rsid w:val="00186456"/>
    <w:rsid w:val="001938E3"/>
    <w:rsid w:val="00193D63"/>
    <w:rsid w:val="001940C9"/>
    <w:rsid w:val="00197166"/>
    <w:rsid w:val="00197440"/>
    <w:rsid w:val="001A44B1"/>
    <w:rsid w:val="001B04E7"/>
    <w:rsid w:val="001B0D3F"/>
    <w:rsid w:val="001B127D"/>
    <w:rsid w:val="001B223D"/>
    <w:rsid w:val="001B2964"/>
    <w:rsid w:val="001B536F"/>
    <w:rsid w:val="001B544E"/>
    <w:rsid w:val="001B5D4F"/>
    <w:rsid w:val="001C0989"/>
    <w:rsid w:val="001C52F4"/>
    <w:rsid w:val="001D1FFD"/>
    <w:rsid w:val="001D2C12"/>
    <w:rsid w:val="001D4498"/>
    <w:rsid w:val="001D60E2"/>
    <w:rsid w:val="001D7AA0"/>
    <w:rsid w:val="001E2BF0"/>
    <w:rsid w:val="001E2CA4"/>
    <w:rsid w:val="001E3586"/>
    <w:rsid w:val="001E39AA"/>
    <w:rsid w:val="001E48F3"/>
    <w:rsid w:val="001E60A4"/>
    <w:rsid w:val="001E67CD"/>
    <w:rsid w:val="001E7A1A"/>
    <w:rsid w:val="001F05C9"/>
    <w:rsid w:val="001F1AB8"/>
    <w:rsid w:val="001F55FB"/>
    <w:rsid w:val="001F5C3E"/>
    <w:rsid w:val="00200495"/>
    <w:rsid w:val="002015A5"/>
    <w:rsid w:val="00201F6D"/>
    <w:rsid w:val="00203D18"/>
    <w:rsid w:val="00204D9D"/>
    <w:rsid w:val="0020546C"/>
    <w:rsid w:val="00205E35"/>
    <w:rsid w:val="0020728E"/>
    <w:rsid w:val="00211E80"/>
    <w:rsid w:val="00212842"/>
    <w:rsid w:val="00215567"/>
    <w:rsid w:val="002157C3"/>
    <w:rsid w:val="0021598D"/>
    <w:rsid w:val="00215B9D"/>
    <w:rsid w:val="00215D50"/>
    <w:rsid w:val="002160D1"/>
    <w:rsid w:val="00216D8C"/>
    <w:rsid w:val="00221383"/>
    <w:rsid w:val="00223096"/>
    <w:rsid w:val="00225618"/>
    <w:rsid w:val="00226147"/>
    <w:rsid w:val="002265B2"/>
    <w:rsid w:val="00233C89"/>
    <w:rsid w:val="00233E07"/>
    <w:rsid w:val="002347D6"/>
    <w:rsid w:val="002358C4"/>
    <w:rsid w:val="00237D28"/>
    <w:rsid w:val="00240894"/>
    <w:rsid w:val="0024090E"/>
    <w:rsid w:val="00243FC1"/>
    <w:rsid w:val="00244FD4"/>
    <w:rsid w:val="00250CCE"/>
    <w:rsid w:val="00256B14"/>
    <w:rsid w:val="00256B77"/>
    <w:rsid w:val="00257875"/>
    <w:rsid w:val="00260347"/>
    <w:rsid w:val="00262789"/>
    <w:rsid w:val="00263651"/>
    <w:rsid w:val="00264E8A"/>
    <w:rsid w:val="002659C1"/>
    <w:rsid w:val="00265D8D"/>
    <w:rsid w:val="00266479"/>
    <w:rsid w:val="00270811"/>
    <w:rsid w:val="00270E3D"/>
    <w:rsid w:val="002717FD"/>
    <w:rsid w:val="00271BB8"/>
    <w:rsid w:val="00272215"/>
    <w:rsid w:val="00272986"/>
    <w:rsid w:val="00273AF2"/>
    <w:rsid w:val="00275093"/>
    <w:rsid w:val="00275B81"/>
    <w:rsid w:val="002760BB"/>
    <w:rsid w:val="00276102"/>
    <w:rsid w:val="00276BFC"/>
    <w:rsid w:val="00277A18"/>
    <w:rsid w:val="00281870"/>
    <w:rsid w:val="00282A00"/>
    <w:rsid w:val="0028660D"/>
    <w:rsid w:val="00287ED9"/>
    <w:rsid w:val="002911D5"/>
    <w:rsid w:val="0029159E"/>
    <w:rsid w:val="002923A1"/>
    <w:rsid w:val="0029276B"/>
    <w:rsid w:val="00292894"/>
    <w:rsid w:val="00293329"/>
    <w:rsid w:val="00293928"/>
    <w:rsid w:val="00294F7E"/>
    <w:rsid w:val="00295132"/>
    <w:rsid w:val="002957A8"/>
    <w:rsid w:val="00297673"/>
    <w:rsid w:val="002A4B60"/>
    <w:rsid w:val="002A4CF3"/>
    <w:rsid w:val="002A6156"/>
    <w:rsid w:val="002A6DCD"/>
    <w:rsid w:val="002B0646"/>
    <w:rsid w:val="002B2ADA"/>
    <w:rsid w:val="002B4E13"/>
    <w:rsid w:val="002C18BB"/>
    <w:rsid w:val="002C247D"/>
    <w:rsid w:val="002C27D7"/>
    <w:rsid w:val="002C573F"/>
    <w:rsid w:val="002C62A3"/>
    <w:rsid w:val="002C66CA"/>
    <w:rsid w:val="002C72DA"/>
    <w:rsid w:val="002D01A7"/>
    <w:rsid w:val="002D1503"/>
    <w:rsid w:val="002D2596"/>
    <w:rsid w:val="002D61BB"/>
    <w:rsid w:val="002D61C8"/>
    <w:rsid w:val="002D6832"/>
    <w:rsid w:val="002D79D5"/>
    <w:rsid w:val="002E291D"/>
    <w:rsid w:val="002E503D"/>
    <w:rsid w:val="002E7AB9"/>
    <w:rsid w:val="002F0C8A"/>
    <w:rsid w:val="002F2C5A"/>
    <w:rsid w:val="002F5645"/>
    <w:rsid w:val="002F63CF"/>
    <w:rsid w:val="002F699C"/>
    <w:rsid w:val="002F6A32"/>
    <w:rsid w:val="003001ED"/>
    <w:rsid w:val="00300966"/>
    <w:rsid w:val="00301E1C"/>
    <w:rsid w:val="003042CE"/>
    <w:rsid w:val="0030456F"/>
    <w:rsid w:val="0030731A"/>
    <w:rsid w:val="00307E31"/>
    <w:rsid w:val="00307E3C"/>
    <w:rsid w:val="00312646"/>
    <w:rsid w:val="0031290D"/>
    <w:rsid w:val="0031381C"/>
    <w:rsid w:val="00314372"/>
    <w:rsid w:val="0031445A"/>
    <w:rsid w:val="0031579B"/>
    <w:rsid w:val="00315E6F"/>
    <w:rsid w:val="00317BE7"/>
    <w:rsid w:val="00317C0A"/>
    <w:rsid w:val="00324EBA"/>
    <w:rsid w:val="00325745"/>
    <w:rsid w:val="00332C82"/>
    <w:rsid w:val="00333165"/>
    <w:rsid w:val="00334C5E"/>
    <w:rsid w:val="00336123"/>
    <w:rsid w:val="00341321"/>
    <w:rsid w:val="00342AD7"/>
    <w:rsid w:val="0034340E"/>
    <w:rsid w:val="0034523C"/>
    <w:rsid w:val="0034531D"/>
    <w:rsid w:val="003455FE"/>
    <w:rsid w:val="003515F2"/>
    <w:rsid w:val="0035394D"/>
    <w:rsid w:val="00357CF6"/>
    <w:rsid w:val="00365C1B"/>
    <w:rsid w:val="00370895"/>
    <w:rsid w:val="00382669"/>
    <w:rsid w:val="00382BCE"/>
    <w:rsid w:val="00382D0C"/>
    <w:rsid w:val="003848DE"/>
    <w:rsid w:val="003850AF"/>
    <w:rsid w:val="00385AC7"/>
    <w:rsid w:val="00386F4E"/>
    <w:rsid w:val="00387240"/>
    <w:rsid w:val="003877AA"/>
    <w:rsid w:val="003915BA"/>
    <w:rsid w:val="00391E74"/>
    <w:rsid w:val="003946C4"/>
    <w:rsid w:val="00396634"/>
    <w:rsid w:val="00396F40"/>
    <w:rsid w:val="003A2866"/>
    <w:rsid w:val="003A35A6"/>
    <w:rsid w:val="003A4EDC"/>
    <w:rsid w:val="003A669C"/>
    <w:rsid w:val="003A6B03"/>
    <w:rsid w:val="003A6B33"/>
    <w:rsid w:val="003A724B"/>
    <w:rsid w:val="003A74CC"/>
    <w:rsid w:val="003B186F"/>
    <w:rsid w:val="003C08AD"/>
    <w:rsid w:val="003C0C18"/>
    <w:rsid w:val="003C0E84"/>
    <w:rsid w:val="003C52E5"/>
    <w:rsid w:val="003C6A43"/>
    <w:rsid w:val="003C7964"/>
    <w:rsid w:val="003C7A55"/>
    <w:rsid w:val="003C7DB9"/>
    <w:rsid w:val="003D0110"/>
    <w:rsid w:val="003D0694"/>
    <w:rsid w:val="003D2DD5"/>
    <w:rsid w:val="003D3AF3"/>
    <w:rsid w:val="003D4430"/>
    <w:rsid w:val="003D6FA8"/>
    <w:rsid w:val="003D7658"/>
    <w:rsid w:val="003D7BE5"/>
    <w:rsid w:val="003E11B1"/>
    <w:rsid w:val="003E2115"/>
    <w:rsid w:val="003E43F6"/>
    <w:rsid w:val="003E635B"/>
    <w:rsid w:val="003E647F"/>
    <w:rsid w:val="003E69A3"/>
    <w:rsid w:val="003E768A"/>
    <w:rsid w:val="003F0647"/>
    <w:rsid w:val="003F231C"/>
    <w:rsid w:val="003F25B0"/>
    <w:rsid w:val="003F3A32"/>
    <w:rsid w:val="003F48F6"/>
    <w:rsid w:val="00400CF6"/>
    <w:rsid w:val="00402708"/>
    <w:rsid w:val="004036DC"/>
    <w:rsid w:val="004040CF"/>
    <w:rsid w:val="0040610A"/>
    <w:rsid w:val="00411DB1"/>
    <w:rsid w:val="00412294"/>
    <w:rsid w:val="00414158"/>
    <w:rsid w:val="004143F8"/>
    <w:rsid w:val="00415B62"/>
    <w:rsid w:val="00416F0A"/>
    <w:rsid w:val="00417D0F"/>
    <w:rsid w:val="0042157B"/>
    <w:rsid w:val="00423330"/>
    <w:rsid w:val="00424EB0"/>
    <w:rsid w:val="00424F0F"/>
    <w:rsid w:val="00425815"/>
    <w:rsid w:val="004279D1"/>
    <w:rsid w:val="00427EFC"/>
    <w:rsid w:val="004325F0"/>
    <w:rsid w:val="00433B31"/>
    <w:rsid w:val="00436151"/>
    <w:rsid w:val="004410F9"/>
    <w:rsid w:val="00442202"/>
    <w:rsid w:val="0044449C"/>
    <w:rsid w:val="004444C7"/>
    <w:rsid w:val="00451963"/>
    <w:rsid w:val="0045378B"/>
    <w:rsid w:val="00453C50"/>
    <w:rsid w:val="00454771"/>
    <w:rsid w:val="00455D7B"/>
    <w:rsid w:val="00461F98"/>
    <w:rsid w:val="00465BFD"/>
    <w:rsid w:val="004666D9"/>
    <w:rsid w:val="0046697E"/>
    <w:rsid w:val="00470F8E"/>
    <w:rsid w:val="00473083"/>
    <w:rsid w:val="00474EFB"/>
    <w:rsid w:val="00475CF1"/>
    <w:rsid w:val="00477BA4"/>
    <w:rsid w:val="00480D69"/>
    <w:rsid w:val="00481170"/>
    <w:rsid w:val="004815BF"/>
    <w:rsid w:val="00481C8F"/>
    <w:rsid w:val="0048479A"/>
    <w:rsid w:val="004861CA"/>
    <w:rsid w:val="00486F9D"/>
    <w:rsid w:val="0048727F"/>
    <w:rsid w:val="00487742"/>
    <w:rsid w:val="00487E49"/>
    <w:rsid w:val="0049099E"/>
    <w:rsid w:val="004952B8"/>
    <w:rsid w:val="004A10CD"/>
    <w:rsid w:val="004A28E1"/>
    <w:rsid w:val="004A31F9"/>
    <w:rsid w:val="004B09FF"/>
    <w:rsid w:val="004B1978"/>
    <w:rsid w:val="004B26C9"/>
    <w:rsid w:val="004B2C50"/>
    <w:rsid w:val="004B2D27"/>
    <w:rsid w:val="004B40BC"/>
    <w:rsid w:val="004B4232"/>
    <w:rsid w:val="004B5296"/>
    <w:rsid w:val="004B601C"/>
    <w:rsid w:val="004C0789"/>
    <w:rsid w:val="004C2389"/>
    <w:rsid w:val="004C485A"/>
    <w:rsid w:val="004C6B88"/>
    <w:rsid w:val="004C7028"/>
    <w:rsid w:val="004C79F8"/>
    <w:rsid w:val="004D1380"/>
    <w:rsid w:val="004D143A"/>
    <w:rsid w:val="004D2EF3"/>
    <w:rsid w:val="004D59E7"/>
    <w:rsid w:val="004D788B"/>
    <w:rsid w:val="004E0138"/>
    <w:rsid w:val="004E12C6"/>
    <w:rsid w:val="004E2BE7"/>
    <w:rsid w:val="004E6301"/>
    <w:rsid w:val="004F5B48"/>
    <w:rsid w:val="004F5FFE"/>
    <w:rsid w:val="004F65B8"/>
    <w:rsid w:val="0050376D"/>
    <w:rsid w:val="00503C29"/>
    <w:rsid w:val="00504DF4"/>
    <w:rsid w:val="005060BA"/>
    <w:rsid w:val="005061D4"/>
    <w:rsid w:val="005066BA"/>
    <w:rsid w:val="00506A1E"/>
    <w:rsid w:val="00507156"/>
    <w:rsid w:val="00511AF8"/>
    <w:rsid w:val="005124C0"/>
    <w:rsid w:val="00512FEB"/>
    <w:rsid w:val="00514F2C"/>
    <w:rsid w:val="00515D4A"/>
    <w:rsid w:val="00516024"/>
    <w:rsid w:val="00517FA3"/>
    <w:rsid w:val="00522615"/>
    <w:rsid w:val="005257AD"/>
    <w:rsid w:val="00525925"/>
    <w:rsid w:val="00526475"/>
    <w:rsid w:val="005275D3"/>
    <w:rsid w:val="00527D26"/>
    <w:rsid w:val="005328B2"/>
    <w:rsid w:val="00535E9E"/>
    <w:rsid w:val="005364CA"/>
    <w:rsid w:val="005368DD"/>
    <w:rsid w:val="00537531"/>
    <w:rsid w:val="00542929"/>
    <w:rsid w:val="00542C12"/>
    <w:rsid w:val="0054614D"/>
    <w:rsid w:val="005538A2"/>
    <w:rsid w:val="00553A95"/>
    <w:rsid w:val="0055452C"/>
    <w:rsid w:val="00555121"/>
    <w:rsid w:val="0055632F"/>
    <w:rsid w:val="0055781F"/>
    <w:rsid w:val="005601E7"/>
    <w:rsid w:val="00560B5A"/>
    <w:rsid w:val="0056208A"/>
    <w:rsid w:val="005641B6"/>
    <w:rsid w:val="00564AFC"/>
    <w:rsid w:val="0056624D"/>
    <w:rsid w:val="00567405"/>
    <w:rsid w:val="00567519"/>
    <w:rsid w:val="005725A1"/>
    <w:rsid w:val="00573E91"/>
    <w:rsid w:val="005746D5"/>
    <w:rsid w:val="005750B4"/>
    <w:rsid w:val="00577303"/>
    <w:rsid w:val="0057746C"/>
    <w:rsid w:val="0057751E"/>
    <w:rsid w:val="00577C7A"/>
    <w:rsid w:val="005801AB"/>
    <w:rsid w:val="00583A26"/>
    <w:rsid w:val="00586A37"/>
    <w:rsid w:val="00593F89"/>
    <w:rsid w:val="00595947"/>
    <w:rsid w:val="005A04BA"/>
    <w:rsid w:val="005A1174"/>
    <w:rsid w:val="005A18E4"/>
    <w:rsid w:val="005A2914"/>
    <w:rsid w:val="005A32B9"/>
    <w:rsid w:val="005A3D09"/>
    <w:rsid w:val="005A6D4F"/>
    <w:rsid w:val="005A7417"/>
    <w:rsid w:val="005A75D3"/>
    <w:rsid w:val="005B0C19"/>
    <w:rsid w:val="005B2310"/>
    <w:rsid w:val="005B34D5"/>
    <w:rsid w:val="005B3E28"/>
    <w:rsid w:val="005B4D90"/>
    <w:rsid w:val="005B7A63"/>
    <w:rsid w:val="005C16CC"/>
    <w:rsid w:val="005C1B0E"/>
    <w:rsid w:val="005C2159"/>
    <w:rsid w:val="005C2BEE"/>
    <w:rsid w:val="005C3870"/>
    <w:rsid w:val="005C5BA7"/>
    <w:rsid w:val="005C5D90"/>
    <w:rsid w:val="005C7609"/>
    <w:rsid w:val="005D08D9"/>
    <w:rsid w:val="005D0B24"/>
    <w:rsid w:val="005D5516"/>
    <w:rsid w:val="005E07A6"/>
    <w:rsid w:val="005E0D51"/>
    <w:rsid w:val="005E448C"/>
    <w:rsid w:val="005E72B8"/>
    <w:rsid w:val="005F19DE"/>
    <w:rsid w:val="005F4B19"/>
    <w:rsid w:val="00600262"/>
    <w:rsid w:val="00600AC5"/>
    <w:rsid w:val="00604B56"/>
    <w:rsid w:val="00606960"/>
    <w:rsid w:val="00611676"/>
    <w:rsid w:val="006132A3"/>
    <w:rsid w:val="006143E1"/>
    <w:rsid w:val="00614773"/>
    <w:rsid w:val="006150FC"/>
    <w:rsid w:val="00616001"/>
    <w:rsid w:val="00617164"/>
    <w:rsid w:val="00623779"/>
    <w:rsid w:val="00624045"/>
    <w:rsid w:val="0062451F"/>
    <w:rsid w:val="0062476B"/>
    <w:rsid w:val="006257C6"/>
    <w:rsid w:val="00627236"/>
    <w:rsid w:val="006410A8"/>
    <w:rsid w:val="0064260A"/>
    <w:rsid w:val="00643D0D"/>
    <w:rsid w:val="006516A0"/>
    <w:rsid w:val="006539AD"/>
    <w:rsid w:val="006550BC"/>
    <w:rsid w:val="00655D67"/>
    <w:rsid w:val="00657175"/>
    <w:rsid w:val="00661F39"/>
    <w:rsid w:val="0066239E"/>
    <w:rsid w:val="006645AA"/>
    <w:rsid w:val="0066777A"/>
    <w:rsid w:val="00667E8D"/>
    <w:rsid w:val="006702F0"/>
    <w:rsid w:val="006708AB"/>
    <w:rsid w:val="00670FD9"/>
    <w:rsid w:val="00671B8A"/>
    <w:rsid w:val="006723B5"/>
    <w:rsid w:val="0067527A"/>
    <w:rsid w:val="00675456"/>
    <w:rsid w:val="0067655C"/>
    <w:rsid w:val="0068080E"/>
    <w:rsid w:val="0068139C"/>
    <w:rsid w:val="00681A31"/>
    <w:rsid w:val="00682060"/>
    <w:rsid w:val="00682CBA"/>
    <w:rsid w:val="00683821"/>
    <w:rsid w:val="00687307"/>
    <w:rsid w:val="00690CEA"/>
    <w:rsid w:val="006924E0"/>
    <w:rsid w:val="00694E5B"/>
    <w:rsid w:val="0069716F"/>
    <w:rsid w:val="00697D92"/>
    <w:rsid w:val="006A33F2"/>
    <w:rsid w:val="006A3C5C"/>
    <w:rsid w:val="006A494F"/>
    <w:rsid w:val="006A5233"/>
    <w:rsid w:val="006A6262"/>
    <w:rsid w:val="006A68BE"/>
    <w:rsid w:val="006A7E5D"/>
    <w:rsid w:val="006B0A82"/>
    <w:rsid w:val="006B0B52"/>
    <w:rsid w:val="006B3F64"/>
    <w:rsid w:val="006B45E3"/>
    <w:rsid w:val="006B653C"/>
    <w:rsid w:val="006B6DF6"/>
    <w:rsid w:val="006C0F37"/>
    <w:rsid w:val="006C1150"/>
    <w:rsid w:val="006C1CA1"/>
    <w:rsid w:val="006C203F"/>
    <w:rsid w:val="006C254B"/>
    <w:rsid w:val="006C298E"/>
    <w:rsid w:val="006C2FFF"/>
    <w:rsid w:val="006C3D06"/>
    <w:rsid w:val="006C496A"/>
    <w:rsid w:val="006C5BE5"/>
    <w:rsid w:val="006C7344"/>
    <w:rsid w:val="006C7F58"/>
    <w:rsid w:val="006D0FE4"/>
    <w:rsid w:val="006D1C93"/>
    <w:rsid w:val="006D3DEC"/>
    <w:rsid w:val="006D41EE"/>
    <w:rsid w:val="006D4C2B"/>
    <w:rsid w:val="006D5513"/>
    <w:rsid w:val="006D65A4"/>
    <w:rsid w:val="006D77B0"/>
    <w:rsid w:val="006D7F12"/>
    <w:rsid w:val="006E2C89"/>
    <w:rsid w:val="006E2D9C"/>
    <w:rsid w:val="006E4966"/>
    <w:rsid w:val="006E6994"/>
    <w:rsid w:val="006E6ADB"/>
    <w:rsid w:val="006E7475"/>
    <w:rsid w:val="006E7A91"/>
    <w:rsid w:val="006F0A14"/>
    <w:rsid w:val="006F2281"/>
    <w:rsid w:val="006F2ABD"/>
    <w:rsid w:val="006F34BA"/>
    <w:rsid w:val="006F4EB3"/>
    <w:rsid w:val="006F4ED6"/>
    <w:rsid w:val="006F6B68"/>
    <w:rsid w:val="006F7704"/>
    <w:rsid w:val="0070047E"/>
    <w:rsid w:val="00701A8A"/>
    <w:rsid w:val="007031F4"/>
    <w:rsid w:val="007034CF"/>
    <w:rsid w:val="00706DAB"/>
    <w:rsid w:val="00707168"/>
    <w:rsid w:val="00710759"/>
    <w:rsid w:val="007134F0"/>
    <w:rsid w:val="00714FC7"/>
    <w:rsid w:val="00715586"/>
    <w:rsid w:val="00724D0E"/>
    <w:rsid w:val="00725B6F"/>
    <w:rsid w:val="00725DB6"/>
    <w:rsid w:val="00727244"/>
    <w:rsid w:val="0073033C"/>
    <w:rsid w:val="007316F5"/>
    <w:rsid w:val="00731E06"/>
    <w:rsid w:val="007333A7"/>
    <w:rsid w:val="007333AA"/>
    <w:rsid w:val="007349B7"/>
    <w:rsid w:val="00735BE3"/>
    <w:rsid w:val="00735C58"/>
    <w:rsid w:val="007373B5"/>
    <w:rsid w:val="007403A8"/>
    <w:rsid w:val="007416CC"/>
    <w:rsid w:val="00742908"/>
    <w:rsid w:val="007454DD"/>
    <w:rsid w:val="0075249E"/>
    <w:rsid w:val="00753AB0"/>
    <w:rsid w:val="0075423C"/>
    <w:rsid w:val="00755894"/>
    <w:rsid w:val="00755E19"/>
    <w:rsid w:val="0076142F"/>
    <w:rsid w:val="0076144C"/>
    <w:rsid w:val="0076149F"/>
    <w:rsid w:val="007620D0"/>
    <w:rsid w:val="00763A79"/>
    <w:rsid w:val="00765FE5"/>
    <w:rsid w:val="007724CC"/>
    <w:rsid w:val="00774AA8"/>
    <w:rsid w:val="00777DE5"/>
    <w:rsid w:val="0078127A"/>
    <w:rsid w:val="007841EA"/>
    <w:rsid w:val="0078556F"/>
    <w:rsid w:val="0078605E"/>
    <w:rsid w:val="00787986"/>
    <w:rsid w:val="007911E9"/>
    <w:rsid w:val="007913F9"/>
    <w:rsid w:val="00792A33"/>
    <w:rsid w:val="00793884"/>
    <w:rsid w:val="00793FC8"/>
    <w:rsid w:val="007944A4"/>
    <w:rsid w:val="007958A4"/>
    <w:rsid w:val="00796DAE"/>
    <w:rsid w:val="00797341"/>
    <w:rsid w:val="007973BE"/>
    <w:rsid w:val="00797EBF"/>
    <w:rsid w:val="007A0FE4"/>
    <w:rsid w:val="007A1375"/>
    <w:rsid w:val="007A2678"/>
    <w:rsid w:val="007A2FA6"/>
    <w:rsid w:val="007A3380"/>
    <w:rsid w:val="007A7C82"/>
    <w:rsid w:val="007B15AB"/>
    <w:rsid w:val="007B5D57"/>
    <w:rsid w:val="007C067E"/>
    <w:rsid w:val="007C0C10"/>
    <w:rsid w:val="007C0CA3"/>
    <w:rsid w:val="007C0CCD"/>
    <w:rsid w:val="007C265B"/>
    <w:rsid w:val="007C38D2"/>
    <w:rsid w:val="007C55F6"/>
    <w:rsid w:val="007D0877"/>
    <w:rsid w:val="007D0E8B"/>
    <w:rsid w:val="007D1279"/>
    <w:rsid w:val="007D16D5"/>
    <w:rsid w:val="007D2025"/>
    <w:rsid w:val="007D4AD7"/>
    <w:rsid w:val="007D5AB0"/>
    <w:rsid w:val="007D5CBE"/>
    <w:rsid w:val="007D6D86"/>
    <w:rsid w:val="007D6EF3"/>
    <w:rsid w:val="007D78D6"/>
    <w:rsid w:val="007E4B7E"/>
    <w:rsid w:val="007E5A3D"/>
    <w:rsid w:val="007E65D2"/>
    <w:rsid w:val="007E6CB5"/>
    <w:rsid w:val="007E7733"/>
    <w:rsid w:val="007F0116"/>
    <w:rsid w:val="007F08E8"/>
    <w:rsid w:val="007F1183"/>
    <w:rsid w:val="007F1989"/>
    <w:rsid w:val="007F5601"/>
    <w:rsid w:val="007F5E4E"/>
    <w:rsid w:val="007F5E87"/>
    <w:rsid w:val="007F6D0C"/>
    <w:rsid w:val="007F7104"/>
    <w:rsid w:val="007F7F94"/>
    <w:rsid w:val="008026F5"/>
    <w:rsid w:val="00804A79"/>
    <w:rsid w:val="00804E88"/>
    <w:rsid w:val="008060CF"/>
    <w:rsid w:val="0080659C"/>
    <w:rsid w:val="00806ED9"/>
    <w:rsid w:val="00807041"/>
    <w:rsid w:val="0081286E"/>
    <w:rsid w:val="00814882"/>
    <w:rsid w:val="008170B2"/>
    <w:rsid w:val="00822EF0"/>
    <w:rsid w:val="0082483B"/>
    <w:rsid w:val="00827F70"/>
    <w:rsid w:val="00831596"/>
    <w:rsid w:val="00832715"/>
    <w:rsid w:val="00832A0A"/>
    <w:rsid w:val="00833D95"/>
    <w:rsid w:val="00833E45"/>
    <w:rsid w:val="00840259"/>
    <w:rsid w:val="00841F99"/>
    <w:rsid w:val="00842024"/>
    <w:rsid w:val="00842059"/>
    <w:rsid w:val="0084328F"/>
    <w:rsid w:val="00843304"/>
    <w:rsid w:val="008434F8"/>
    <w:rsid w:val="00845F96"/>
    <w:rsid w:val="008478F4"/>
    <w:rsid w:val="00847B51"/>
    <w:rsid w:val="00853BEA"/>
    <w:rsid w:val="00854424"/>
    <w:rsid w:val="00854BEF"/>
    <w:rsid w:val="00857181"/>
    <w:rsid w:val="008575ED"/>
    <w:rsid w:val="008611DC"/>
    <w:rsid w:val="00862444"/>
    <w:rsid w:val="00862DEC"/>
    <w:rsid w:val="00863C11"/>
    <w:rsid w:val="00864B8A"/>
    <w:rsid w:val="00870BB6"/>
    <w:rsid w:val="008715F6"/>
    <w:rsid w:val="00871CE3"/>
    <w:rsid w:val="008732C5"/>
    <w:rsid w:val="00873457"/>
    <w:rsid w:val="00873F5E"/>
    <w:rsid w:val="00873F69"/>
    <w:rsid w:val="00874232"/>
    <w:rsid w:val="00876A0C"/>
    <w:rsid w:val="008806C7"/>
    <w:rsid w:val="00880726"/>
    <w:rsid w:val="00883F56"/>
    <w:rsid w:val="00890F9C"/>
    <w:rsid w:val="0089265D"/>
    <w:rsid w:val="0089497A"/>
    <w:rsid w:val="008969F3"/>
    <w:rsid w:val="00897040"/>
    <w:rsid w:val="008A2A11"/>
    <w:rsid w:val="008A5730"/>
    <w:rsid w:val="008B1564"/>
    <w:rsid w:val="008B2784"/>
    <w:rsid w:val="008B28BB"/>
    <w:rsid w:val="008B588F"/>
    <w:rsid w:val="008B5D70"/>
    <w:rsid w:val="008C4324"/>
    <w:rsid w:val="008C52D6"/>
    <w:rsid w:val="008C561B"/>
    <w:rsid w:val="008C57EC"/>
    <w:rsid w:val="008C640D"/>
    <w:rsid w:val="008D086D"/>
    <w:rsid w:val="008D19C1"/>
    <w:rsid w:val="008D3F2E"/>
    <w:rsid w:val="008D435E"/>
    <w:rsid w:val="008D51F6"/>
    <w:rsid w:val="008E2C37"/>
    <w:rsid w:val="008E2EB8"/>
    <w:rsid w:val="008E57C7"/>
    <w:rsid w:val="008E7F05"/>
    <w:rsid w:val="008F17A0"/>
    <w:rsid w:val="008F19FC"/>
    <w:rsid w:val="008F2A02"/>
    <w:rsid w:val="008F42BD"/>
    <w:rsid w:val="008F49A0"/>
    <w:rsid w:val="008F4F26"/>
    <w:rsid w:val="0090021C"/>
    <w:rsid w:val="009006B0"/>
    <w:rsid w:val="0090074A"/>
    <w:rsid w:val="00903985"/>
    <w:rsid w:val="00905111"/>
    <w:rsid w:val="0090597E"/>
    <w:rsid w:val="0091199E"/>
    <w:rsid w:val="0091443D"/>
    <w:rsid w:val="00914496"/>
    <w:rsid w:val="009159FE"/>
    <w:rsid w:val="0091654D"/>
    <w:rsid w:val="00916F16"/>
    <w:rsid w:val="00922228"/>
    <w:rsid w:val="00922FF5"/>
    <w:rsid w:val="00926AEA"/>
    <w:rsid w:val="00930444"/>
    <w:rsid w:val="00931D99"/>
    <w:rsid w:val="00935562"/>
    <w:rsid w:val="00936858"/>
    <w:rsid w:val="00936FD4"/>
    <w:rsid w:val="00937ED8"/>
    <w:rsid w:val="009402F8"/>
    <w:rsid w:val="00940999"/>
    <w:rsid w:val="00942A23"/>
    <w:rsid w:val="0094450F"/>
    <w:rsid w:val="00944CA5"/>
    <w:rsid w:val="00945328"/>
    <w:rsid w:val="00950198"/>
    <w:rsid w:val="00950B04"/>
    <w:rsid w:val="00952227"/>
    <w:rsid w:val="00952350"/>
    <w:rsid w:val="009526B9"/>
    <w:rsid w:val="00952B08"/>
    <w:rsid w:val="00954940"/>
    <w:rsid w:val="009577C0"/>
    <w:rsid w:val="009577C3"/>
    <w:rsid w:val="00960FF4"/>
    <w:rsid w:val="00964BB4"/>
    <w:rsid w:val="00966311"/>
    <w:rsid w:val="00970003"/>
    <w:rsid w:val="00971A63"/>
    <w:rsid w:val="00980821"/>
    <w:rsid w:val="00990E61"/>
    <w:rsid w:val="00993557"/>
    <w:rsid w:val="00996221"/>
    <w:rsid w:val="00996D97"/>
    <w:rsid w:val="00996E20"/>
    <w:rsid w:val="00997C75"/>
    <w:rsid w:val="009A0E2E"/>
    <w:rsid w:val="009A2D04"/>
    <w:rsid w:val="009A7533"/>
    <w:rsid w:val="009B1AD6"/>
    <w:rsid w:val="009B21D0"/>
    <w:rsid w:val="009B4E39"/>
    <w:rsid w:val="009B5C10"/>
    <w:rsid w:val="009B5D8B"/>
    <w:rsid w:val="009C3172"/>
    <w:rsid w:val="009C58CA"/>
    <w:rsid w:val="009C72ED"/>
    <w:rsid w:val="009C7EBF"/>
    <w:rsid w:val="009D1211"/>
    <w:rsid w:val="009D1CF3"/>
    <w:rsid w:val="009D1D0D"/>
    <w:rsid w:val="009D31FB"/>
    <w:rsid w:val="009D3B4B"/>
    <w:rsid w:val="009D5598"/>
    <w:rsid w:val="009D6E2A"/>
    <w:rsid w:val="009D7222"/>
    <w:rsid w:val="009D7CAF"/>
    <w:rsid w:val="009E0671"/>
    <w:rsid w:val="009E0894"/>
    <w:rsid w:val="009E309C"/>
    <w:rsid w:val="009E3D58"/>
    <w:rsid w:val="009E60BB"/>
    <w:rsid w:val="009E6CDF"/>
    <w:rsid w:val="009E7DEC"/>
    <w:rsid w:val="009E7E64"/>
    <w:rsid w:val="009F23D8"/>
    <w:rsid w:val="009F2B7F"/>
    <w:rsid w:val="009F2C6D"/>
    <w:rsid w:val="009F2F83"/>
    <w:rsid w:val="009F3A2F"/>
    <w:rsid w:val="009F44BA"/>
    <w:rsid w:val="009F4601"/>
    <w:rsid w:val="009F68E0"/>
    <w:rsid w:val="009F7710"/>
    <w:rsid w:val="009F773D"/>
    <w:rsid w:val="00A05EDD"/>
    <w:rsid w:val="00A13954"/>
    <w:rsid w:val="00A13F49"/>
    <w:rsid w:val="00A145B3"/>
    <w:rsid w:val="00A14707"/>
    <w:rsid w:val="00A17451"/>
    <w:rsid w:val="00A17D3C"/>
    <w:rsid w:val="00A217B0"/>
    <w:rsid w:val="00A24894"/>
    <w:rsid w:val="00A26E25"/>
    <w:rsid w:val="00A26E7D"/>
    <w:rsid w:val="00A32957"/>
    <w:rsid w:val="00A337A7"/>
    <w:rsid w:val="00A3560B"/>
    <w:rsid w:val="00A3576C"/>
    <w:rsid w:val="00A417E2"/>
    <w:rsid w:val="00A4198D"/>
    <w:rsid w:val="00A4263B"/>
    <w:rsid w:val="00A50135"/>
    <w:rsid w:val="00A510D6"/>
    <w:rsid w:val="00A51C3C"/>
    <w:rsid w:val="00A520CE"/>
    <w:rsid w:val="00A52347"/>
    <w:rsid w:val="00A54A2C"/>
    <w:rsid w:val="00A558B4"/>
    <w:rsid w:val="00A56F81"/>
    <w:rsid w:val="00A57301"/>
    <w:rsid w:val="00A57CF0"/>
    <w:rsid w:val="00A61849"/>
    <w:rsid w:val="00A63215"/>
    <w:rsid w:val="00A64839"/>
    <w:rsid w:val="00A67B61"/>
    <w:rsid w:val="00A7075D"/>
    <w:rsid w:val="00A73275"/>
    <w:rsid w:val="00A7375A"/>
    <w:rsid w:val="00A74D85"/>
    <w:rsid w:val="00A77204"/>
    <w:rsid w:val="00A81846"/>
    <w:rsid w:val="00A84C42"/>
    <w:rsid w:val="00A84E55"/>
    <w:rsid w:val="00A85A14"/>
    <w:rsid w:val="00A87AA9"/>
    <w:rsid w:val="00A938CE"/>
    <w:rsid w:val="00AA1156"/>
    <w:rsid w:val="00AA3F82"/>
    <w:rsid w:val="00AA4516"/>
    <w:rsid w:val="00AA5778"/>
    <w:rsid w:val="00AA65A4"/>
    <w:rsid w:val="00AA6C6C"/>
    <w:rsid w:val="00AA7B43"/>
    <w:rsid w:val="00AB18E5"/>
    <w:rsid w:val="00AB3224"/>
    <w:rsid w:val="00AB44D0"/>
    <w:rsid w:val="00AB62BE"/>
    <w:rsid w:val="00AB7562"/>
    <w:rsid w:val="00AC2A1E"/>
    <w:rsid w:val="00AC36CE"/>
    <w:rsid w:val="00AC478D"/>
    <w:rsid w:val="00AC4FA3"/>
    <w:rsid w:val="00AC59AA"/>
    <w:rsid w:val="00AC5E19"/>
    <w:rsid w:val="00AC6F07"/>
    <w:rsid w:val="00AD2FB7"/>
    <w:rsid w:val="00AD3CBD"/>
    <w:rsid w:val="00AD63F5"/>
    <w:rsid w:val="00AD6731"/>
    <w:rsid w:val="00AE0260"/>
    <w:rsid w:val="00AE057B"/>
    <w:rsid w:val="00AE23C6"/>
    <w:rsid w:val="00AE5444"/>
    <w:rsid w:val="00AE59AF"/>
    <w:rsid w:val="00AE7394"/>
    <w:rsid w:val="00AF1C10"/>
    <w:rsid w:val="00AF3BB2"/>
    <w:rsid w:val="00AF4289"/>
    <w:rsid w:val="00AF5E15"/>
    <w:rsid w:val="00AF74AF"/>
    <w:rsid w:val="00B021F5"/>
    <w:rsid w:val="00B02D58"/>
    <w:rsid w:val="00B032DE"/>
    <w:rsid w:val="00B0335A"/>
    <w:rsid w:val="00B0540D"/>
    <w:rsid w:val="00B05FDA"/>
    <w:rsid w:val="00B0719F"/>
    <w:rsid w:val="00B07BD4"/>
    <w:rsid w:val="00B14CB5"/>
    <w:rsid w:val="00B2110E"/>
    <w:rsid w:val="00B212CA"/>
    <w:rsid w:val="00B2439A"/>
    <w:rsid w:val="00B25767"/>
    <w:rsid w:val="00B31C78"/>
    <w:rsid w:val="00B34A63"/>
    <w:rsid w:val="00B35DFA"/>
    <w:rsid w:val="00B40742"/>
    <w:rsid w:val="00B40A3E"/>
    <w:rsid w:val="00B41BFF"/>
    <w:rsid w:val="00B43919"/>
    <w:rsid w:val="00B43D44"/>
    <w:rsid w:val="00B4588C"/>
    <w:rsid w:val="00B45B05"/>
    <w:rsid w:val="00B46E50"/>
    <w:rsid w:val="00B518EB"/>
    <w:rsid w:val="00B51B98"/>
    <w:rsid w:val="00B531C3"/>
    <w:rsid w:val="00B54356"/>
    <w:rsid w:val="00B547A7"/>
    <w:rsid w:val="00B557CE"/>
    <w:rsid w:val="00B55EF8"/>
    <w:rsid w:val="00B5628A"/>
    <w:rsid w:val="00B56945"/>
    <w:rsid w:val="00B57941"/>
    <w:rsid w:val="00B60900"/>
    <w:rsid w:val="00B623F3"/>
    <w:rsid w:val="00B6293A"/>
    <w:rsid w:val="00B63A31"/>
    <w:rsid w:val="00B70FC3"/>
    <w:rsid w:val="00B72067"/>
    <w:rsid w:val="00B73723"/>
    <w:rsid w:val="00B777BD"/>
    <w:rsid w:val="00B77821"/>
    <w:rsid w:val="00B82425"/>
    <w:rsid w:val="00B85930"/>
    <w:rsid w:val="00B8668D"/>
    <w:rsid w:val="00B915C1"/>
    <w:rsid w:val="00B915D1"/>
    <w:rsid w:val="00B91F34"/>
    <w:rsid w:val="00B92CC3"/>
    <w:rsid w:val="00B9339E"/>
    <w:rsid w:val="00B95718"/>
    <w:rsid w:val="00BA09DA"/>
    <w:rsid w:val="00BA1ADD"/>
    <w:rsid w:val="00BA2673"/>
    <w:rsid w:val="00BA554D"/>
    <w:rsid w:val="00BB6160"/>
    <w:rsid w:val="00BB665C"/>
    <w:rsid w:val="00BB7178"/>
    <w:rsid w:val="00BC1E65"/>
    <w:rsid w:val="00BC3030"/>
    <w:rsid w:val="00BC30AF"/>
    <w:rsid w:val="00BC3D0E"/>
    <w:rsid w:val="00BC43F5"/>
    <w:rsid w:val="00BC5C02"/>
    <w:rsid w:val="00BC6316"/>
    <w:rsid w:val="00BC7690"/>
    <w:rsid w:val="00BD1FF7"/>
    <w:rsid w:val="00BD3094"/>
    <w:rsid w:val="00BD6995"/>
    <w:rsid w:val="00BD6AB3"/>
    <w:rsid w:val="00BD748E"/>
    <w:rsid w:val="00BD7EC3"/>
    <w:rsid w:val="00BE02EC"/>
    <w:rsid w:val="00BE1772"/>
    <w:rsid w:val="00BE1A6A"/>
    <w:rsid w:val="00BE1E1F"/>
    <w:rsid w:val="00BE212D"/>
    <w:rsid w:val="00BE4109"/>
    <w:rsid w:val="00BE57D9"/>
    <w:rsid w:val="00BE6B12"/>
    <w:rsid w:val="00BE7125"/>
    <w:rsid w:val="00BE778B"/>
    <w:rsid w:val="00BE7BAA"/>
    <w:rsid w:val="00BF02DE"/>
    <w:rsid w:val="00BF06EA"/>
    <w:rsid w:val="00BF3452"/>
    <w:rsid w:val="00BF37EC"/>
    <w:rsid w:val="00BF5C05"/>
    <w:rsid w:val="00BF71C3"/>
    <w:rsid w:val="00BF7DD6"/>
    <w:rsid w:val="00C01473"/>
    <w:rsid w:val="00C018EF"/>
    <w:rsid w:val="00C0299E"/>
    <w:rsid w:val="00C049BF"/>
    <w:rsid w:val="00C075C8"/>
    <w:rsid w:val="00C165A7"/>
    <w:rsid w:val="00C24F91"/>
    <w:rsid w:val="00C275E1"/>
    <w:rsid w:val="00C27642"/>
    <w:rsid w:val="00C27D3C"/>
    <w:rsid w:val="00C366CB"/>
    <w:rsid w:val="00C42574"/>
    <w:rsid w:val="00C507F4"/>
    <w:rsid w:val="00C50E44"/>
    <w:rsid w:val="00C513DD"/>
    <w:rsid w:val="00C5629D"/>
    <w:rsid w:val="00C61E48"/>
    <w:rsid w:val="00C63480"/>
    <w:rsid w:val="00C662CC"/>
    <w:rsid w:val="00C81E14"/>
    <w:rsid w:val="00C868B6"/>
    <w:rsid w:val="00C911F9"/>
    <w:rsid w:val="00C93887"/>
    <w:rsid w:val="00C938E8"/>
    <w:rsid w:val="00C9535E"/>
    <w:rsid w:val="00C96B0C"/>
    <w:rsid w:val="00CA11A8"/>
    <w:rsid w:val="00CA43E0"/>
    <w:rsid w:val="00CA4C2E"/>
    <w:rsid w:val="00CA6687"/>
    <w:rsid w:val="00CB0FC2"/>
    <w:rsid w:val="00CB15BA"/>
    <w:rsid w:val="00CB204D"/>
    <w:rsid w:val="00CB2800"/>
    <w:rsid w:val="00CB2DF8"/>
    <w:rsid w:val="00CB311F"/>
    <w:rsid w:val="00CB3584"/>
    <w:rsid w:val="00CB5488"/>
    <w:rsid w:val="00CB6708"/>
    <w:rsid w:val="00CB6B08"/>
    <w:rsid w:val="00CC3A2D"/>
    <w:rsid w:val="00CC4F14"/>
    <w:rsid w:val="00CC7BE5"/>
    <w:rsid w:val="00CD36D9"/>
    <w:rsid w:val="00CD3825"/>
    <w:rsid w:val="00CE1DA3"/>
    <w:rsid w:val="00CE277D"/>
    <w:rsid w:val="00CE28A0"/>
    <w:rsid w:val="00CE4D05"/>
    <w:rsid w:val="00CE562F"/>
    <w:rsid w:val="00CE7F8D"/>
    <w:rsid w:val="00CF1EF4"/>
    <w:rsid w:val="00CF2841"/>
    <w:rsid w:val="00CF6501"/>
    <w:rsid w:val="00CF706C"/>
    <w:rsid w:val="00D01505"/>
    <w:rsid w:val="00D0313D"/>
    <w:rsid w:val="00D03F72"/>
    <w:rsid w:val="00D04319"/>
    <w:rsid w:val="00D049D7"/>
    <w:rsid w:val="00D07A11"/>
    <w:rsid w:val="00D11071"/>
    <w:rsid w:val="00D114EA"/>
    <w:rsid w:val="00D120DB"/>
    <w:rsid w:val="00D15BEA"/>
    <w:rsid w:val="00D15E9A"/>
    <w:rsid w:val="00D20152"/>
    <w:rsid w:val="00D205BB"/>
    <w:rsid w:val="00D2071D"/>
    <w:rsid w:val="00D22D74"/>
    <w:rsid w:val="00D26E03"/>
    <w:rsid w:val="00D30F57"/>
    <w:rsid w:val="00D31229"/>
    <w:rsid w:val="00D33874"/>
    <w:rsid w:val="00D37054"/>
    <w:rsid w:val="00D422A0"/>
    <w:rsid w:val="00D52135"/>
    <w:rsid w:val="00D5261F"/>
    <w:rsid w:val="00D53038"/>
    <w:rsid w:val="00D54F53"/>
    <w:rsid w:val="00D56954"/>
    <w:rsid w:val="00D60949"/>
    <w:rsid w:val="00D60AF9"/>
    <w:rsid w:val="00D614AF"/>
    <w:rsid w:val="00D61EBD"/>
    <w:rsid w:val="00D62AE5"/>
    <w:rsid w:val="00D634BF"/>
    <w:rsid w:val="00D63B01"/>
    <w:rsid w:val="00D65596"/>
    <w:rsid w:val="00D67746"/>
    <w:rsid w:val="00D7079D"/>
    <w:rsid w:val="00D71581"/>
    <w:rsid w:val="00D726B0"/>
    <w:rsid w:val="00D731A9"/>
    <w:rsid w:val="00D736C2"/>
    <w:rsid w:val="00D7390E"/>
    <w:rsid w:val="00D740C7"/>
    <w:rsid w:val="00D74176"/>
    <w:rsid w:val="00D768B1"/>
    <w:rsid w:val="00D83228"/>
    <w:rsid w:val="00D844DF"/>
    <w:rsid w:val="00D8794C"/>
    <w:rsid w:val="00D92465"/>
    <w:rsid w:val="00D93089"/>
    <w:rsid w:val="00D95597"/>
    <w:rsid w:val="00D95655"/>
    <w:rsid w:val="00D977A7"/>
    <w:rsid w:val="00DA21B6"/>
    <w:rsid w:val="00DA5921"/>
    <w:rsid w:val="00DA6903"/>
    <w:rsid w:val="00DA6EEE"/>
    <w:rsid w:val="00DA709C"/>
    <w:rsid w:val="00DA725B"/>
    <w:rsid w:val="00DA7A1F"/>
    <w:rsid w:val="00DB2097"/>
    <w:rsid w:val="00DB2392"/>
    <w:rsid w:val="00DB3F2B"/>
    <w:rsid w:val="00DB6155"/>
    <w:rsid w:val="00DC11ED"/>
    <w:rsid w:val="00DC1E28"/>
    <w:rsid w:val="00DC7EF7"/>
    <w:rsid w:val="00DD0D07"/>
    <w:rsid w:val="00DD2BB8"/>
    <w:rsid w:val="00DD41A6"/>
    <w:rsid w:val="00DD41C4"/>
    <w:rsid w:val="00DD45F9"/>
    <w:rsid w:val="00DE3F36"/>
    <w:rsid w:val="00DE4811"/>
    <w:rsid w:val="00DE5384"/>
    <w:rsid w:val="00DE565E"/>
    <w:rsid w:val="00DE6DD9"/>
    <w:rsid w:val="00DE7650"/>
    <w:rsid w:val="00DF09E0"/>
    <w:rsid w:val="00DF1EEC"/>
    <w:rsid w:val="00DF7C94"/>
    <w:rsid w:val="00E0057F"/>
    <w:rsid w:val="00E04B59"/>
    <w:rsid w:val="00E119E9"/>
    <w:rsid w:val="00E11A0D"/>
    <w:rsid w:val="00E142A5"/>
    <w:rsid w:val="00E1480C"/>
    <w:rsid w:val="00E15BFA"/>
    <w:rsid w:val="00E17DB0"/>
    <w:rsid w:val="00E23CDE"/>
    <w:rsid w:val="00E2594F"/>
    <w:rsid w:val="00E266E4"/>
    <w:rsid w:val="00E26BB5"/>
    <w:rsid w:val="00E26C17"/>
    <w:rsid w:val="00E27163"/>
    <w:rsid w:val="00E32675"/>
    <w:rsid w:val="00E37351"/>
    <w:rsid w:val="00E375B8"/>
    <w:rsid w:val="00E426AA"/>
    <w:rsid w:val="00E4664A"/>
    <w:rsid w:val="00E46CBF"/>
    <w:rsid w:val="00E46EC2"/>
    <w:rsid w:val="00E5170A"/>
    <w:rsid w:val="00E52458"/>
    <w:rsid w:val="00E53457"/>
    <w:rsid w:val="00E548FB"/>
    <w:rsid w:val="00E556BF"/>
    <w:rsid w:val="00E5601F"/>
    <w:rsid w:val="00E561A0"/>
    <w:rsid w:val="00E60A2E"/>
    <w:rsid w:val="00E62834"/>
    <w:rsid w:val="00E631E4"/>
    <w:rsid w:val="00E63BD0"/>
    <w:rsid w:val="00E64CFC"/>
    <w:rsid w:val="00E66630"/>
    <w:rsid w:val="00E74EB9"/>
    <w:rsid w:val="00E75169"/>
    <w:rsid w:val="00E75F04"/>
    <w:rsid w:val="00E75FEF"/>
    <w:rsid w:val="00E76A43"/>
    <w:rsid w:val="00E77147"/>
    <w:rsid w:val="00E80053"/>
    <w:rsid w:val="00E80FA8"/>
    <w:rsid w:val="00E82677"/>
    <w:rsid w:val="00E834AB"/>
    <w:rsid w:val="00E8518F"/>
    <w:rsid w:val="00E868DA"/>
    <w:rsid w:val="00E93277"/>
    <w:rsid w:val="00E94E9F"/>
    <w:rsid w:val="00E95D77"/>
    <w:rsid w:val="00E96B8A"/>
    <w:rsid w:val="00EA0D68"/>
    <w:rsid w:val="00EA3694"/>
    <w:rsid w:val="00EA37BC"/>
    <w:rsid w:val="00EA446D"/>
    <w:rsid w:val="00EA57E9"/>
    <w:rsid w:val="00EA5EA9"/>
    <w:rsid w:val="00EB02C5"/>
    <w:rsid w:val="00EB0400"/>
    <w:rsid w:val="00EB1EA5"/>
    <w:rsid w:val="00EB3618"/>
    <w:rsid w:val="00EB3C83"/>
    <w:rsid w:val="00EB5C59"/>
    <w:rsid w:val="00EC4E91"/>
    <w:rsid w:val="00ED1046"/>
    <w:rsid w:val="00ED1A4C"/>
    <w:rsid w:val="00ED2724"/>
    <w:rsid w:val="00ED3658"/>
    <w:rsid w:val="00ED49F6"/>
    <w:rsid w:val="00EE30C8"/>
    <w:rsid w:val="00EE5769"/>
    <w:rsid w:val="00EE59EE"/>
    <w:rsid w:val="00EE6B98"/>
    <w:rsid w:val="00EF009F"/>
    <w:rsid w:val="00EF0148"/>
    <w:rsid w:val="00EF0A01"/>
    <w:rsid w:val="00EF27ED"/>
    <w:rsid w:val="00EF3659"/>
    <w:rsid w:val="00EF4A0A"/>
    <w:rsid w:val="00EF4D2A"/>
    <w:rsid w:val="00F0073D"/>
    <w:rsid w:val="00F01824"/>
    <w:rsid w:val="00F022D5"/>
    <w:rsid w:val="00F0235F"/>
    <w:rsid w:val="00F024E3"/>
    <w:rsid w:val="00F03D60"/>
    <w:rsid w:val="00F04B74"/>
    <w:rsid w:val="00F06383"/>
    <w:rsid w:val="00F068AF"/>
    <w:rsid w:val="00F06934"/>
    <w:rsid w:val="00F10B85"/>
    <w:rsid w:val="00F10F46"/>
    <w:rsid w:val="00F17665"/>
    <w:rsid w:val="00F17BDB"/>
    <w:rsid w:val="00F213EC"/>
    <w:rsid w:val="00F21A88"/>
    <w:rsid w:val="00F225B3"/>
    <w:rsid w:val="00F225F9"/>
    <w:rsid w:val="00F2500D"/>
    <w:rsid w:val="00F3106B"/>
    <w:rsid w:val="00F3411B"/>
    <w:rsid w:val="00F347C4"/>
    <w:rsid w:val="00F37353"/>
    <w:rsid w:val="00F37940"/>
    <w:rsid w:val="00F4182D"/>
    <w:rsid w:val="00F41D9A"/>
    <w:rsid w:val="00F421A0"/>
    <w:rsid w:val="00F444A0"/>
    <w:rsid w:val="00F44788"/>
    <w:rsid w:val="00F47DCA"/>
    <w:rsid w:val="00F47E9D"/>
    <w:rsid w:val="00F527F4"/>
    <w:rsid w:val="00F539AD"/>
    <w:rsid w:val="00F53FEB"/>
    <w:rsid w:val="00F542BF"/>
    <w:rsid w:val="00F571FE"/>
    <w:rsid w:val="00F62481"/>
    <w:rsid w:val="00F67194"/>
    <w:rsid w:val="00F704FD"/>
    <w:rsid w:val="00F72544"/>
    <w:rsid w:val="00F730A2"/>
    <w:rsid w:val="00F8085A"/>
    <w:rsid w:val="00F82EF5"/>
    <w:rsid w:val="00F8436D"/>
    <w:rsid w:val="00F846A5"/>
    <w:rsid w:val="00F854C5"/>
    <w:rsid w:val="00F87CF9"/>
    <w:rsid w:val="00F90011"/>
    <w:rsid w:val="00F91508"/>
    <w:rsid w:val="00F9254D"/>
    <w:rsid w:val="00F9436E"/>
    <w:rsid w:val="00F94717"/>
    <w:rsid w:val="00F95104"/>
    <w:rsid w:val="00F954DC"/>
    <w:rsid w:val="00F95E4C"/>
    <w:rsid w:val="00F97157"/>
    <w:rsid w:val="00F97704"/>
    <w:rsid w:val="00F97E23"/>
    <w:rsid w:val="00FA0B7D"/>
    <w:rsid w:val="00FA157C"/>
    <w:rsid w:val="00FA2753"/>
    <w:rsid w:val="00FA2B95"/>
    <w:rsid w:val="00FA3570"/>
    <w:rsid w:val="00FA51C2"/>
    <w:rsid w:val="00FA58E8"/>
    <w:rsid w:val="00FB0BEF"/>
    <w:rsid w:val="00FB1716"/>
    <w:rsid w:val="00FB1899"/>
    <w:rsid w:val="00FB672E"/>
    <w:rsid w:val="00FB711E"/>
    <w:rsid w:val="00FB7647"/>
    <w:rsid w:val="00FC047E"/>
    <w:rsid w:val="00FC1D91"/>
    <w:rsid w:val="00FC3A7C"/>
    <w:rsid w:val="00FC5867"/>
    <w:rsid w:val="00FC7FC7"/>
    <w:rsid w:val="00FD3788"/>
    <w:rsid w:val="00FD49C4"/>
    <w:rsid w:val="00FD4C9F"/>
    <w:rsid w:val="00FD4F67"/>
    <w:rsid w:val="00FD67D4"/>
    <w:rsid w:val="00FD7E3E"/>
    <w:rsid w:val="00FE616F"/>
    <w:rsid w:val="00FE6F6C"/>
    <w:rsid w:val="00FE7306"/>
    <w:rsid w:val="00FF024A"/>
    <w:rsid w:val="00FF054F"/>
    <w:rsid w:val="00FF20A7"/>
    <w:rsid w:val="00FF2AD6"/>
    <w:rsid w:val="00FF2ECB"/>
    <w:rsid w:val="00FF314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33B1E"/>
  <w15:docId w15:val="{96E82294-5EBF-4C04-A366-D9E7EC86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A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877AA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890F9C"/>
    <w:pPr>
      <w:keepNext/>
      <w:widowControl w:val="0"/>
      <w:tabs>
        <w:tab w:val="left" w:pos="-720"/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line="360" w:lineRule="auto"/>
      <w:jc w:val="center"/>
      <w:outlineLvl w:val="2"/>
    </w:pPr>
    <w:rPr>
      <w:b/>
      <w:spacing w:val="-3"/>
      <w:szCs w:val="2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77AA"/>
    <w:pPr>
      <w:jc w:val="center"/>
    </w:pPr>
    <w:rPr>
      <w:b/>
      <w:u w:val="single"/>
    </w:rPr>
  </w:style>
  <w:style w:type="paragraph" w:styleId="BodyText">
    <w:name w:val="Body Text"/>
    <w:basedOn w:val="Normal"/>
    <w:rsid w:val="003877AA"/>
    <w:pPr>
      <w:tabs>
        <w:tab w:val="left" w:pos="600"/>
        <w:tab w:val="left" w:pos="1167"/>
        <w:tab w:val="left" w:pos="1734"/>
        <w:tab w:val="left" w:pos="2301"/>
      </w:tabs>
      <w:jc w:val="both"/>
    </w:pPr>
  </w:style>
  <w:style w:type="paragraph" w:styleId="Header">
    <w:name w:val="header"/>
    <w:basedOn w:val="Normal"/>
    <w:rsid w:val="003877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77AA"/>
  </w:style>
  <w:style w:type="paragraph" w:styleId="BodyText2">
    <w:name w:val="Body Text 2"/>
    <w:basedOn w:val="Normal"/>
    <w:rsid w:val="003877AA"/>
    <w:pPr>
      <w:jc w:val="center"/>
    </w:pPr>
    <w:rPr>
      <w:b/>
    </w:rPr>
  </w:style>
  <w:style w:type="paragraph" w:styleId="BodyText3">
    <w:name w:val="Body Text 3"/>
    <w:basedOn w:val="Normal"/>
    <w:rsid w:val="003877AA"/>
    <w:pPr>
      <w:spacing w:line="360" w:lineRule="auto"/>
    </w:pPr>
    <w:rPr>
      <w:sz w:val="20"/>
    </w:rPr>
  </w:style>
  <w:style w:type="character" w:styleId="Strong">
    <w:name w:val="Strong"/>
    <w:basedOn w:val="DefaultParagraphFont"/>
    <w:qFormat/>
    <w:rsid w:val="005368DD"/>
    <w:rPr>
      <w:b/>
      <w:bCs/>
    </w:rPr>
  </w:style>
  <w:style w:type="character" w:styleId="Emphasis">
    <w:name w:val="Emphasis"/>
    <w:basedOn w:val="DefaultParagraphFont"/>
    <w:qFormat/>
    <w:rsid w:val="00E119E9"/>
    <w:rPr>
      <w:i/>
      <w:iCs/>
    </w:rPr>
  </w:style>
  <w:style w:type="paragraph" w:styleId="NormalWeb">
    <w:name w:val="Normal (Web)"/>
    <w:basedOn w:val="Normal"/>
    <w:rsid w:val="00E119E9"/>
    <w:pPr>
      <w:spacing w:before="150" w:after="150"/>
      <w:ind w:left="675" w:right="525"/>
    </w:pPr>
    <w:rPr>
      <w:rFonts w:ascii="Times New Roman" w:hAnsi="Times New Roman"/>
      <w:sz w:val="19"/>
      <w:szCs w:val="19"/>
      <w:lang w:eastAsia="el-GR"/>
    </w:rPr>
  </w:style>
  <w:style w:type="paragraph" w:styleId="BodyTextIndent">
    <w:name w:val="Body Text Indent"/>
    <w:basedOn w:val="Normal"/>
    <w:rsid w:val="00890F9C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line="360" w:lineRule="auto"/>
      <w:ind w:left="2160" w:hanging="2160"/>
      <w:jc w:val="both"/>
    </w:pPr>
    <w:rPr>
      <w:rFonts w:cs="Arial"/>
      <w:spacing w:val="-3"/>
      <w:szCs w:val="24"/>
      <w:lang w:eastAsia="el-GR"/>
    </w:rPr>
  </w:style>
  <w:style w:type="paragraph" w:customStyle="1" w:styleId="NormalWeb8">
    <w:name w:val="Normal (Web)8"/>
    <w:basedOn w:val="Normal"/>
    <w:rsid w:val="00890F9C"/>
    <w:pPr>
      <w:spacing w:before="75" w:after="75"/>
      <w:ind w:left="225" w:right="225"/>
    </w:pPr>
    <w:rPr>
      <w:rFonts w:ascii="Times New Roman" w:hAnsi="Times New Roman"/>
      <w:sz w:val="22"/>
      <w:szCs w:val="22"/>
      <w:lang w:eastAsia="el-GR"/>
    </w:rPr>
  </w:style>
  <w:style w:type="paragraph" w:styleId="BodyTextIndent2">
    <w:name w:val="Body Text Indent 2"/>
    <w:basedOn w:val="Normal"/>
    <w:rsid w:val="006D1C93"/>
    <w:pPr>
      <w:widowControl w:val="0"/>
      <w:tabs>
        <w:tab w:val="left" w:pos="-720"/>
        <w:tab w:val="left" w:pos="0"/>
        <w:tab w:val="left" w:pos="720"/>
      </w:tabs>
      <w:suppressAutoHyphens/>
      <w:autoSpaceDE w:val="0"/>
      <w:autoSpaceDN w:val="0"/>
      <w:adjustRightInd w:val="0"/>
      <w:spacing w:line="360" w:lineRule="auto"/>
      <w:ind w:left="2160" w:hanging="1440"/>
      <w:jc w:val="both"/>
    </w:pPr>
    <w:rPr>
      <w:rFonts w:cs="Arial"/>
      <w:spacing w:val="-3"/>
      <w:szCs w:val="24"/>
      <w:lang w:eastAsia="el-GR"/>
    </w:rPr>
  </w:style>
  <w:style w:type="paragraph" w:styleId="BalloonText">
    <w:name w:val="Balloon Text"/>
    <w:basedOn w:val="Normal"/>
    <w:semiHidden/>
    <w:rsid w:val="00211E8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C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5234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455C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rsid w:val="001455C5"/>
    <w:rPr>
      <w:rFonts w:cs="Times New Roman"/>
      <w:color w:val="auto"/>
    </w:rPr>
  </w:style>
  <w:style w:type="character" w:customStyle="1" w:styleId="toc-instrument-enum">
    <w:name w:val="toc-instrument-enum"/>
    <w:basedOn w:val="DefaultParagraphFont"/>
    <w:rsid w:val="00B45B05"/>
  </w:style>
  <w:style w:type="character" w:styleId="CommentReference">
    <w:name w:val="annotation reference"/>
    <w:basedOn w:val="DefaultParagraphFont"/>
    <w:uiPriority w:val="99"/>
    <w:semiHidden/>
    <w:unhideWhenUsed/>
    <w:rsid w:val="00057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8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872"/>
    <w:rPr>
      <w:rFonts w:ascii="Arial" w:hAnsi="Arial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72"/>
    <w:rPr>
      <w:rFonts w:ascii="Arial" w:hAnsi="Arial"/>
      <w:b/>
      <w:bCs/>
      <w:lang w:val="el-GR"/>
    </w:rPr>
  </w:style>
  <w:style w:type="paragraph" w:styleId="ListParagraph">
    <w:name w:val="List Paragraph"/>
    <w:basedOn w:val="Normal"/>
    <w:uiPriority w:val="34"/>
    <w:qFormat/>
    <w:rsid w:val="00EA3694"/>
    <w:pPr>
      <w:ind w:left="720"/>
    </w:pPr>
  </w:style>
  <w:style w:type="paragraph" w:customStyle="1" w:styleId="toc-instrument">
    <w:name w:val="toc-instrument"/>
    <w:basedOn w:val="Normal"/>
    <w:rsid w:val="006147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D7158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DC88-729E-4477-87D8-90720CF3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ΝΟΜΟΣΧΕΔΙΟ ΜΕ ΤΙΤΛΟ</vt:lpstr>
    </vt:vector>
  </TitlesOfParts>
  <Company>Õðïõñãåßï Åìðïñßïõ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ΝΟΜΟΣΧΕΔΙΟ ΜΕ ΤΙΤΛΟ</dc:title>
  <dc:creator>Μαρία Ράσπα</dc:creator>
  <cp:lastModifiedBy>Glykeria Loizou</cp:lastModifiedBy>
  <cp:revision>2</cp:revision>
  <cp:lastPrinted>2022-02-09T07:04:00Z</cp:lastPrinted>
  <dcterms:created xsi:type="dcterms:W3CDTF">2022-05-23T07:01:00Z</dcterms:created>
  <dcterms:modified xsi:type="dcterms:W3CDTF">2022-05-23T07:01:00Z</dcterms:modified>
</cp:coreProperties>
</file>