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7366"/>
      </w:tblGrid>
      <w:tr w:rsidR="00503F2C" w:rsidRPr="008B65B2" w14:paraId="7F007E5E" w14:textId="77777777" w:rsidTr="008B65B2">
        <w:tc>
          <w:tcPr>
            <w:tcW w:w="9855" w:type="dxa"/>
            <w:gridSpan w:val="2"/>
          </w:tcPr>
          <w:p w14:paraId="45FC66CC" w14:textId="77777777" w:rsidR="00503F2C" w:rsidRPr="008B65B2" w:rsidRDefault="00503F2C" w:rsidP="00F84C31">
            <w:pPr>
              <w:keepNext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l-GR"/>
              </w:rPr>
            </w:pPr>
            <w:r w:rsidRPr="008B65B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l-GR"/>
              </w:rPr>
              <w:t>νομοσχεδιο με τιτλο</w:t>
            </w:r>
          </w:p>
        </w:tc>
      </w:tr>
      <w:tr w:rsidR="008B65B2" w:rsidRPr="00530F82" w14:paraId="0CC41B4B" w14:textId="77777777" w:rsidTr="008B65B2">
        <w:tc>
          <w:tcPr>
            <w:tcW w:w="9855" w:type="dxa"/>
            <w:gridSpan w:val="2"/>
          </w:tcPr>
          <w:p w14:paraId="50FCC951" w14:textId="5A06E378" w:rsidR="008B65B2" w:rsidRPr="008B65B2" w:rsidRDefault="008B65B2" w:rsidP="0021722C">
            <w:pPr>
              <w:keepNext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l-GR"/>
              </w:rPr>
            </w:pPr>
            <w:r w:rsidRPr="008B65B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l-GR"/>
              </w:rPr>
              <w:t>Νόμος που Τροποποιεί τους περί Συσκευασιών και Αποβλήτων Συσκευασιών Νόμους του 2002 έως του 20</w:t>
            </w:r>
            <w:r w:rsidR="0021722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l-GR"/>
              </w:rPr>
              <w:t>2</w:t>
            </w:r>
            <w:r w:rsidR="0027368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l-GR"/>
              </w:rPr>
              <w:t>2</w:t>
            </w:r>
          </w:p>
        </w:tc>
      </w:tr>
      <w:tr w:rsidR="00DA2295" w:rsidRPr="00530F82" w14:paraId="13630AA8" w14:textId="77777777" w:rsidTr="008B65B2">
        <w:tc>
          <w:tcPr>
            <w:tcW w:w="2489" w:type="dxa"/>
          </w:tcPr>
          <w:p w14:paraId="5A57D12E" w14:textId="77777777" w:rsidR="002C78BC" w:rsidRPr="008B65B2" w:rsidRDefault="00DA2295" w:rsidP="00F84C3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B65B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Προοίμιο.</w:t>
            </w:r>
          </w:p>
        </w:tc>
        <w:tc>
          <w:tcPr>
            <w:tcW w:w="7366" w:type="dxa"/>
          </w:tcPr>
          <w:p w14:paraId="7600AFBE" w14:textId="06C2BC32" w:rsidR="00DA2295" w:rsidRPr="008B65B2" w:rsidRDefault="00DA2295" w:rsidP="00F84C31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Για σκοπούς εναρμόνισης με </w:t>
            </w:r>
            <w:r w:rsidR="0027368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το άρθρο 2, παράγραφος 2 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</w:t>
            </w:r>
            <w:r w:rsidR="0027368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πράξη</w:t>
            </w:r>
            <w:r w:rsidR="0027368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της Ευρωπαϊκής Ένωσης με τίτλο–</w:t>
            </w:r>
          </w:p>
        </w:tc>
      </w:tr>
      <w:tr w:rsidR="00DA2295" w:rsidRPr="00530F82" w14:paraId="5DC395B4" w14:textId="77777777" w:rsidTr="008B65B2">
        <w:tc>
          <w:tcPr>
            <w:tcW w:w="2489" w:type="dxa"/>
          </w:tcPr>
          <w:p w14:paraId="599C819B" w14:textId="77777777" w:rsidR="0021722C" w:rsidRPr="0021722C" w:rsidRDefault="0021722C" w:rsidP="0021722C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21722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Επίσημη Εφημερίδα της Ε.Ε.: L155,</w:t>
            </w:r>
          </w:p>
          <w:p w14:paraId="64250873" w14:textId="77777777" w:rsidR="00DA2295" w:rsidRPr="008B65B2" w:rsidRDefault="0021722C" w:rsidP="0021722C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21722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12.6.2019, σ. 1</w:t>
            </w:r>
          </w:p>
        </w:tc>
        <w:tc>
          <w:tcPr>
            <w:tcW w:w="7366" w:type="dxa"/>
          </w:tcPr>
          <w:p w14:paraId="7BC20841" w14:textId="77777777" w:rsidR="00DA2295" w:rsidRPr="0021722C" w:rsidRDefault="0021722C" w:rsidP="00F84C31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1722C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«Οδηγία (ΕΕ) 2019/904 του Ευρωπαϊκού Κοινοβουλίου και του Συμβουλίου της 5ης Ιουνίου 2019 σχετικά με τη μείωση των επιπτώσεων ορισμένων πλαστικών προϊόντων στο περιβάλλον»,</w:t>
            </w:r>
          </w:p>
        </w:tc>
      </w:tr>
      <w:tr w:rsidR="00DA2295" w:rsidRPr="00530F82" w14:paraId="36B66517" w14:textId="77777777" w:rsidTr="008B65B2">
        <w:tc>
          <w:tcPr>
            <w:tcW w:w="2489" w:type="dxa"/>
          </w:tcPr>
          <w:p w14:paraId="33531067" w14:textId="77777777" w:rsidR="00DA2295" w:rsidRPr="008B65B2" w:rsidRDefault="00DA2295" w:rsidP="00F84C3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366" w:type="dxa"/>
          </w:tcPr>
          <w:p w14:paraId="14A91C7B" w14:textId="77777777" w:rsidR="00DA2295" w:rsidRPr="008B65B2" w:rsidRDefault="002C78BC" w:rsidP="00F84C31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5F443B" w:rsidRPr="00530F82" w14:paraId="1DCFA873" w14:textId="77777777" w:rsidTr="008B65B2">
        <w:tc>
          <w:tcPr>
            <w:tcW w:w="2489" w:type="dxa"/>
          </w:tcPr>
          <w:p w14:paraId="0E50E4FF" w14:textId="77777777" w:rsidR="005F443B" w:rsidRPr="008B65B2" w:rsidRDefault="005F443B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366" w:type="dxa"/>
          </w:tcPr>
          <w:p w14:paraId="506DC29C" w14:textId="77777777" w:rsidR="005F443B" w:rsidRPr="008B65B2" w:rsidRDefault="005F443B" w:rsidP="00F84C31">
            <w:pPr>
              <w:pStyle w:val="ListParagraph"/>
              <w:keepNext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A2295" w:rsidRPr="00530F82" w14:paraId="3C90DF7B" w14:textId="77777777" w:rsidTr="008B65B2">
        <w:tc>
          <w:tcPr>
            <w:tcW w:w="2489" w:type="dxa"/>
          </w:tcPr>
          <w:p w14:paraId="427E0C15" w14:textId="77777777" w:rsidR="00DA2295" w:rsidRPr="008B65B2" w:rsidRDefault="002C78BC" w:rsidP="00F84C3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B65B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Συνοπτικός τίτλος.</w:t>
            </w:r>
          </w:p>
          <w:p w14:paraId="78A26654" w14:textId="77777777" w:rsidR="002C78BC" w:rsidRPr="008B65B2" w:rsidRDefault="00B73FE9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2C78BC"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32(Ι) του 2002</w:t>
            </w:r>
          </w:p>
          <w:p w14:paraId="093CA984" w14:textId="77777777" w:rsidR="002C78BC" w:rsidRPr="008B65B2" w:rsidRDefault="002C78BC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133(Ι) του 2003</w:t>
            </w:r>
          </w:p>
          <w:p w14:paraId="773FF050" w14:textId="77777777" w:rsidR="002C78BC" w:rsidRPr="008B65B2" w:rsidRDefault="002C78BC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159(Ι) του 2005</w:t>
            </w:r>
          </w:p>
          <w:p w14:paraId="6AF31237" w14:textId="77777777" w:rsidR="002C78BC" w:rsidRPr="008B65B2" w:rsidRDefault="00B73FE9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2C78BC"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48(Ι) του 2006</w:t>
            </w:r>
          </w:p>
          <w:p w14:paraId="0A0EAA37" w14:textId="77777777" w:rsidR="002C78BC" w:rsidRPr="008B65B2" w:rsidRDefault="00B73FE9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2C78BC"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58(Ι) του 2012</w:t>
            </w:r>
          </w:p>
          <w:p w14:paraId="6FA4B88C" w14:textId="77777777" w:rsidR="002C78BC" w:rsidRPr="008B65B2" w:rsidRDefault="00B73FE9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2C78BC"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59(Ι) του 2012</w:t>
            </w:r>
          </w:p>
          <w:p w14:paraId="1D48D862" w14:textId="77777777" w:rsidR="002C78BC" w:rsidRPr="008B65B2" w:rsidRDefault="002C78BC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125(Ι) του 2012</w:t>
            </w:r>
          </w:p>
          <w:p w14:paraId="0EA1F575" w14:textId="77777777" w:rsidR="002C78BC" w:rsidRDefault="0021722C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163(Ι) του 2017</w:t>
            </w:r>
          </w:p>
          <w:p w14:paraId="76523269" w14:textId="77777777" w:rsidR="0021722C" w:rsidRDefault="0021722C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171(Ι) του 2019</w:t>
            </w:r>
          </w:p>
          <w:p w14:paraId="4A64ED17" w14:textId="19691075" w:rsidR="0021722C" w:rsidRDefault="0021722C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105(Ι) του 2021</w:t>
            </w:r>
          </w:p>
          <w:p w14:paraId="6EA914E5" w14:textId="2A3D21F2" w:rsidR="00273682" w:rsidRDefault="00273682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….(Ι) του 2022.</w:t>
            </w:r>
          </w:p>
          <w:p w14:paraId="1CE86A71" w14:textId="77777777" w:rsidR="0021722C" w:rsidRPr="008B65B2" w:rsidRDefault="0021722C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366" w:type="dxa"/>
          </w:tcPr>
          <w:p w14:paraId="1B4837C9" w14:textId="41BD6218" w:rsidR="00DA2295" w:rsidRPr="008B65B2" w:rsidRDefault="002C78BC" w:rsidP="0021722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 παρών Νόμος θα αναφέρεται ως ο περί Συσκευασιών και Αποβλήτων Συσκευασιών (Τροποποιητικός)</w:t>
            </w:r>
            <w:r w:rsidR="002172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(Αρ. </w:t>
            </w:r>
            <w:r w:rsidR="0027368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2172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Νόμος του 20</w:t>
            </w:r>
            <w:r w:rsidR="002172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27368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και θα διαβάζεται μαζί με τους περί Συσκευασιών και Αποβλήτων Συσκευασιών Νόμους του 2002 έως 20</w:t>
            </w:r>
            <w:r w:rsidR="002172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27368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(που στο εξής θα αναφέρονται ως «ο βασικός Νόμος») και ο βασικός νόμος και ο παρ</w:t>
            </w:r>
            <w:r w:rsidR="0027368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ώ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ν Νόμος θα αναφέρονται μαζί ως οι περί Συσκευασιών και Αποβλήτων Συσκευασιών Νόμοι του 2002 έως </w:t>
            </w:r>
            <w:r w:rsidR="002172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proofErr w:type="spellStart"/>
            <w:r w:rsidR="002172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</w:t>
            </w:r>
            <w:proofErr w:type="spellEnd"/>
            <w:r w:rsidR="002172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="0027368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2</w:t>
            </w:r>
            <w:r w:rsidR="002172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) του 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</w:t>
            </w:r>
            <w:r w:rsidR="002172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27368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. </w:t>
            </w:r>
          </w:p>
        </w:tc>
      </w:tr>
      <w:tr w:rsidR="005F443B" w:rsidRPr="00530F82" w14:paraId="10C4A7BF" w14:textId="77777777" w:rsidTr="008B65B2">
        <w:tc>
          <w:tcPr>
            <w:tcW w:w="2489" w:type="dxa"/>
          </w:tcPr>
          <w:p w14:paraId="1CDA33C6" w14:textId="77777777" w:rsidR="005F443B" w:rsidRPr="008B65B2" w:rsidRDefault="005F443B" w:rsidP="00F84C3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366" w:type="dxa"/>
          </w:tcPr>
          <w:p w14:paraId="7A00EE58" w14:textId="77777777" w:rsidR="005F443B" w:rsidRPr="008B65B2" w:rsidRDefault="005F443B" w:rsidP="00F84C31">
            <w:pPr>
              <w:pStyle w:val="ListParagraph"/>
              <w:keepNext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63F0E" w:rsidRPr="00530F82" w14:paraId="504E7D43" w14:textId="77777777" w:rsidTr="008B65B2">
        <w:tc>
          <w:tcPr>
            <w:tcW w:w="2489" w:type="dxa"/>
            <w:vMerge w:val="restart"/>
          </w:tcPr>
          <w:p w14:paraId="636414F0" w14:textId="77777777" w:rsidR="00D63F0E" w:rsidRDefault="00393E2E" w:rsidP="00F84C3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Προσθήκη νέου εδαφίου (3) στο άρθρο 3 του βασικού νόμου.</w:t>
            </w:r>
          </w:p>
          <w:p w14:paraId="11843121" w14:textId="77777777" w:rsidR="00393E2E" w:rsidRDefault="00393E2E" w:rsidP="00F84C3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14:paraId="175D6EB8" w14:textId="77777777" w:rsidR="008440B1" w:rsidRPr="008440B1" w:rsidRDefault="008440B1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8440B1">
              <w:rPr>
                <w:rFonts w:ascii="Arial" w:eastAsia="Calibri" w:hAnsi="Arial" w:cs="Arial"/>
                <w:sz w:val="20"/>
                <w:szCs w:val="20"/>
                <w:lang w:val="el-GR"/>
              </w:rPr>
              <w:t>185(Ι) του 2011</w:t>
            </w:r>
          </w:p>
          <w:p w14:paraId="766D575E" w14:textId="77777777" w:rsidR="008440B1" w:rsidRPr="008440B1" w:rsidRDefault="008440B1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8440B1">
              <w:rPr>
                <w:rFonts w:ascii="Arial" w:eastAsia="Calibri" w:hAnsi="Arial" w:cs="Arial"/>
                <w:sz w:val="20"/>
                <w:szCs w:val="20"/>
                <w:lang w:val="el-GR"/>
              </w:rPr>
              <w:t>6(Ι) του 2012</w:t>
            </w:r>
          </w:p>
          <w:p w14:paraId="5BBD98C6" w14:textId="77777777" w:rsidR="008440B1" w:rsidRPr="008440B1" w:rsidRDefault="008440B1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8440B1">
              <w:rPr>
                <w:rFonts w:ascii="Arial" w:eastAsia="Calibri" w:hAnsi="Arial" w:cs="Arial"/>
                <w:sz w:val="20"/>
                <w:szCs w:val="20"/>
                <w:lang w:val="el-GR"/>
              </w:rPr>
              <w:t>32(Ι) του 2014</w:t>
            </w:r>
          </w:p>
          <w:p w14:paraId="139AC5DD" w14:textId="77777777" w:rsidR="008440B1" w:rsidRPr="008440B1" w:rsidRDefault="008440B1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8440B1">
              <w:rPr>
                <w:rFonts w:ascii="Arial" w:eastAsia="Calibri" w:hAnsi="Arial" w:cs="Arial"/>
                <w:sz w:val="20"/>
                <w:szCs w:val="20"/>
                <w:lang w:val="el-GR"/>
              </w:rPr>
              <w:t>55(Ι) του 2014</w:t>
            </w:r>
          </w:p>
          <w:p w14:paraId="33A57246" w14:textId="77777777" w:rsidR="008440B1" w:rsidRPr="008440B1" w:rsidRDefault="008440B1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8440B1">
              <w:rPr>
                <w:rFonts w:ascii="Arial" w:eastAsia="Calibri" w:hAnsi="Arial" w:cs="Arial"/>
                <w:sz w:val="20"/>
                <w:szCs w:val="20"/>
                <w:lang w:val="el-GR"/>
              </w:rPr>
              <w:t>31(Ι) του 2015</w:t>
            </w:r>
          </w:p>
          <w:p w14:paraId="6D1DA9BD" w14:textId="77777777" w:rsidR="008440B1" w:rsidRPr="008440B1" w:rsidRDefault="008440B1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8440B1">
              <w:rPr>
                <w:rFonts w:ascii="Arial" w:eastAsia="Calibri" w:hAnsi="Arial" w:cs="Arial"/>
                <w:sz w:val="20"/>
                <w:szCs w:val="20"/>
                <w:lang w:val="el-GR"/>
              </w:rPr>
              <w:t>3(Ι) του 2016</w:t>
            </w:r>
          </w:p>
          <w:p w14:paraId="2605AE59" w14:textId="77777777" w:rsidR="008440B1" w:rsidRPr="008440B1" w:rsidRDefault="008440B1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8440B1">
              <w:rPr>
                <w:rFonts w:ascii="Arial" w:eastAsia="Calibri" w:hAnsi="Arial" w:cs="Arial"/>
                <w:sz w:val="20"/>
                <w:szCs w:val="20"/>
                <w:lang w:val="el-GR"/>
              </w:rPr>
              <w:t>120(Ι) του 2016</w:t>
            </w:r>
          </w:p>
          <w:p w14:paraId="42FE5B62" w14:textId="064BF7EA" w:rsidR="008440B1" w:rsidRDefault="008440B1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8440B1">
              <w:rPr>
                <w:rFonts w:ascii="Arial" w:eastAsia="Calibri" w:hAnsi="Arial" w:cs="Arial"/>
                <w:sz w:val="20"/>
                <w:szCs w:val="20"/>
                <w:lang w:val="el-GR"/>
              </w:rPr>
              <w:t>104(Ι) του 2021</w:t>
            </w:r>
          </w:p>
          <w:p w14:paraId="2B728BEC" w14:textId="5E72C7E6" w:rsidR="00273682" w:rsidRDefault="00273682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l-GR"/>
              </w:rPr>
              <w:t>152(Ι) του 2021</w:t>
            </w:r>
          </w:p>
          <w:p w14:paraId="746BBCD6" w14:textId="0DEFEF4B" w:rsidR="00273682" w:rsidRPr="008440B1" w:rsidRDefault="00273682" w:rsidP="008440B1">
            <w:pPr>
              <w:keepNext/>
              <w:keepLines/>
              <w:widowControl w:val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l-GR"/>
              </w:rPr>
              <w:t>…..(Ι) του 2022.</w:t>
            </w:r>
          </w:p>
          <w:p w14:paraId="33048A48" w14:textId="77777777" w:rsidR="00393E2E" w:rsidRPr="008440B1" w:rsidRDefault="00393E2E" w:rsidP="008440B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6" w:type="dxa"/>
          </w:tcPr>
          <w:p w14:paraId="5039B12A" w14:textId="77777777" w:rsidR="00D63F0E" w:rsidRPr="008B65B2" w:rsidRDefault="00D63F0E" w:rsidP="00393E2E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Το άρθρο </w:t>
            </w:r>
            <w:r w:rsidR="00393E2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του βασικού νόμου τροποποιείται</w:t>
            </w:r>
            <w:r w:rsidR="00393E2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με την προσθήκη, αμέσως μετά το εδάφιο (2) αυτού, του ακόλουθου νέου εδαφίου (3)</w:t>
            </w:r>
            <w:r w:rsidRPr="008B65B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</w:t>
            </w:r>
          </w:p>
        </w:tc>
      </w:tr>
      <w:tr w:rsidR="00D63F0E" w:rsidRPr="00530F82" w14:paraId="438A9DD4" w14:textId="77777777" w:rsidTr="008B65B2">
        <w:tc>
          <w:tcPr>
            <w:tcW w:w="2489" w:type="dxa"/>
            <w:vMerge/>
          </w:tcPr>
          <w:p w14:paraId="6E28477B" w14:textId="77777777" w:rsidR="00D63F0E" w:rsidRPr="008B65B2" w:rsidRDefault="00D63F0E" w:rsidP="00F84C3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366" w:type="dxa"/>
          </w:tcPr>
          <w:p w14:paraId="1A4B3937" w14:textId="77777777" w:rsidR="00393E2E" w:rsidRDefault="00393E2E" w:rsidP="00393E2E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52DEAC73" w14:textId="26FD431C" w:rsidR="00D63F0E" w:rsidRPr="00530F82" w:rsidRDefault="00393E2E" w:rsidP="00D00185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«(3) </w:t>
            </w:r>
            <w:r w:rsidRPr="00393E2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Σε περίπτωση σύγκρουσης των διατάξεων του </w:t>
            </w:r>
            <w:r w:rsidR="00D3115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παρόντος Νόμου με τις διατάξεις του </w:t>
            </w:r>
            <w:r w:rsidRPr="00393E2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Μέρους VIΑ </w:t>
            </w:r>
            <w:r w:rsidR="00D3115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των</w:t>
            </w:r>
            <w:r w:rsidR="00FC519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περί Αποβλήτων Νόμ</w:t>
            </w:r>
            <w:r w:rsidR="00D3115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ων του 2011 έως 2022,</w:t>
            </w:r>
            <w:r w:rsidRPr="00393E2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FC519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υπερισχύουν</w:t>
            </w:r>
            <w:r w:rsidRPr="00393E2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οι διατάξεις του Μέρους VIA </w:t>
            </w:r>
            <w:r w:rsidR="00D3115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των περί Αποβλήτων Νόμων του 2011 έως 2022.</w:t>
            </w:r>
          </w:p>
        </w:tc>
      </w:tr>
      <w:tr w:rsidR="00DA2295" w:rsidRPr="00530F82" w14:paraId="707694BC" w14:textId="77777777" w:rsidTr="008B65B2">
        <w:tc>
          <w:tcPr>
            <w:tcW w:w="2489" w:type="dxa"/>
          </w:tcPr>
          <w:p w14:paraId="37D5B6FE" w14:textId="77777777" w:rsidR="00DA2295" w:rsidRPr="008B65B2" w:rsidRDefault="00DA2295" w:rsidP="00F84C3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366" w:type="dxa"/>
          </w:tcPr>
          <w:p w14:paraId="1CD9F41C" w14:textId="77777777" w:rsidR="00DA2295" w:rsidRPr="008B65B2" w:rsidRDefault="00DA2295" w:rsidP="00F84C31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A2295" w:rsidRPr="00530F82" w14:paraId="47FDB998" w14:textId="77777777" w:rsidTr="008B65B2">
        <w:tc>
          <w:tcPr>
            <w:tcW w:w="2489" w:type="dxa"/>
          </w:tcPr>
          <w:p w14:paraId="1034E3D7" w14:textId="77777777" w:rsidR="00DA2295" w:rsidRPr="008B65B2" w:rsidRDefault="00DA2295" w:rsidP="00F84C3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366" w:type="dxa"/>
          </w:tcPr>
          <w:p w14:paraId="5815662D" w14:textId="77777777" w:rsidR="00DA2295" w:rsidRPr="008B65B2" w:rsidRDefault="00DA2295" w:rsidP="00393E2E">
            <w:pPr>
              <w:pStyle w:val="ListParagraph"/>
              <w:keepNext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A2295" w:rsidRPr="00530F82" w14:paraId="77BC1F0D" w14:textId="77777777" w:rsidTr="008B65B2">
        <w:tc>
          <w:tcPr>
            <w:tcW w:w="2489" w:type="dxa"/>
          </w:tcPr>
          <w:p w14:paraId="6BC5CF9D" w14:textId="77777777" w:rsidR="00DA2295" w:rsidRPr="008B65B2" w:rsidRDefault="00DA2295" w:rsidP="00F84C31">
            <w:pPr>
              <w:keepNext/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366" w:type="dxa"/>
          </w:tcPr>
          <w:p w14:paraId="1EBA9A3F" w14:textId="77777777" w:rsidR="00A02CBB" w:rsidRPr="008B65B2" w:rsidRDefault="00A02CBB" w:rsidP="00F84C31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07003076" w14:textId="77777777" w:rsidR="003E3066" w:rsidRPr="008B65B2" w:rsidRDefault="003E3066" w:rsidP="008439D9">
      <w:pPr>
        <w:keepNext/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sectPr w:rsidR="003E3066" w:rsidRPr="008B65B2" w:rsidSect="003E3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53DC" w14:textId="77777777" w:rsidR="004B19C7" w:rsidRDefault="004B19C7" w:rsidP="00D769A1">
      <w:pPr>
        <w:spacing w:after="0" w:line="240" w:lineRule="auto"/>
      </w:pPr>
      <w:r>
        <w:separator/>
      </w:r>
    </w:p>
  </w:endnote>
  <w:endnote w:type="continuationSeparator" w:id="0">
    <w:p w14:paraId="1DB20780" w14:textId="77777777" w:rsidR="004B19C7" w:rsidRDefault="004B19C7" w:rsidP="00D7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Albertin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8BAF" w14:textId="77777777" w:rsidR="00D769A1" w:rsidRDefault="00D7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80F8" w14:textId="77777777" w:rsidR="00D769A1" w:rsidRDefault="00D76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5B96" w14:textId="77777777" w:rsidR="00D769A1" w:rsidRDefault="00D7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CE55" w14:textId="77777777" w:rsidR="004B19C7" w:rsidRDefault="004B19C7" w:rsidP="00D769A1">
      <w:pPr>
        <w:spacing w:after="0" w:line="240" w:lineRule="auto"/>
      </w:pPr>
      <w:r>
        <w:separator/>
      </w:r>
    </w:p>
  </w:footnote>
  <w:footnote w:type="continuationSeparator" w:id="0">
    <w:p w14:paraId="4C62F99B" w14:textId="77777777" w:rsidR="004B19C7" w:rsidRDefault="004B19C7" w:rsidP="00D7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2E91" w14:textId="77777777" w:rsidR="00D769A1" w:rsidRDefault="00D76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934048"/>
      <w:docPartObj>
        <w:docPartGallery w:val="Watermarks"/>
        <w:docPartUnique/>
      </w:docPartObj>
    </w:sdtPr>
    <w:sdtEndPr/>
    <w:sdtContent>
      <w:p w14:paraId="79D35440" w14:textId="77777777" w:rsidR="00D769A1" w:rsidRDefault="004B19C7">
        <w:pPr>
          <w:pStyle w:val="Header"/>
        </w:pPr>
        <w:r>
          <w:rPr>
            <w:noProof/>
            <w:lang w:eastAsia="zh-TW"/>
          </w:rPr>
          <w:pict w14:anchorId="79AAE1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80FE" w14:textId="77777777" w:rsidR="00D769A1" w:rsidRDefault="00D76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F36"/>
    <w:multiLevelType w:val="hybridMultilevel"/>
    <w:tmpl w:val="D4A43EF0"/>
    <w:lvl w:ilvl="0" w:tplc="EFECC518">
      <w:start w:val="2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530A"/>
    <w:multiLevelType w:val="hybridMultilevel"/>
    <w:tmpl w:val="87261F96"/>
    <w:lvl w:ilvl="0" w:tplc="99A4B94C">
      <w:start w:val="7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92E6C1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82D"/>
    <w:multiLevelType w:val="hybridMultilevel"/>
    <w:tmpl w:val="D40C7D7A"/>
    <w:lvl w:ilvl="0" w:tplc="1780F2B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2C0"/>
    <w:multiLevelType w:val="hybridMultilevel"/>
    <w:tmpl w:val="EF645DC6"/>
    <w:lvl w:ilvl="0" w:tplc="3D5EC5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747"/>
    <w:multiLevelType w:val="hybridMultilevel"/>
    <w:tmpl w:val="4914D26A"/>
    <w:lvl w:ilvl="0" w:tplc="2496E502">
      <w:start w:val="1"/>
      <w:numFmt w:val="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01FD"/>
    <w:multiLevelType w:val="hybridMultilevel"/>
    <w:tmpl w:val="322C3456"/>
    <w:lvl w:ilvl="0" w:tplc="7FAA395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53198"/>
    <w:multiLevelType w:val="hybridMultilevel"/>
    <w:tmpl w:val="23F49ED2"/>
    <w:lvl w:ilvl="0" w:tplc="559A661E">
      <w:start w:val="10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7B2"/>
    <w:multiLevelType w:val="hybridMultilevel"/>
    <w:tmpl w:val="122C939C"/>
    <w:lvl w:ilvl="0" w:tplc="28165D20">
      <w:start w:val="1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520"/>
    <w:multiLevelType w:val="hybridMultilevel"/>
    <w:tmpl w:val="312006C2"/>
    <w:lvl w:ilvl="0" w:tplc="B6AA3DD2">
      <w:start w:val="2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825"/>
    <w:multiLevelType w:val="hybridMultilevel"/>
    <w:tmpl w:val="629C5D70"/>
    <w:lvl w:ilvl="0" w:tplc="F1D2B4B0">
      <w:start w:val="3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4B5"/>
    <w:multiLevelType w:val="hybridMultilevel"/>
    <w:tmpl w:val="1AC099DC"/>
    <w:lvl w:ilvl="0" w:tplc="A1108C0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2025"/>
    <w:multiLevelType w:val="hybridMultilevel"/>
    <w:tmpl w:val="9FE24B64"/>
    <w:lvl w:ilvl="0" w:tplc="FF0036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1089"/>
    <w:multiLevelType w:val="hybridMultilevel"/>
    <w:tmpl w:val="069CCADA"/>
    <w:lvl w:ilvl="0" w:tplc="1CD0C67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1315D"/>
    <w:multiLevelType w:val="hybridMultilevel"/>
    <w:tmpl w:val="4894AF04"/>
    <w:lvl w:ilvl="0" w:tplc="755CA5AC">
      <w:start w:val="1"/>
      <w:numFmt w:val="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15E3"/>
    <w:multiLevelType w:val="hybridMultilevel"/>
    <w:tmpl w:val="930E1162"/>
    <w:lvl w:ilvl="0" w:tplc="AF84D57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B3279C6">
      <w:start w:val="1"/>
      <w:numFmt w:val="decimal"/>
      <w:lvlText w:val="%7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D49DD"/>
    <w:multiLevelType w:val="hybridMultilevel"/>
    <w:tmpl w:val="527A9A78"/>
    <w:lvl w:ilvl="0" w:tplc="578AABF4">
      <w:start w:val="2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A629E"/>
    <w:multiLevelType w:val="hybridMultilevel"/>
    <w:tmpl w:val="404CFB4C"/>
    <w:lvl w:ilvl="0" w:tplc="419A37BA">
      <w:start w:val="2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4325D"/>
    <w:multiLevelType w:val="hybridMultilevel"/>
    <w:tmpl w:val="2F542450"/>
    <w:lvl w:ilvl="0" w:tplc="2146CEA6">
      <w:start w:val="2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7FA1"/>
    <w:multiLevelType w:val="hybridMultilevel"/>
    <w:tmpl w:val="5130F8F4"/>
    <w:lvl w:ilvl="0" w:tplc="000299BC">
      <w:start w:val="1"/>
      <w:numFmt w:val="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B73D9"/>
    <w:multiLevelType w:val="hybridMultilevel"/>
    <w:tmpl w:val="8786B0C6"/>
    <w:lvl w:ilvl="0" w:tplc="1CC8884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B5A0E"/>
    <w:multiLevelType w:val="hybridMultilevel"/>
    <w:tmpl w:val="2C644FBC"/>
    <w:lvl w:ilvl="0" w:tplc="4E22C5A6">
      <w:start w:val="1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4B30"/>
    <w:multiLevelType w:val="hybridMultilevel"/>
    <w:tmpl w:val="17824100"/>
    <w:lvl w:ilvl="0" w:tplc="A4549444">
      <w:start w:val="4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1F5A"/>
    <w:multiLevelType w:val="multilevel"/>
    <w:tmpl w:val="36E4378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D6F3F83"/>
    <w:multiLevelType w:val="hybridMultilevel"/>
    <w:tmpl w:val="F04E9E46"/>
    <w:lvl w:ilvl="0" w:tplc="CA7C7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F3555"/>
    <w:multiLevelType w:val="hybridMultilevel"/>
    <w:tmpl w:val="A4EECA3E"/>
    <w:lvl w:ilvl="0" w:tplc="E4C274E2">
      <w:start w:val="1"/>
      <w:numFmt w:val="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166DE"/>
    <w:multiLevelType w:val="hybridMultilevel"/>
    <w:tmpl w:val="4756FE5E"/>
    <w:lvl w:ilvl="0" w:tplc="CD527626">
      <w:start w:val="3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A5FF9"/>
    <w:multiLevelType w:val="hybridMultilevel"/>
    <w:tmpl w:val="7D9ADBF4"/>
    <w:lvl w:ilvl="0" w:tplc="AAE0EC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61779"/>
    <w:multiLevelType w:val="hybridMultilevel"/>
    <w:tmpl w:val="8AB4A2B4"/>
    <w:lvl w:ilvl="0" w:tplc="858A9744">
      <w:start w:val="1"/>
      <w:numFmt w:val="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7D1344"/>
    <w:multiLevelType w:val="hybridMultilevel"/>
    <w:tmpl w:val="75BE843C"/>
    <w:lvl w:ilvl="0" w:tplc="532C51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87434"/>
    <w:multiLevelType w:val="hybridMultilevel"/>
    <w:tmpl w:val="8F2C109A"/>
    <w:lvl w:ilvl="0" w:tplc="F5A43952">
      <w:start w:val="2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64A1F"/>
    <w:multiLevelType w:val="hybridMultilevel"/>
    <w:tmpl w:val="61A46776"/>
    <w:lvl w:ilvl="0" w:tplc="F5066D60">
      <w:start w:val="2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5F65"/>
    <w:multiLevelType w:val="hybridMultilevel"/>
    <w:tmpl w:val="9ACAB192"/>
    <w:lvl w:ilvl="0" w:tplc="76842974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A4258"/>
    <w:multiLevelType w:val="multilevel"/>
    <w:tmpl w:val="36E4378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8C1A84"/>
    <w:multiLevelType w:val="hybridMultilevel"/>
    <w:tmpl w:val="7EE6DD98"/>
    <w:lvl w:ilvl="0" w:tplc="BFD047BC">
      <w:start w:val="3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96247"/>
    <w:multiLevelType w:val="hybridMultilevel"/>
    <w:tmpl w:val="188633E2"/>
    <w:lvl w:ilvl="0" w:tplc="114A8312">
      <w:start w:val="2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  <w:kern w:val="0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C0102"/>
    <w:multiLevelType w:val="hybridMultilevel"/>
    <w:tmpl w:val="1632FA36"/>
    <w:lvl w:ilvl="0" w:tplc="4BA42620">
      <w:start w:val="10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67EAC"/>
    <w:multiLevelType w:val="multilevel"/>
    <w:tmpl w:val="36E4378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0E3669"/>
    <w:multiLevelType w:val="hybridMultilevel"/>
    <w:tmpl w:val="FB0A6120"/>
    <w:lvl w:ilvl="0" w:tplc="15FA5CBC">
      <w:start w:val="8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22"/>
  </w:num>
  <w:num w:numId="5">
    <w:abstractNumId w:val="36"/>
  </w:num>
  <w:num w:numId="6">
    <w:abstractNumId w:val="32"/>
  </w:num>
  <w:num w:numId="7">
    <w:abstractNumId w:val="28"/>
  </w:num>
  <w:num w:numId="8">
    <w:abstractNumId w:val="1"/>
  </w:num>
  <w:num w:numId="9">
    <w:abstractNumId w:val="18"/>
  </w:num>
  <w:num w:numId="10">
    <w:abstractNumId w:val="37"/>
  </w:num>
  <w:num w:numId="11">
    <w:abstractNumId w:val="13"/>
  </w:num>
  <w:num w:numId="12">
    <w:abstractNumId w:val="15"/>
  </w:num>
  <w:num w:numId="13">
    <w:abstractNumId w:val="5"/>
  </w:num>
  <w:num w:numId="14">
    <w:abstractNumId w:val="27"/>
  </w:num>
  <w:num w:numId="15">
    <w:abstractNumId w:val="34"/>
  </w:num>
  <w:num w:numId="16">
    <w:abstractNumId w:val="0"/>
  </w:num>
  <w:num w:numId="17">
    <w:abstractNumId w:val="10"/>
  </w:num>
  <w:num w:numId="18">
    <w:abstractNumId w:val="30"/>
  </w:num>
  <w:num w:numId="19">
    <w:abstractNumId w:val="24"/>
  </w:num>
  <w:num w:numId="20">
    <w:abstractNumId w:val="29"/>
  </w:num>
  <w:num w:numId="21">
    <w:abstractNumId w:val="21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16"/>
  </w:num>
  <w:num w:numId="27">
    <w:abstractNumId w:val="4"/>
  </w:num>
  <w:num w:numId="28">
    <w:abstractNumId w:val="33"/>
  </w:num>
  <w:num w:numId="29">
    <w:abstractNumId w:val="35"/>
  </w:num>
  <w:num w:numId="30">
    <w:abstractNumId w:val="17"/>
  </w:num>
  <w:num w:numId="31">
    <w:abstractNumId w:val="9"/>
  </w:num>
  <w:num w:numId="32">
    <w:abstractNumId w:val="8"/>
  </w:num>
  <w:num w:numId="33">
    <w:abstractNumId w:val="7"/>
  </w:num>
  <w:num w:numId="34">
    <w:abstractNumId w:val="26"/>
  </w:num>
  <w:num w:numId="35">
    <w:abstractNumId w:val="20"/>
  </w:num>
  <w:num w:numId="36">
    <w:abstractNumId w:val="14"/>
  </w:num>
  <w:num w:numId="37">
    <w:abstractNumId w:val="25"/>
  </w:num>
  <w:num w:numId="3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95"/>
    <w:rsid w:val="00002592"/>
    <w:rsid w:val="0002196B"/>
    <w:rsid w:val="0004066E"/>
    <w:rsid w:val="0005414A"/>
    <w:rsid w:val="000542DE"/>
    <w:rsid w:val="00087765"/>
    <w:rsid w:val="00093715"/>
    <w:rsid w:val="000A6C18"/>
    <w:rsid w:val="000C7670"/>
    <w:rsid w:val="000D6AD3"/>
    <w:rsid w:val="000F325C"/>
    <w:rsid w:val="00114921"/>
    <w:rsid w:val="001658EA"/>
    <w:rsid w:val="001A1213"/>
    <w:rsid w:val="001B2AFC"/>
    <w:rsid w:val="002004C0"/>
    <w:rsid w:val="0021722C"/>
    <w:rsid w:val="0023240A"/>
    <w:rsid w:val="00243FD3"/>
    <w:rsid w:val="0027008C"/>
    <w:rsid w:val="00273682"/>
    <w:rsid w:val="00280B38"/>
    <w:rsid w:val="002A47D0"/>
    <w:rsid w:val="002C4081"/>
    <w:rsid w:val="002C78BC"/>
    <w:rsid w:val="002D7787"/>
    <w:rsid w:val="002F28ED"/>
    <w:rsid w:val="002F6316"/>
    <w:rsid w:val="00301720"/>
    <w:rsid w:val="00305CF5"/>
    <w:rsid w:val="00322885"/>
    <w:rsid w:val="00332E3D"/>
    <w:rsid w:val="00377DED"/>
    <w:rsid w:val="00391D53"/>
    <w:rsid w:val="00393E2E"/>
    <w:rsid w:val="00394513"/>
    <w:rsid w:val="0039522A"/>
    <w:rsid w:val="003B2E88"/>
    <w:rsid w:val="003D4EC8"/>
    <w:rsid w:val="003E3066"/>
    <w:rsid w:val="0040042B"/>
    <w:rsid w:val="00452C70"/>
    <w:rsid w:val="004B19C7"/>
    <w:rsid w:val="004B45BB"/>
    <w:rsid w:val="004B5A10"/>
    <w:rsid w:val="004C00A4"/>
    <w:rsid w:val="004C35ED"/>
    <w:rsid w:val="004D02F6"/>
    <w:rsid w:val="004D55E6"/>
    <w:rsid w:val="00503F2C"/>
    <w:rsid w:val="00510610"/>
    <w:rsid w:val="00530F82"/>
    <w:rsid w:val="0053400B"/>
    <w:rsid w:val="005357A6"/>
    <w:rsid w:val="00562A47"/>
    <w:rsid w:val="005A4845"/>
    <w:rsid w:val="005A6707"/>
    <w:rsid w:val="005C085A"/>
    <w:rsid w:val="005F443B"/>
    <w:rsid w:val="00614142"/>
    <w:rsid w:val="00626A19"/>
    <w:rsid w:val="00635810"/>
    <w:rsid w:val="00635E61"/>
    <w:rsid w:val="00677C20"/>
    <w:rsid w:val="006A6737"/>
    <w:rsid w:val="006B5888"/>
    <w:rsid w:val="006B6FAA"/>
    <w:rsid w:val="006B7BD3"/>
    <w:rsid w:val="006D66D2"/>
    <w:rsid w:val="006F44C8"/>
    <w:rsid w:val="007159CA"/>
    <w:rsid w:val="00726401"/>
    <w:rsid w:val="0073117D"/>
    <w:rsid w:val="00747007"/>
    <w:rsid w:val="00755544"/>
    <w:rsid w:val="00766A11"/>
    <w:rsid w:val="007A58BC"/>
    <w:rsid w:val="007C161C"/>
    <w:rsid w:val="007C415B"/>
    <w:rsid w:val="007D2671"/>
    <w:rsid w:val="007D5F32"/>
    <w:rsid w:val="007E79D8"/>
    <w:rsid w:val="007F644F"/>
    <w:rsid w:val="008439D9"/>
    <w:rsid w:val="008440B1"/>
    <w:rsid w:val="0084538D"/>
    <w:rsid w:val="008931FF"/>
    <w:rsid w:val="008B5F67"/>
    <w:rsid w:val="008B65B2"/>
    <w:rsid w:val="008D47E3"/>
    <w:rsid w:val="008D6A0E"/>
    <w:rsid w:val="008F564F"/>
    <w:rsid w:val="00971A05"/>
    <w:rsid w:val="0097723A"/>
    <w:rsid w:val="00996702"/>
    <w:rsid w:val="009A26E1"/>
    <w:rsid w:val="009B29E7"/>
    <w:rsid w:val="009E606D"/>
    <w:rsid w:val="009E65B2"/>
    <w:rsid w:val="009F3FC3"/>
    <w:rsid w:val="009F671C"/>
    <w:rsid w:val="00A02CBB"/>
    <w:rsid w:val="00A21404"/>
    <w:rsid w:val="00A30EDE"/>
    <w:rsid w:val="00A406C4"/>
    <w:rsid w:val="00A600EB"/>
    <w:rsid w:val="00A83E85"/>
    <w:rsid w:val="00AC6551"/>
    <w:rsid w:val="00AE43BB"/>
    <w:rsid w:val="00B0645E"/>
    <w:rsid w:val="00B2195C"/>
    <w:rsid w:val="00B35FA6"/>
    <w:rsid w:val="00B73FE9"/>
    <w:rsid w:val="00BA638A"/>
    <w:rsid w:val="00BA6B5B"/>
    <w:rsid w:val="00BE36D3"/>
    <w:rsid w:val="00C01C96"/>
    <w:rsid w:val="00C041F3"/>
    <w:rsid w:val="00C46861"/>
    <w:rsid w:val="00C5042A"/>
    <w:rsid w:val="00C83D8D"/>
    <w:rsid w:val="00C9354F"/>
    <w:rsid w:val="00CA752E"/>
    <w:rsid w:val="00CB07EC"/>
    <w:rsid w:val="00CB3293"/>
    <w:rsid w:val="00CB5092"/>
    <w:rsid w:val="00CF10B4"/>
    <w:rsid w:val="00CF5F23"/>
    <w:rsid w:val="00CF606F"/>
    <w:rsid w:val="00D00185"/>
    <w:rsid w:val="00D3115B"/>
    <w:rsid w:val="00D37513"/>
    <w:rsid w:val="00D61F13"/>
    <w:rsid w:val="00D63F0E"/>
    <w:rsid w:val="00D647F7"/>
    <w:rsid w:val="00D769A1"/>
    <w:rsid w:val="00D901F1"/>
    <w:rsid w:val="00D90256"/>
    <w:rsid w:val="00DA2295"/>
    <w:rsid w:val="00DD0AFE"/>
    <w:rsid w:val="00DF0C99"/>
    <w:rsid w:val="00E005EE"/>
    <w:rsid w:val="00E357D9"/>
    <w:rsid w:val="00E55499"/>
    <w:rsid w:val="00E56633"/>
    <w:rsid w:val="00E95775"/>
    <w:rsid w:val="00E97262"/>
    <w:rsid w:val="00EB45C6"/>
    <w:rsid w:val="00EC3206"/>
    <w:rsid w:val="00EE3A23"/>
    <w:rsid w:val="00EE7A42"/>
    <w:rsid w:val="00F1470E"/>
    <w:rsid w:val="00F37CA5"/>
    <w:rsid w:val="00F6556A"/>
    <w:rsid w:val="00F65B52"/>
    <w:rsid w:val="00F84C31"/>
    <w:rsid w:val="00F85F04"/>
    <w:rsid w:val="00F96176"/>
    <w:rsid w:val="00FB5926"/>
    <w:rsid w:val="00FC519C"/>
    <w:rsid w:val="00FD0CE7"/>
    <w:rsid w:val="00FE66CC"/>
    <w:rsid w:val="00FE7C80"/>
    <w:rsid w:val="00FF0ED9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D9871"/>
  <w15:docId w15:val="{0ACE8F12-A688-41F9-8622-308DB5CF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8BC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F28E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l-GR"/>
    </w:rPr>
  </w:style>
  <w:style w:type="paragraph" w:customStyle="1" w:styleId="CM3">
    <w:name w:val="CM3"/>
    <w:basedOn w:val="Normal"/>
    <w:next w:val="Normal"/>
    <w:uiPriority w:val="99"/>
    <w:rsid w:val="002F28E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l-GR"/>
    </w:rPr>
  </w:style>
  <w:style w:type="paragraph" w:customStyle="1" w:styleId="CM4">
    <w:name w:val="CM4"/>
    <w:basedOn w:val="Normal"/>
    <w:next w:val="Normal"/>
    <w:uiPriority w:val="99"/>
    <w:rsid w:val="002F28E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B4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A1"/>
  </w:style>
  <w:style w:type="paragraph" w:styleId="Footer">
    <w:name w:val="footer"/>
    <w:basedOn w:val="Normal"/>
    <w:link w:val="FooterChar"/>
    <w:uiPriority w:val="99"/>
    <w:unhideWhenUsed/>
    <w:rsid w:val="00D76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A292-BD07-4657-A5C8-7F9C21F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Nasia Dikigoropoulou</dc:creator>
  <cp:lastModifiedBy>Georgiou  Elena</cp:lastModifiedBy>
  <cp:revision>2</cp:revision>
  <cp:lastPrinted>2020-03-09T10:56:00Z</cp:lastPrinted>
  <dcterms:created xsi:type="dcterms:W3CDTF">2022-04-14T08:02:00Z</dcterms:created>
  <dcterms:modified xsi:type="dcterms:W3CDTF">2022-04-14T08:02:00Z</dcterms:modified>
</cp:coreProperties>
</file>