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448BC" w14:textId="7D7C44B5" w:rsidR="009B7BC7" w:rsidRPr="005D4963" w:rsidRDefault="009B7BC7" w:rsidP="007F0DC5">
      <w:pPr>
        <w:jc w:val="center"/>
        <w:rPr>
          <w:b/>
          <w:lang w:val="el-GR"/>
        </w:rPr>
      </w:pPr>
      <w:r w:rsidRPr="00A73848">
        <w:rPr>
          <w:b/>
          <w:lang w:val="el-GR"/>
        </w:rPr>
        <w:t>Έκθεση της Κοινοβουλευτικής Επιτροπής Προσφύγων-Εγκλωβισμένων-Αγνοουμένων-Παθόντων για τ</w:t>
      </w:r>
      <w:r w:rsidR="00234A25">
        <w:rPr>
          <w:b/>
          <w:lang w:val="el-GR"/>
        </w:rPr>
        <w:t>ον αναπεμφθέντα</w:t>
      </w:r>
      <w:r w:rsidR="00EB77B0">
        <w:rPr>
          <w:b/>
          <w:lang w:val="el-GR"/>
        </w:rPr>
        <w:t xml:space="preserve"> ν</w:t>
      </w:r>
      <w:r w:rsidR="00234A25">
        <w:rPr>
          <w:b/>
          <w:lang w:val="el-GR"/>
        </w:rPr>
        <w:t>όμο</w:t>
      </w:r>
      <w:r w:rsidRPr="00A73848">
        <w:rPr>
          <w:b/>
          <w:lang w:val="el-GR"/>
        </w:rPr>
        <w:t xml:space="preserve"> «Ο περί </w:t>
      </w:r>
      <w:r w:rsidR="00102704">
        <w:rPr>
          <w:b/>
          <w:lang w:val="el-GR"/>
        </w:rPr>
        <w:t>Τουρκοκυπριακών Περιουσιών</w:t>
      </w:r>
      <w:r w:rsidR="006D27B5">
        <w:rPr>
          <w:b/>
          <w:lang w:val="el-GR"/>
        </w:rPr>
        <w:t xml:space="preserve"> (</w:t>
      </w:r>
      <w:r w:rsidR="00102704">
        <w:rPr>
          <w:b/>
          <w:lang w:val="el-GR"/>
        </w:rPr>
        <w:t>Διαχείριση και Άλλα Θέματα</w:t>
      </w:r>
      <w:r w:rsidR="006D27B5">
        <w:rPr>
          <w:b/>
          <w:lang w:val="el-GR"/>
        </w:rPr>
        <w:t>)</w:t>
      </w:r>
      <w:r w:rsidR="00102704">
        <w:rPr>
          <w:b/>
          <w:lang w:val="el-GR"/>
        </w:rPr>
        <w:t xml:space="preserve"> (Προσωρινές Διατάξεις)</w:t>
      </w:r>
      <w:r w:rsidR="008E1DF9">
        <w:rPr>
          <w:b/>
          <w:lang w:val="el-GR"/>
        </w:rPr>
        <w:t xml:space="preserve"> (Τροποποιητικός)</w:t>
      </w:r>
      <w:r w:rsidR="00102704">
        <w:rPr>
          <w:b/>
          <w:lang w:val="el-GR"/>
        </w:rPr>
        <w:t xml:space="preserve"> (Αρ. </w:t>
      </w:r>
      <w:r w:rsidR="00234A25">
        <w:rPr>
          <w:b/>
          <w:lang w:val="el-GR"/>
        </w:rPr>
        <w:t>2</w:t>
      </w:r>
      <w:r w:rsidR="00102704">
        <w:rPr>
          <w:b/>
          <w:lang w:val="el-GR"/>
        </w:rPr>
        <w:t>)</w:t>
      </w:r>
      <w:r w:rsidR="008E1DF9">
        <w:rPr>
          <w:b/>
          <w:lang w:val="el-GR"/>
        </w:rPr>
        <w:t xml:space="preserve"> </w:t>
      </w:r>
      <w:r>
        <w:rPr>
          <w:b/>
          <w:lang w:val="el-GR"/>
        </w:rPr>
        <w:t>Νόμο</w:t>
      </w:r>
      <w:r w:rsidR="00E4235C">
        <w:rPr>
          <w:b/>
          <w:lang w:val="el-GR"/>
        </w:rPr>
        <w:t>ς</w:t>
      </w:r>
      <w:r>
        <w:rPr>
          <w:b/>
          <w:lang w:val="el-GR"/>
        </w:rPr>
        <w:t xml:space="preserve"> του 20</w:t>
      </w:r>
      <w:r w:rsidR="008E1DF9">
        <w:rPr>
          <w:b/>
          <w:lang w:val="el-GR"/>
        </w:rPr>
        <w:t>2</w:t>
      </w:r>
      <w:r w:rsidR="00CE7B5D">
        <w:rPr>
          <w:b/>
          <w:lang w:val="el-GR"/>
        </w:rPr>
        <w:t>3</w:t>
      </w:r>
      <w:r w:rsidR="0007287B" w:rsidRPr="00A73848">
        <w:rPr>
          <w:b/>
          <w:lang w:val="el-GR"/>
        </w:rPr>
        <w:t>»</w:t>
      </w:r>
      <w:r w:rsidR="0007287B" w:rsidRPr="0007287B">
        <w:rPr>
          <w:b/>
          <w:lang w:val="el-GR"/>
        </w:rPr>
        <w:t xml:space="preserve"> </w:t>
      </w:r>
    </w:p>
    <w:p w14:paraId="455740B8" w14:textId="77777777" w:rsidR="009B7BC7" w:rsidRPr="00A73848" w:rsidRDefault="009B7BC7" w:rsidP="00160CC9">
      <w:pPr>
        <w:rPr>
          <w:b/>
          <w:lang w:val="el-GR"/>
        </w:rPr>
      </w:pPr>
      <w:r w:rsidRPr="00A73848">
        <w:rPr>
          <w:b/>
          <w:lang w:val="el-GR"/>
        </w:rPr>
        <w:t>Παρόντες:</w:t>
      </w:r>
    </w:p>
    <w:p w14:paraId="3F5AA650" w14:textId="2364D695" w:rsidR="009B7BC7" w:rsidRDefault="009B7BC7" w:rsidP="00B359B1">
      <w:pPr>
        <w:rPr>
          <w:lang w:val="el-GR"/>
        </w:rPr>
      </w:pPr>
      <w:r>
        <w:rPr>
          <w:lang w:val="el-GR"/>
        </w:rPr>
        <w:tab/>
      </w:r>
      <w:r w:rsidR="008E1DF9" w:rsidRPr="00186252">
        <w:rPr>
          <w:lang w:val="el-GR"/>
        </w:rPr>
        <w:t xml:space="preserve">Νίκος </w:t>
      </w:r>
      <w:proofErr w:type="spellStart"/>
      <w:r w:rsidR="008E1DF9" w:rsidRPr="00186252">
        <w:rPr>
          <w:lang w:val="el-GR"/>
        </w:rPr>
        <w:t>Κέττηρος</w:t>
      </w:r>
      <w:proofErr w:type="spellEnd"/>
      <w:r w:rsidRPr="00186252">
        <w:rPr>
          <w:lang w:val="el-GR"/>
        </w:rPr>
        <w:t>, πρόεδρος</w:t>
      </w:r>
      <w:r w:rsidR="00D32123">
        <w:rPr>
          <w:lang w:val="el-GR"/>
        </w:rPr>
        <w:tab/>
      </w:r>
      <w:r w:rsidR="006706D9" w:rsidRPr="00186252">
        <w:rPr>
          <w:lang w:val="el-GR"/>
        </w:rPr>
        <w:t xml:space="preserve">Χρίστος </w:t>
      </w:r>
      <w:proofErr w:type="spellStart"/>
      <w:r w:rsidR="006706D9" w:rsidRPr="00186252">
        <w:rPr>
          <w:lang w:val="el-GR"/>
        </w:rPr>
        <w:t>Σενέκης</w:t>
      </w:r>
      <w:proofErr w:type="spellEnd"/>
    </w:p>
    <w:p w14:paraId="6E88CB4C" w14:textId="7578A9F8" w:rsidR="00CE7B5D" w:rsidRDefault="00CE7B5D" w:rsidP="00B359B1">
      <w:pPr>
        <w:rPr>
          <w:lang w:val="el-GR"/>
        </w:rPr>
      </w:pPr>
      <w:r>
        <w:rPr>
          <w:lang w:val="el-GR"/>
        </w:rPr>
        <w:tab/>
      </w:r>
      <w:r w:rsidR="00160DED">
        <w:rPr>
          <w:lang w:val="el-GR"/>
        </w:rPr>
        <w:t>Χρίστος Χριστόφιας</w:t>
      </w:r>
      <w:r>
        <w:rPr>
          <w:lang w:val="el-GR"/>
        </w:rPr>
        <w:tab/>
        <w:t xml:space="preserve">Ζαχαρίας </w:t>
      </w:r>
      <w:proofErr w:type="spellStart"/>
      <w:r>
        <w:rPr>
          <w:lang w:val="el-GR"/>
        </w:rPr>
        <w:t>Κουλίας</w:t>
      </w:r>
      <w:proofErr w:type="spellEnd"/>
    </w:p>
    <w:p w14:paraId="1BADFDEA" w14:textId="365D6F2D" w:rsidR="00CE7B5D" w:rsidRDefault="00CE7B5D" w:rsidP="00B359B1">
      <w:pPr>
        <w:rPr>
          <w:lang w:val="el-GR"/>
        </w:rPr>
      </w:pPr>
      <w:r>
        <w:rPr>
          <w:lang w:val="el-GR"/>
        </w:rPr>
        <w:tab/>
      </w:r>
      <w:r w:rsidR="00160DED">
        <w:rPr>
          <w:lang w:val="el-GR"/>
        </w:rPr>
        <w:t>Νίκος Γεωργίου</w:t>
      </w:r>
      <w:r>
        <w:rPr>
          <w:lang w:val="el-GR"/>
        </w:rPr>
        <w:tab/>
        <w:t>Σωτήρης Ιωάννου</w:t>
      </w:r>
    </w:p>
    <w:p w14:paraId="68BB2FB2" w14:textId="70A1A111" w:rsidR="00CE7B5D" w:rsidRDefault="00CE7B5D" w:rsidP="00B359B1">
      <w:pPr>
        <w:rPr>
          <w:lang w:val="el-GR"/>
        </w:rPr>
      </w:pPr>
      <w:r>
        <w:rPr>
          <w:lang w:val="el-GR"/>
        </w:rPr>
        <w:tab/>
      </w:r>
      <w:r w:rsidR="00160DED" w:rsidRPr="00186252">
        <w:rPr>
          <w:lang w:val="el-GR"/>
        </w:rPr>
        <w:t>Ρίτα Θεοδώρου Σούπερμαν</w:t>
      </w:r>
      <w:r>
        <w:rPr>
          <w:lang w:val="el-GR"/>
        </w:rPr>
        <w:tab/>
      </w:r>
      <w:r w:rsidRPr="00186252">
        <w:rPr>
          <w:lang w:val="el-GR"/>
        </w:rPr>
        <w:t xml:space="preserve">Μιχάλης </w:t>
      </w:r>
      <w:proofErr w:type="spellStart"/>
      <w:r w:rsidRPr="00186252">
        <w:rPr>
          <w:lang w:val="el-GR"/>
        </w:rPr>
        <w:t>Γιακουμή</w:t>
      </w:r>
      <w:proofErr w:type="spellEnd"/>
    </w:p>
    <w:p w14:paraId="59C1B1C8" w14:textId="7CC327C2" w:rsidR="009B7BC7" w:rsidRPr="00186252" w:rsidRDefault="009B7BC7" w:rsidP="00160CC9">
      <w:pPr>
        <w:rPr>
          <w:lang w:val="el-GR"/>
        </w:rPr>
      </w:pPr>
      <w:r w:rsidRPr="00B345F3">
        <w:rPr>
          <w:lang w:val="el-GR"/>
        </w:rPr>
        <w:tab/>
      </w:r>
      <w:r w:rsidRPr="00A73848">
        <w:rPr>
          <w:lang w:val="el-GR"/>
        </w:rPr>
        <w:t>Η</w:t>
      </w:r>
      <w:r w:rsidR="00234A25">
        <w:rPr>
          <w:lang w:val="el-GR"/>
        </w:rPr>
        <w:t xml:space="preserve"> </w:t>
      </w:r>
      <w:r w:rsidRPr="00A73848">
        <w:rPr>
          <w:lang w:val="el-GR"/>
        </w:rPr>
        <w:t xml:space="preserve">Κοινοβουλευτική Επιτροπή Προσφύγων-Εγκλωβισμένων-Αγνοουμένων-Παθόντων </w:t>
      </w:r>
      <w:r w:rsidR="00234A25">
        <w:rPr>
          <w:lang w:val="el-GR"/>
        </w:rPr>
        <w:t>επανεξέτασε</w:t>
      </w:r>
      <w:r w:rsidR="003A3EEF">
        <w:rPr>
          <w:lang w:val="el-GR"/>
        </w:rPr>
        <w:t xml:space="preserve"> </w:t>
      </w:r>
      <w:r>
        <w:rPr>
          <w:lang w:val="el-GR"/>
        </w:rPr>
        <w:t>σε</w:t>
      </w:r>
      <w:r w:rsidR="00806485">
        <w:rPr>
          <w:lang w:val="el-GR"/>
        </w:rPr>
        <w:t xml:space="preserve"> </w:t>
      </w:r>
      <w:r>
        <w:rPr>
          <w:lang w:val="el-GR"/>
        </w:rPr>
        <w:t>συνεδρί</w:t>
      </w:r>
      <w:r w:rsidR="009F6539">
        <w:rPr>
          <w:lang w:val="el-GR"/>
        </w:rPr>
        <w:t>α</w:t>
      </w:r>
      <w:r>
        <w:rPr>
          <w:lang w:val="el-GR"/>
        </w:rPr>
        <w:t xml:space="preserve"> </w:t>
      </w:r>
      <w:r w:rsidR="00A15FE1">
        <w:rPr>
          <w:lang w:val="el-GR"/>
        </w:rPr>
        <w:t>της,</w:t>
      </w:r>
      <w:r>
        <w:rPr>
          <w:lang w:val="el-GR"/>
        </w:rPr>
        <w:t xml:space="preserve"> που πραγματοποιήθηκ</w:t>
      </w:r>
      <w:r w:rsidR="009F6539">
        <w:rPr>
          <w:lang w:val="el-GR"/>
        </w:rPr>
        <w:t>ε</w:t>
      </w:r>
      <w:r w:rsidRPr="00A73848">
        <w:rPr>
          <w:lang w:val="el-GR"/>
        </w:rPr>
        <w:t xml:space="preserve"> στις </w:t>
      </w:r>
      <w:r w:rsidR="009F6539">
        <w:rPr>
          <w:lang w:val="el-GR"/>
        </w:rPr>
        <w:t>2</w:t>
      </w:r>
      <w:r w:rsidR="00CE7B5D">
        <w:rPr>
          <w:lang w:val="el-GR"/>
        </w:rPr>
        <w:t>5</w:t>
      </w:r>
      <w:r w:rsidR="009F6539">
        <w:rPr>
          <w:lang w:val="el-GR"/>
        </w:rPr>
        <w:t xml:space="preserve"> </w:t>
      </w:r>
      <w:r w:rsidR="00CE7B5D">
        <w:rPr>
          <w:lang w:val="el-GR"/>
        </w:rPr>
        <w:t>Απριλίου</w:t>
      </w:r>
      <w:r w:rsidR="00BB5B49">
        <w:rPr>
          <w:lang w:val="el-GR"/>
        </w:rPr>
        <w:t xml:space="preserve"> 202</w:t>
      </w:r>
      <w:r w:rsidR="00CE7B5D">
        <w:rPr>
          <w:lang w:val="el-GR"/>
        </w:rPr>
        <w:t>3</w:t>
      </w:r>
      <w:r w:rsidR="00234A25">
        <w:rPr>
          <w:lang w:val="el-GR"/>
        </w:rPr>
        <w:t>, τον πιο πάνω νόμο</w:t>
      </w:r>
      <w:r w:rsidR="00E4235C">
        <w:rPr>
          <w:lang w:val="el-GR"/>
        </w:rPr>
        <w:t>,</w:t>
      </w:r>
      <w:r w:rsidR="00234A25">
        <w:rPr>
          <w:lang w:val="el-GR"/>
        </w:rPr>
        <w:t xml:space="preserve"> ο οποίος ψηφίστηκε από τη Βουλή των Αντιπροσώπων στις </w:t>
      </w:r>
      <w:r w:rsidR="00CE7B5D">
        <w:rPr>
          <w:lang w:val="el-GR"/>
        </w:rPr>
        <w:t>30 Μαρτίου</w:t>
      </w:r>
      <w:r w:rsidR="00234A25">
        <w:rPr>
          <w:lang w:val="el-GR"/>
        </w:rPr>
        <w:t xml:space="preserve"> 202</w:t>
      </w:r>
      <w:r w:rsidR="00CE7B5D">
        <w:rPr>
          <w:lang w:val="el-GR"/>
        </w:rPr>
        <w:t>3</w:t>
      </w:r>
      <w:r w:rsidR="00234A25">
        <w:rPr>
          <w:lang w:val="el-GR"/>
        </w:rPr>
        <w:t xml:space="preserve"> και αναπέμφθηκε από τον Πρόεδρο της Δημοκρατίας στις </w:t>
      </w:r>
      <w:r w:rsidR="00CE7B5D">
        <w:rPr>
          <w:lang w:val="el-GR"/>
        </w:rPr>
        <w:t>1</w:t>
      </w:r>
      <w:r w:rsidR="00234A25">
        <w:rPr>
          <w:lang w:val="el-GR"/>
        </w:rPr>
        <w:t xml:space="preserve">2 </w:t>
      </w:r>
      <w:r w:rsidR="00CE7B5D">
        <w:rPr>
          <w:lang w:val="el-GR"/>
        </w:rPr>
        <w:t>Απριλίου</w:t>
      </w:r>
      <w:r w:rsidR="00234A25">
        <w:rPr>
          <w:lang w:val="el-GR"/>
        </w:rPr>
        <w:t xml:space="preserve"> 202</w:t>
      </w:r>
      <w:r w:rsidR="00CE7B5D">
        <w:rPr>
          <w:lang w:val="el-GR"/>
        </w:rPr>
        <w:t>3</w:t>
      </w:r>
      <w:r w:rsidR="008123AA">
        <w:rPr>
          <w:lang w:val="el-GR"/>
        </w:rPr>
        <w:t xml:space="preserve"> </w:t>
      </w:r>
      <w:r w:rsidR="00234A25">
        <w:rPr>
          <w:lang w:val="el-GR"/>
        </w:rPr>
        <w:t xml:space="preserve">κατ’ επίκληση του άρθρου 51.1 του Συντάγματος της Κυπριακής Δημοκρατίας. </w:t>
      </w:r>
      <w:r w:rsidR="00E4235C">
        <w:rPr>
          <w:lang w:val="el-GR"/>
        </w:rPr>
        <w:t xml:space="preserve"> Στη </w:t>
      </w:r>
      <w:r w:rsidR="00746842">
        <w:rPr>
          <w:lang w:val="el-GR"/>
        </w:rPr>
        <w:t>συνεδρ</w:t>
      </w:r>
      <w:r w:rsidR="009F6539">
        <w:rPr>
          <w:lang w:val="el-GR"/>
        </w:rPr>
        <w:t>ίαση</w:t>
      </w:r>
      <w:r>
        <w:rPr>
          <w:lang w:val="el-GR"/>
        </w:rPr>
        <w:t xml:space="preserve"> κλήθηκαν και παρ</w:t>
      </w:r>
      <w:r w:rsidR="00E4235C">
        <w:rPr>
          <w:lang w:val="el-GR"/>
        </w:rPr>
        <w:t xml:space="preserve">ευρέθηκαν ενώπιον της επιτροπής </w:t>
      </w:r>
      <w:r w:rsidR="00234A25" w:rsidRPr="00186252">
        <w:rPr>
          <w:lang w:val="el-GR"/>
        </w:rPr>
        <w:t xml:space="preserve">ο </w:t>
      </w:r>
      <w:r w:rsidR="0095303A" w:rsidRPr="0095303A">
        <w:rPr>
          <w:lang w:val="el-GR"/>
        </w:rPr>
        <w:t>γ</w:t>
      </w:r>
      <w:r w:rsidR="00160DED" w:rsidRPr="0095303A">
        <w:rPr>
          <w:lang w:val="el-GR"/>
        </w:rPr>
        <w:t xml:space="preserve">ενικός </w:t>
      </w:r>
      <w:r w:rsidR="0095303A" w:rsidRPr="0095303A">
        <w:rPr>
          <w:lang w:val="el-GR"/>
        </w:rPr>
        <w:t>δ</w:t>
      </w:r>
      <w:r w:rsidR="00160DED" w:rsidRPr="0095303A">
        <w:rPr>
          <w:lang w:val="el-GR"/>
        </w:rPr>
        <w:t xml:space="preserve">ιευθυντής του </w:t>
      </w:r>
      <w:r w:rsidR="007E6FE5" w:rsidRPr="0095303A">
        <w:rPr>
          <w:lang w:val="el-GR"/>
        </w:rPr>
        <w:t>Υπουργ</w:t>
      </w:r>
      <w:r w:rsidR="00160DED" w:rsidRPr="0095303A">
        <w:rPr>
          <w:lang w:val="el-GR"/>
        </w:rPr>
        <w:t>είου</w:t>
      </w:r>
      <w:r w:rsidR="002938B6" w:rsidRPr="0095303A">
        <w:rPr>
          <w:lang w:val="el-GR"/>
        </w:rPr>
        <w:t xml:space="preserve"> Εσωτερικών</w:t>
      </w:r>
      <w:r w:rsidR="00053EE0" w:rsidRPr="00186252">
        <w:rPr>
          <w:lang w:val="el-GR"/>
        </w:rPr>
        <w:t xml:space="preserve"> </w:t>
      </w:r>
      <w:r w:rsidR="006706D9" w:rsidRPr="00186252">
        <w:rPr>
          <w:lang w:val="el-GR"/>
        </w:rPr>
        <w:t>και</w:t>
      </w:r>
      <w:r w:rsidR="002938B6" w:rsidRPr="00186252">
        <w:rPr>
          <w:lang w:val="el-GR"/>
        </w:rPr>
        <w:t xml:space="preserve"> </w:t>
      </w:r>
      <w:r w:rsidR="00234A25" w:rsidRPr="00186252">
        <w:rPr>
          <w:lang w:val="el-GR"/>
        </w:rPr>
        <w:t>εκπρόσωπο</w:t>
      </w:r>
      <w:r w:rsidR="006706D9" w:rsidRPr="00186252">
        <w:rPr>
          <w:lang w:val="el-GR"/>
        </w:rPr>
        <w:t>ς</w:t>
      </w:r>
      <w:r w:rsidR="00234A25" w:rsidRPr="00186252">
        <w:rPr>
          <w:lang w:val="el-GR"/>
        </w:rPr>
        <w:t xml:space="preserve"> </w:t>
      </w:r>
      <w:r w:rsidR="009F6539" w:rsidRPr="00186252">
        <w:rPr>
          <w:lang w:val="el-GR"/>
        </w:rPr>
        <w:t xml:space="preserve">της </w:t>
      </w:r>
      <w:r w:rsidR="001D60B6" w:rsidRPr="00186252">
        <w:rPr>
          <w:lang w:val="el-GR"/>
        </w:rPr>
        <w:t>Νομικής Υπηρεσίας της Δημοκρατίας</w:t>
      </w:r>
      <w:r w:rsidR="009F6539" w:rsidRPr="00186252">
        <w:rPr>
          <w:lang w:val="el-GR"/>
        </w:rPr>
        <w:t>.</w:t>
      </w:r>
      <w:r w:rsidR="000568E2" w:rsidRPr="00186252">
        <w:rPr>
          <w:lang w:val="el-GR"/>
        </w:rPr>
        <w:t xml:space="preserve"> </w:t>
      </w:r>
    </w:p>
    <w:p w14:paraId="41CEDE4A" w14:textId="7E0CDC0A" w:rsidR="00A6251A" w:rsidRPr="0095303A" w:rsidRDefault="005F1911" w:rsidP="00160CC9">
      <w:pPr>
        <w:rPr>
          <w:bCs/>
          <w:lang w:val="el-GR"/>
        </w:rPr>
      </w:pPr>
      <w:r>
        <w:rPr>
          <w:rFonts w:cs="Arial"/>
          <w:lang w:val="el-GR"/>
        </w:rPr>
        <w:tab/>
      </w:r>
      <w:r w:rsidR="00B9406F">
        <w:rPr>
          <w:rFonts w:cs="Arial"/>
          <w:lang w:val="el-GR"/>
        </w:rPr>
        <w:t xml:space="preserve">Όπως είναι γνωστό, με τον αναπεμφθέντα νόμο </w:t>
      </w:r>
      <w:proofErr w:type="spellStart"/>
      <w:r w:rsidR="00B9406F">
        <w:rPr>
          <w:rFonts w:cs="Arial"/>
          <w:lang w:val="el-GR"/>
        </w:rPr>
        <w:t>σκοπείται</w:t>
      </w:r>
      <w:proofErr w:type="spellEnd"/>
      <w:r w:rsidR="00272BAD" w:rsidRPr="00160CC9">
        <w:rPr>
          <w:lang w:val="el-GR"/>
        </w:rPr>
        <w:t xml:space="preserve"> η τροποποίηση του περί </w:t>
      </w:r>
      <w:r w:rsidR="00A6251A" w:rsidRPr="00A6251A">
        <w:rPr>
          <w:bCs/>
          <w:lang w:val="el-GR"/>
        </w:rPr>
        <w:t>Τουρκοκυπριακών Περιουσιών (Διαχείριση και Άλλα Θέματα) (Προσωρινές Διατάξεις) Νόμο</w:t>
      </w:r>
      <w:r w:rsidR="00A6251A">
        <w:rPr>
          <w:bCs/>
          <w:lang w:val="el-GR"/>
        </w:rPr>
        <w:t>υ, ώστε</w:t>
      </w:r>
      <w:r w:rsidR="005B2FDE">
        <w:rPr>
          <w:bCs/>
          <w:lang w:val="el-GR"/>
        </w:rPr>
        <w:t>,</w:t>
      </w:r>
      <w:r w:rsidR="00A6251A">
        <w:rPr>
          <w:bCs/>
          <w:lang w:val="el-GR"/>
        </w:rPr>
        <w:t xml:space="preserve"> </w:t>
      </w:r>
      <w:r w:rsidR="007E6FE5">
        <w:rPr>
          <w:bCs/>
          <w:lang w:val="el-GR"/>
        </w:rPr>
        <w:t xml:space="preserve">προτού παραχωρηθεί σε οποιοδήποτε δικαιούχο τουρκοκυπριακή ακίνητη ιδιοκτησία για σκοπούς στέγασης ή επαγγελματικής χρήσης, ο Κηδεμόνας </w:t>
      </w:r>
      <w:r w:rsidR="005E221B">
        <w:rPr>
          <w:bCs/>
          <w:lang w:val="el-GR"/>
        </w:rPr>
        <w:t>Τ</w:t>
      </w:r>
      <w:r w:rsidR="007E6FE5">
        <w:rPr>
          <w:bCs/>
          <w:lang w:val="el-GR"/>
        </w:rPr>
        <w:t xml:space="preserve">ουρκοκυπριακών </w:t>
      </w:r>
      <w:r w:rsidR="005E221B">
        <w:rPr>
          <w:bCs/>
          <w:lang w:val="el-GR"/>
        </w:rPr>
        <w:t>Π</w:t>
      </w:r>
      <w:r w:rsidR="007E6FE5">
        <w:rPr>
          <w:bCs/>
          <w:lang w:val="el-GR"/>
        </w:rPr>
        <w:t xml:space="preserve">εριουσιών για σκοπούς ασφάλειας να μεριμνά για </w:t>
      </w:r>
      <w:r w:rsidR="005B2FDE">
        <w:rPr>
          <w:bCs/>
          <w:lang w:val="el-GR"/>
        </w:rPr>
        <w:t>την εκπόνηση</w:t>
      </w:r>
      <w:r w:rsidR="007E6FE5">
        <w:rPr>
          <w:bCs/>
          <w:lang w:val="el-GR"/>
        </w:rPr>
        <w:t xml:space="preserve"> σχετικής μελέτης αναφορικά με τη στατική επάρκεια του συγκεκριμένου ακινήτου</w:t>
      </w:r>
      <w:r w:rsidR="00B46518" w:rsidRPr="0095303A">
        <w:rPr>
          <w:bCs/>
          <w:lang w:val="el-GR"/>
        </w:rPr>
        <w:t xml:space="preserve">, ρύθμιση η οποία </w:t>
      </w:r>
      <w:r w:rsidR="00B46518" w:rsidRPr="0095303A">
        <w:rPr>
          <w:bCs/>
          <w:lang w:val="el-GR"/>
        </w:rPr>
        <w:t xml:space="preserve">κρίνεται αναγκαία, λόγω </w:t>
      </w:r>
      <w:r w:rsidR="0050002E" w:rsidRPr="0095303A">
        <w:rPr>
          <w:bCs/>
          <w:lang w:val="el-GR"/>
        </w:rPr>
        <w:t>της διαπίστωσης</w:t>
      </w:r>
      <w:r w:rsidR="00B46518" w:rsidRPr="0095303A">
        <w:rPr>
          <w:bCs/>
          <w:lang w:val="el-GR"/>
        </w:rPr>
        <w:t xml:space="preserve"> ότι ο Κηδεμόνας </w:t>
      </w:r>
      <w:r w:rsidR="0095303A">
        <w:rPr>
          <w:bCs/>
          <w:lang w:val="el-GR"/>
        </w:rPr>
        <w:lastRenderedPageBreak/>
        <w:t>Τ</w:t>
      </w:r>
      <w:r w:rsidR="002F42BA" w:rsidRPr="0095303A">
        <w:rPr>
          <w:bCs/>
          <w:lang w:val="el-GR"/>
        </w:rPr>
        <w:t>ουρκοκυπριακών</w:t>
      </w:r>
      <w:r w:rsidR="00B46518" w:rsidRPr="0095303A">
        <w:rPr>
          <w:bCs/>
          <w:lang w:val="el-GR"/>
        </w:rPr>
        <w:t xml:space="preserve"> </w:t>
      </w:r>
      <w:r w:rsidR="0095303A">
        <w:rPr>
          <w:bCs/>
          <w:lang w:val="el-GR"/>
        </w:rPr>
        <w:t>Π</w:t>
      </w:r>
      <w:r w:rsidR="00B46518" w:rsidRPr="0095303A">
        <w:rPr>
          <w:bCs/>
          <w:lang w:val="el-GR"/>
        </w:rPr>
        <w:t xml:space="preserve">εριουσιών </w:t>
      </w:r>
      <w:r w:rsidR="000C2A3A" w:rsidRPr="0095303A">
        <w:rPr>
          <w:bCs/>
          <w:lang w:val="el-GR"/>
        </w:rPr>
        <w:t>παραχωρεί</w:t>
      </w:r>
      <w:r w:rsidR="00B46518" w:rsidRPr="0095303A">
        <w:rPr>
          <w:bCs/>
          <w:lang w:val="el-GR"/>
        </w:rPr>
        <w:t xml:space="preserve"> </w:t>
      </w:r>
      <w:r w:rsidR="000C2A3A" w:rsidRPr="0095303A">
        <w:rPr>
          <w:bCs/>
          <w:lang w:val="el-GR"/>
        </w:rPr>
        <w:t>τουρκοκυπριακές περιουσίες</w:t>
      </w:r>
      <w:r w:rsidR="00B46518" w:rsidRPr="0095303A">
        <w:rPr>
          <w:bCs/>
          <w:lang w:val="el-GR"/>
        </w:rPr>
        <w:t xml:space="preserve"> </w:t>
      </w:r>
      <w:r w:rsidR="000C2A3A" w:rsidRPr="0095303A">
        <w:rPr>
          <w:bCs/>
          <w:lang w:val="el-GR"/>
        </w:rPr>
        <w:t>σε δικαιούχους</w:t>
      </w:r>
      <w:r w:rsidR="000C2A3A" w:rsidRPr="0095303A">
        <w:rPr>
          <w:bCs/>
          <w:lang w:val="el-GR"/>
        </w:rPr>
        <w:t xml:space="preserve"> </w:t>
      </w:r>
      <w:r w:rsidR="00B46518" w:rsidRPr="0095303A">
        <w:rPr>
          <w:bCs/>
          <w:lang w:val="el-GR"/>
        </w:rPr>
        <w:t>οι οποίες χρήζουν σημαντικών επιδιορθώσεων ή/και αναβαθμίσεων.</w:t>
      </w:r>
    </w:p>
    <w:p w14:paraId="54E96537" w14:textId="2CF6F013" w:rsidR="005A2D10" w:rsidRDefault="00D37906" w:rsidP="005A2D10">
      <w:pPr>
        <w:rPr>
          <w:lang w:val="el-GR"/>
        </w:rPr>
      </w:pPr>
      <w:r>
        <w:rPr>
          <w:bCs/>
          <w:lang w:val="el-GR"/>
        </w:rPr>
        <w:tab/>
      </w:r>
      <w:r w:rsidR="004A3818">
        <w:rPr>
          <w:bCs/>
          <w:lang w:val="el-GR"/>
        </w:rPr>
        <w:t>Οι</w:t>
      </w:r>
      <w:r w:rsidR="005A2D10">
        <w:rPr>
          <w:lang w:val="el-GR"/>
        </w:rPr>
        <w:t xml:space="preserve"> λόγοι της αναπομπής του υπό αναφορά νόμου, όπως αυτοί αναφέρονται στην επιστολή του Προέδρου της Δημοκρατίας, παρατίθενται αυτούσιοι ως ακολούθως:</w:t>
      </w:r>
    </w:p>
    <w:p w14:paraId="6FFE68D8" w14:textId="00313B05" w:rsidR="005E221B" w:rsidRPr="00172C62" w:rsidRDefault="005E221B" w:rsidP="00160CC9">
      <w:pPr>
        <w:rPr>
          <w:b/>
          <w:bCs/>
          <w:i/>
          <w:iCs/>
          <w:lang w:val="el-GR"/>
        </w:rPr>
      </w:pPr>
      <w:r>
        <w:rPr>
          <w:lang w:val="el-GR"/>
        </w:rPr>
        <w:tab/>
      </w:r>
      <w:r w:rsidR="00B46518" w:rsidRPr="00B46518">
        <w:rPr>
          <w:b/>
          <w:bCs/>
          <w:lang w:val="el-GR"/>
        </w:rPr>
        <w:t>«</w:t>
      </w:r>
      <w:r w:rsidR="00172C62">
        <w:rPr>
          <w:lang w:val="el-GR"/>
        </w:rPr>
        <w:t>Επισημαίνεται ότι με τον υπό αναπομπή Νόμο η Νομοθετική Εξουσία επεμβαίνει στον τομέα αρμοδιότητας της Εκτελεστικής Εξουσίας, κατά παράβαση της αρχής της Διάκρισης των Εξουσιών.  Συγκεκριμένα, ο υπό αναπομπή Νόμος, όπως θεσπίστηκε, εμπεριέχει στοιχεία διοικητικής λειτουργίας και, ως εκ τούτου, καταστρατηγεί τη συνταγματική αρχή της Διάκρισης των Εξουσιών (</w:t>
      </w:r>
      <w:r w:rsidR="00172C62">
        <w:rPr>
          <w:b/>
          <w:bCs/>
          <w:i/>
          <w:iCs/>
          <w:lang w:val="el-GR"/>
        </w:rPr>
        <w:t xml:space="preserve">Αναφορά 1/2013, Πρόεδρος της Δημοκρατίας </w:t>
      </w:r>
      <w:r w:rsidR="00172C62">
        <w:rPr>
          <w:b/>
          <w:bCs/>
          <w:i/>
          <w:iCs/>
        </w:rPr>
        <w:t>v</w:t>
      </w:r>
      <w:r w:rsidR="00172C62" w:rsidRPr="00172C62">
        <w:rPr>
          <w:b/>
          <w:bCs/>
          <w:i/>
          <w:iCs/>
          <w:lang w:val="el-GR"/>
        </w:rPr>
        <w:t xml:space="preserve">. </w:t>
      </w:r>
      <w:r w:rsidR="00172C62">
        <w:rPr>
          <w:b/>
          <w:bCs/>
          <w:i/>
          <w:iCs/>
          <w:lang w:val="el-GR"/>
        </w:rPr>
        <w:t xml:space="preserve">Βουλή των Αντιπροσώπων, </w:t>
      </w:r>
      <w:proofErr w:type="spellStart"/>
      <w:r w:rsidR="00172C62">
        <w:rPr>
          <w:b/>
          <w:bCs/>
          <w:i/>
          <w:iCs/>
          <w:lang w:val="el-GR"/>
        </w:rPr>
        <w:t>ημερ</w:t>
      </w:r>
      <w:proofErr w:type="spellEnd"/>
      <w:r w:rsidR="00172C62">
        <w:rPr>
          <w:b/>
          <w:bCs/>
          <w:i/>
          <w:iCs/>
          <w:lang w:val="el-GR"/>
        </w:rPr>
        <w:t xml:space="preserve">. 11.6.2014, Αναφορά </w:t>
      </w:r>
      <w:proofErr w:type="spellStart"/>
      <w:r w:rsidR="00172C62">
        <w:rPr>
          <w:b/>
          <w:bCs/>
          <w:i/>
          <w:iCs/>
          <w:lang w:val="el-GR"/>
        </w:rPr>
        <w:t>αρ</w:t>
      </w:r>
      <w:proofErr w:type="spellEnd"/>
      <w:r w:rsidR="00172C62">
        <w:rPr>
          <w:b/>
          <w:bCs/>
          <w:i/>
          <w:iCs/>
          <w:lang w:val="el-GR"/>
        </w:rPr>
        <w:t xml:space="preserve">. 1/2015, Πρόεδρος της Δημοκρατίας </w:t>
      </w:r>
      <w:r w:rsidR="0095303A">
        <w:rPr>
          <w:b/>
          <w:bCs/>
          <w:i/>
          <w:iCs/>
        </w:rPr>
        <w:t>v</w:t>
      </w:r>
      <w:r w:rsidR="0095303A" w:rsidRPr="0095303A">
        <w:rPr>
          <w:b/>
          <w:bCs/>
          <w:i/>
          <w:iCs/>
          <w:lang w:val="el-GR"/>
        </w:rPr>
        <w:t>.</w:t>
      </w:r>
      <w:r w:rsidR="00172C62">
        <w:rPr>
          <w:b/>
          <w:bCs/>
          <w:i/>
          <w:iCs/>
          <w:lang w:val="el-GR"/>
        </w:rPr>
        <w:t xml:space="preserve"> Βουλή των Αντιπροσώπων, ημερομηνίας 3 Δεκεμβρίου 2015, Αναφορά </w:t>
      </w:r>
      <w:proofErr w:type="spellStart"/>
      <w:r w:rsidR="00172C62">
        <w:rPr>
          <w:b/>
          <w:bCs/>
          <w:i/>
          <w:iCs/>
          <w:lang w:val="el-GR"/>
        </w:rPr>
        <w:t>αρ</w:t>
      </w:r>
      <w:proofErr w:type="spellEnd"/>
      <w:r w:rsidR="00172C62">
        <w:rPr>
          <w:b/>
          <w:bCs/>
          <w:i/>
          <w:iCs/>
          <w:lang w:val="el-GR"/>
        </w:rPr>
        <w:t>.</w:t>
      </w:r>
      <w:r w:rsidR="000B0389">
        <w:rPr>
          <w:b/>
          <w:bCs/>
          <w:i/>
          <w:iCs/>
          <w:lang w:val="el-GR"/>
        </w:rPr>
        <w:t xml:space="preserve"> </w:t>
      </w:r>
      <w:r w:rsidR="00172C62">
        <w:rPr>
          <w:b/>
          <w:bCs/>
          <w:i/>
          <w:iCs/>
          <w:lang w:val="el-GR"/>
        </w:rPr>
        <w:t xml:space="preserve">1/2020, Πρόεδρος της Δημοκρατίας </w:t>
      </w:r>
      <w:r w:rsidR="00172C62">
        <w:rPr>
          <w:b/>
          <w:bCs/>
          <w:i/>
          <w:iCs/>
        </w:rPr>
        <w:t>v</w:t>
      </w:r>
      <w:r w:rsidR="00172C62" w:rsidRPr="00172C62">
        <w:rPr>
          <w:b/>
          <w:bCs/>
          <w:i/>
          <w:iCs/>
          <w:lang w:val="el-GR"/>
        </w:rPr>
        <w:t xml:space="preserve">. </w:t>
      </w:r>
      <w:r w:rsidR="00172C62">
        <w:rPr>
          <w:b/>
          <w:bCs/>
          <w:i/>
          <w:iCs/>
          <w:lang w:val="el-GR"/>
        </w:rPr>
        <w:t xml:space="preserve">Βουλή των Αντιπροσώπων, </w:t>
      </w:r>
      <w:proofErr w:type="spellStart"/>
      <w:r w:rsidR="00172C62">
        <w:rPr>
          <w:b/>
          <w:bCs/>
          <w:i/>
          <w:iCs/>
          <w:lang w:val="el-GR"/>
        </w:rPr>
        <w:t>ημερ</w:t>
      </w:r>
      <w:proofErr w:type="spellEnd"/>
      <w:r w:rsidR="00172C62">
        <w:rPr>
          <w:b/>
          <w:bCs/>
          <w:i/>
          <w:iCs/>
          <w:lang w:val="el-GR"/>
        </w:rPr>
        <w:t xml:space="preserve">. 5.10.2021, Αναφορά </w:t>
      </w:r>
      <w:proofErr w:type="spellStart"/>
      <w:r w:rsidR="00172C62">
        <w:rPr>
          <w:b/>
          <w:bCs/>
          <w:i/>
          <w:iCs/>
          <w:lang w:val="el-GR"/>
        </w:rPr>
        <w:t>αρ</w:t>
      </w:r>
      <w:proofErr w:type="spellEnd"/>
      <w:r w:rsidR="00172C62">
        <w:rPr>
          <w:b/>
          <w:bCs/>
          <w:i/>
          <w:iCs/>
          <w:lang w:val="el-GR"/>
        </w:rPr>
        <w:t>.</w:t>
      </w:r>
      <w:r w:rsidR="005B2FDE">
        <w:rPr>
          <w:b/>
          <w:bCs/>
          <w:i/>
          <w:iCs/>
          <w:lang w:val="el-GR"/>
        </w:rPr>
        <w:t xml:space="preserve"> </w:t>
      </w:r>
      <w:r w:rsidR="00172C62">
        <w:rPr>
          <w:b/>
          <w:bCs/>
          <w:i/>
          <w:iCs/>
          <w:lang w:val="el-GR"/>
        </w:rPr>
        <w:t xml:space="preserve">1/2022, Πρόεδρος της Δημοκρατίας </w:t>
      </w:r>
      <w:r w:rsidR="00172C62">
        <w:rPr>
          <w:b/>
          <w:bCs/>
          <w:i/>
          <w:iCs/>
        </w:rPr>
        <w:t>v</w:t>
      </w:r>
      <w:r w:rsidR="00172C62" w:rsidRPr="00172C62">
        <w:rPr>
          <w:b/>
          <w:bCs/>
          <w:i/>
          <w:iCs/>
          <w:lang w:val="el-GR"/>
        </w:rPr>
        <w:t xml:space="preserve">. </w:t>
      </w:r>
      <w:r w:rsidR="00172C62">
        <w:rPr>
          <w:b/>
          <w:bCs/>
          <w:i/>
          <w:iCs/>
          <w:lang w:val="el-GR"/>
        </w:rPr>
        <w:t xml:space="preserve">Βουλή των Αντιπροσώπων, </w:t>
      </w:r>
      <w:proofErr w:type="spellStart"/>
      <w:r w:rsidR="00172C62">
        <w:rPr>
          <w:b/>
          <w:bCs/>
          <w:i/>
          <w:iCs/>
          <w:lang w:val="el-GR"/>
        </w:rPr>
        <w:t>ημερ</w:t>
      </w:r>
      <w:proofErr w:type="spellEnd"/>
      <w:r w:rsidR="00172C62">
        <w:rPr>
          <w:b/>
          <w:bCs/>
          <w:i/>
          <w:iCs/>
          <w:lang w:val="el-GR"/>
        </w:rPr>
        <w:t>. 30.11.2022).</w:t>
      </w:r>
    </w:p>
    <w:p w14:paraId="3C3FFB71" w14:textId="373787F7" w:rsidR="006B40D5" w:rsidRDefault="00D37906" w:rsidP="00160CC9">
      <w:pPr>
        <w:rPr>
          <w:bCs/>
          <w:lang w:val="el-GR"/>
        </w:rPr>
      </w:pPr>
      <w:r>
        <w:rPr>
          <w:lang w:val="el-GR"/>
        </w:rPr>
        <w:tab/>
      </w:r>
      <w:r w:rsidR="006B40D5">
        <w:rPr>
          <w:lang w:val="el-GR"/>
        </w:rPr>
        <w:t xml:space="preserve">Σύμφωνα με το άρθρο 7 των περί </w:t>
      </w:r>
      <w:r w:rsidR="006B40D5" w:rsidRPr="00A6251A">
        <w:rPr>
          <w:bCs/>
          <w:lang w:val="el-GR"/>
        </w:rPr>
        <w:t>Τουρκοκυπριακών Περιουσιών (Διαχείριση και Άλλα Θέματα) (Προσωρινές Διατάξεις)</w:t>
      </w:r>
      <w:r w:rsidR="006B40D5">
        <w:rPr>
          <w:bCs/>
          <w:lang w:val="el-GR"/>
        </w:rPr>
        <w:t xml:space="preserve"> Νόμων του 1991 έως 2022 (Ν. 139/91), ο Υπουργός Εσωτερικών</w:t>
      </w:r>
      <w:r w:rsidR="000B0389">
        <w:rPr>
          <w:bCs/>
          <w:lang w:val="el-GR"/>
        </w:rPr>
        <w:t>,</w:t>
      </w:r>
      <w:r w:rsidR="006B40D5">
        <w:rPr>
          <w:bCs/>
          <w:lang w:val="el-GR"/>
        </w:rPr>
        <w:t xml:space="preserve"> ως ο Κηδεμόνας των τουρκοκυπριακών περιουσιών, κατά τη διαχείριση των τουρκοκυπριακών περιουσιών μεριμνά για την εξυπηρέτηση των αναγκών των προσφύγων, παράλληλα με την εξυπηρέτηση των συμφερόντων των ιδιοκτητών των εν λόγω περιουσιών, με βάση καθορισμένα κριτήρια, ως ο μόνος αρμόδιος</w:t>
      </w:r>
      <w:r w:rsidR="000B0389">
        <w:rPr>
          <w:bCs/>
          <w:lang w:val="el-GR"/>
        </w:rPr>
        <w:t>,</w:t>
      </w:r>
      <w:r w:rsidR="006B40D5">
        <w:rPr>
          <w:bCs/>
          <w:lang w:val="el-GR"/>
        </w:rPr>
        <w:t xml:space="preserve"> και δεν δύναται η νομοθετική εξουσία όπως παρεμβαίνει στο έργο αυτό της εκτελεστικής εξουσίας.</w:t>
      </w:r>
    </w:p>
    <w:p w14:paraId="765C4227" w14:textId="2AB74B21" w:rsidR="006B40D5" w:rsidRDefault="00D37906" w:rsidP="00160CC9">
      <w:pPr>
        <w:rPr>
          <w:bCs/>
          <w:lang w:val="el-GR"/>
        </w:rPr>
      </w:pPr>
      <w:r>
        <w:rPr>
          <w:bCs/>
          <w:lang w:val="el-GR"/>
        </w:rPr>
        <w:tab/>
      </w:r>
      <w:r w:rsidR="00E4235C">
        <w:rPr>
          <w:bCs/>
          <w:lang w:val="el-GR"/>
        </w:rPr>
        <w:t>Επ</w:t>
      </w:r>
      <w:r w:rsidR="006B40D5">
        <w:rPr>
          <w:bCs/>
          <w:lang w:val="el-GR"/>
        </w:rPr>
        <w:t xml:space="preserve">ισημαίνεται ότι </w:t>
      </w:r>
      <w:r w:rsidR="008221D0">
        <w:rPr>
          <w:bCs/>
          <w:lang w:val="el-GR"/>
        </w:rPr>
        <w:t>η εκτελεστική εξουσία ετοίμασε νομοσχέδιο</w:t>
      </w:r>
      <w:r w:rsidR="00302EBE">
        <w:rPr>
          <w:bCs/>
          <w:lang w:val="el-GR"/>
        </w:rPr>
        <w:t xml:space="preserve"> το οποίο τιτλοφορείται</w:t>
      </w:r>
      <w:r w:rsidR="00E4235C">
        <w:rPr>
          <w:bCs/>
          <w:lang w:val="el-GR"/>
        </w:rPr>
        <w:t xml:space="preserve"> </w:t>
      </w:r>
      <w:r w:rsidR="000B0389" w:rsidRPr="000B0389">
        <w:rPr>
          <w:bCs/>
          <w:lang w:val="el-GR"/>
        </w:rPr>
        <w:t>“</w:t>
      </w:r>
      <w:r w:rsidR="008221D0">
        <w:rPr>
          <w:bCs/>
          <w:lang w:val="el-GR"/>
        </w:rPr>
        <w:t xml:space="preserve">Ο περί των Τουρκοκυπριακών Περιουσιών (Διαχείριση και Άλλα </w:t>
      </w:r>
      <w:r w:rsidR="008221D0">
        <w:rPr>
          <w:bCs/>
          <w:lang w:val="el-GR"/>
        </w:rPr>
        <w:lastRenderedPageBreak/>
        <w:t>Θέματα) (Προσωρινές Διατάξεις) (Τροποποιητικός) (</w:t>
      </w:r>
      <w:proofErr w:type="spellStart"/>
      <w:r w:rsidR="008221D0">
        <w:rPr>
          <w:bCs/>
          <w:lang w:val="el-GR"/>
        </w:rPr>
        <w:t>Αρ</w:t>
      </w:r>
      <w:proofErr w:type="spellEnd"/>
      <w:r w:rsidR="008221D0">
        <w:rPr>
          <w:bCs/>
          <w:lang w:val="el-GR"/>
        </w:rPr>
        <w:t>. 2) Νόμος του 2022</w:t>
      </w:r>
      <w:r w:rsidR="000B0389" w:rsidRPr="000B0389">
        <w:rPr>
          <w:bCs/>
          <w:lang w:val="el-GR"/>
        </w:rPr>
        <w:t>”</w:t>
      </w:r>
      <w:r w:rsidR="00302EBE">
        <w:rPr>
          <w:bCs/>
          <w:lang w:val="el-GR"/>
        </w:rPr>
        <w:t xml:space="preserve"> και </w:t>
      </w:r>
      <w:r w:rsidR="008221D0">
        <w:rPr>
          <w:bCs/>
          <w:lang w:val="el-GR"/>
        </w:rPr>
        <w:t xml:space="preserve">προσχέδιο κανονισμών το οποίο τιτλοφορείται </w:t>
      </w:r>
      <w:r w:rsidR="000B0389" w:rsidRPr="000B0389">
        <w:rPr>
          <w:bCs/>
          <w:lang w:val="el-GR"/>
        </w:rPr>
        <w:t>“</w:t>
      </w:r>
      <w:r w:rsidR="00F213A8">
        <w:rPr>
          <w:bCs/>
          <w:lang w:val="el-GR"/>
        </w:rPr>
        <w:t>Οι περί Τουρκοκυπριακών Περιουσιών (Διαχείριση και Άλλα Θέματα) (Προσωρινές Διατάξεις) (Τροποποιητικοί) Κανονισμοί του 2022</w:t>
      </w:r>
      <w:r w:rsidR="000B0389" w:rsidRPr="000B0389">
        <w:rPr>
          <w:bCs/>
          <w:lang w:val="el-GR"/>
        </w:rPr>
        <w:t>”</w:t>
      </w:r>
      <w:r w:rsidR="000B0389">
        <w:rPr>
          <w:bCs/>
          <w:lang w:val="el-GR"/>
        </w:rPr>
        <w:t>,</w:t>
      </w:r>
      <w:r w:rsidR="00F213A8">
        <w:rPr>
          <w:bCs/>
          <w:lang w:val="el-GR"/>
        </w:rPr>
        <w:t xml:space="preserve"> </w:t>
      </w:r>
      <w:r w:rsidR="00E4235C">
        <w:rPr>
          <w:bCs/>
          <w:lang w:val="el-GR"/>
        </w:rPr>
        <w:t>τ</w:t>
      </w:r>
      <w:r w:rsidR="00F213A8">
        <w:rPr>
          <w:bCs/>
          <w:lang w:val="el-GR"/>
        </w:rPr>
        <w:t>α</w:t>
      </w:r>
      <w:r w:rsidR="00E4235C">
        <w:rPr>
          <w:bCs/>
          <w:lang w:val="el-GR"/>
        </w:rPr>
        <w:t xml:space="preserve"> </w:t>
      </w:r>
      <w:r w:rsidR="00302EBE">
        <w:rPr>
          <w:bCs/>
          <w:lang w:val="el-GR"/>
        </w:rPr>
        <w:t>οποί</w:t>
      </w:r>
      <w:r w:rsidR="00F213A8">
        <w:rPr>
          <w:bCs/>
          <w:lang w:val="el-GR"/>
        </w:rPr>
        <w:t>α</w:t>
      </w:r>
      <w:r w:rsidR="00302EBE">
        <w:rPr>
          <w:bCs/>
          <w:lang w:val="el-GR"/>
        </w:rPr>
        <w:t xml:space="preserve"> ρυθμίζ</w:t>
      </w:r>
      <w:r w:rsidR="00F213A8">
        <w:rPr>
          <w:bCs/>
          <w:lang w:val="el-GR"/>
        </w:rPr>
        <w:t>ουν</w:t>
      </w:r>
      <w:r w:rsidR="00E4235C">
        <w:rPr>
          <w:bCs/>
          <w:lang w:val="el-GR"/>
        </w:rPr>
        <w:t xml:space="preserve"> </w:t>
      </w:r>
      <w:r w:rsidR="00302EBE">
        <w:rPr>
          <w:bCs/>
          <w:lang w:val="el-GR"/>
        </w:rPr>
        <w:t>το</w:t>
      </w:r>
      <w:r w:rsidR="00E4235C">
        <w:rPr>
          <w:bCs/>
          <w:lang w:val="el-GR"/>
        </w:rPr>
        <w:t>ν</w:t>
      </w:r>
      <w:r w:rsidR="00302EBE">
        <w:rPr>
          <w:bCs/>
          <w:lang w:val="el-GR"/>
        </w:rPr>
        <w:t xml:space="preserve"> σκοπό του υπό αναπομπή Νόμου. </w:t>
      </w:r>
      <w:r w:rsidR="00F213A8">
        <w:rPr>
          <w:bCs/>
          <w:lang w:val="el-GR"/>
        </w:rPr>
        <w:t xml:space="preserve"> Ο νομοτεχνικός έλεγχος των εν λόγω προσχεδίων νομοθετημάτων αναμένεται ότι θα ολοκληρωθεί εντός </w:t>
      </w:r>
      <w:r w:rsidR="000B0389">
        <w:rPr>
          <w:bCs/>
          <w:lang w:val="el-GR"/>
        </w:rPr>
        <w:t>Μαΐου</w:t>
      </w:r>
      <w:r w:rsidR="00F213A8">
        <w:rPr>
          <w:bCs/>
          <w:lang w:val="el-GR"/>
        </w:rPr>
        <w:t xml:space="preserve"> 2023 και ακολούθως θα κατατεθούν στην Βουλή των Αντιπροσώπων για ψήφισ</w:t>
      </w:r>
      <w:r w:rsidR="000B0389">
        <w:rPr>
          <w:bCs/>
          <w:lang w:val="el-GR"/>
        </w:rPr>
        <w:t>η</w:t>
      </w:r>
      <w:r w:rsidR="00F213A8">
        <w:rPr>
          <w:bCs/>
          <w:lang w:val="el-GR"/>
        </w:rPr>
        <w:t xml:space="preserve"> και έγκρισ</w:t>
      </w:r>
      <w:r w:rsidR="000B0389">
        <w:rPr>
          <w:bCs/>
          <w:lang w:val="el-GR"/>
        </w:rPr>
        <w:t>ή</w:t>
      </w:r>
      <w:r w:rsidR="00F213A8">
        <w:rPr>
          <w:bCs/>
          <w:lang w:val="el-GR"/>
        </w:rPr>
        <w:t xml:space="preserve"> τους, αντίστοιχα.  </w:t>
      </w:r>
      <w:r w:rsidR="00302EBE">
        <w:rPr>
          <w:bCs/>
          <w:lang w:val="el-GR"/>
        </w:rPr>
        <w:t>Με την ψήφιση του υπό αναπομπή Νόμου, η Βουλή των Αντιπροσώπων</w:t>
      </w:r>
      <w:r w:rsidR="00DD3F18">
        <w:rPr>
          <w:bCs/>
          <w:lang w:val="el-GR"/>
        </w:rPr>
        <w:t xml:space="preserve"> </w:t>
      </w:r>
      <w:r w:rsidR="000B0389">
        <w:rPr>
          <w:bCs/>
          <w:lang w:val="el-GR"/>
        </w:rPr>
        <w:t>επενέβη</w:t>
      </w:r>
      <w:r w:rsidR="00DD3F18">
        <w:rPr>
          <w:bCs/>
          <w:lang w:val="el-GR"/>
        </w:rPr>
        <w:t xml:space="preserve"> στην άσκηση των αρμοδιοτήτων της εκτελεστικής εξουσίας, ασκώντας η ίδια διοικητική λειτουργία, κατά παράβαση της Αρχής της Διάκρισης των Εξουσιών.</w:t>
      </w:r>
    </w:p>
    <w:p w14:paraId="21A5FBED" w14:textId="277EC773" w:rsidR="00082DC8" w:rsidRDefault="00B50868" w:rsidP="00082DC8">
      <w:pPr>
        <w:rPr>
          <w:lang w:val="el-GR"/>
        </w:rPr>
      </w:pPr>
      <w:r w:rsidRPr="00B50868">
        <w:rPr>
          <w:rFonts w:cs="Arial"/>
          <w:b/>
          <w:lang w:val="el-GR"/>
        </w:rPr>
        <w:tab/>
      </w:r>
      <w:r w:rsidR="00082DC8">
        <w:rPr>
          <w:lang w:val="el-GR"/>
        </w:rPr>
        <w:t>Είναι επίσης σημαντικό να αναφερθεί ότι πέρα από τη στεγαστική χρήση που γίνεται στις τουρκοκυπριακές περιουσίες στους δικαιούχους μπορούν να παραχωρηθούν και υποστατικά για επαγγελματική χρήση, η οποία αποφέρει κέρδος στους δικαιούχους κατόχους.  Η μέχρι σήμερα εφαρμοζόμενη πολιτική της εκτελεστικής εξουσίας για την παραχώρηση τουρκοκυπριακών περιουσιών για επαγγελματικούς σκοπούς περιλαμβάνει την διάθεσ</w:t>
      </w:r>
      <w:r w:rsidR="00074A33">
        <w:rPr>
          <w:lang w:val="el-GR"/>
        </w:rPr>
        <w:t>ή</w:t>
      </w:r>
      <w:r w:rsidR="00082DC8">
        <w:rPr>
          <w:lang w:val="el-GR"/>
        </w:rPr>
        <w:t xml:space="preserve"> τους, χωρίς να προηγηθεί μελέτη στατικής επάρκειας, μεταφέροντας την υποχρέωση για τις αναγκαίες επιδιορθώσεις στον μισθωτή.  Η πιο πάνω πολιτική της εκτελεστικής εξουσίας εξυπηρετεί στα ακόλουθα:</w:t>
      </w:r>
    </w:p>
    <w:p w14:paraId="77BE6DB0" w14:textId="4A934C5E" w:rsidR="00082DC8" w:rsidRDefault="00082DC8" w:rsidP="00082DC8">
      <w:pPr>
        <w:tabs>
          <w:tab w:val="left" w:pos="964"/>
        </w:tabs>
        <w:ind w:left="567" w:hanging="567"/>
        <w:rPr>
          <w:lang w:val="el-GR"/>
        </w:rPr>
      </w:pPr>
      <w:r>
        <w:rPr>
          <w:lang w:val="el-GR"/>
        </w:rPr>
        <w:t>(</w:t>
      </w:r>
      <w:proofErr w:type="spellStart"/>
      <w:r>
        <w:t>i</w:t>
      </w:r>
      <w:proofErr w:type="spellEnd"/>
      <w:r>
        <w:rPr>
          <w:lang w:val="el-GR"/>
        </w:rPr>
        <w:t>)</w:t>
      </w:r>
      <w:r>
        <w:rPr>
          <w:lang w:val="el-GR"/>
        </w:rPr>
        <w:tab/>
      </w:r>
      <w:r w:rsidR="0095303A">
        <w:rPr>
          <w:lang w:val="el-GR"/>
        </w:rPr>
        <w:t>Δ</w:t>
      </w:r>
      <w:r>
        <w:rPr>
          <w:lang w:val="el-GR"/>
        </w:rPr>
        <w:t>εν απαιτείται από το ταμείο τουρκοκυπριακών περιουσιών η διάθεση πιστώσεων για την επιδιόρθωση των τουρκοκυπριακών υποστατικών, αφού αυτά επιδιορθώνονται και συντηρούνται από τους μισθωτές κατόπιν σχετικής συμφωνίας,</w:t>
      </w:r>
    </w:p>
    <w:p w14:paraId="5F82FAC9" w14:textId="25C14BC8" w:rsidR="00082DC8" w:rsidRDefault="00082DC8" w:rsidP="00082DC8">
      <w:pPr>
        <w:tabs>
          <w:tab w:val="left" w:pos="964"/>
        </w:tabs>
        <w:ind w:left="567" w:hanging="567"/>
        <w:rPr>
          <w:lang w:val="el-GR"/>
        </w:rPr>
      </w:pPr>
      <w:r>
        <w:rPr>
          <w:lang w:val="el-GR"/>
        </w:rPr>
        <w:lastRenderedPageBreak/>
        <w:t>(</w:t>
      </w:r>
      <w:r>
        <w:t>ii</w:t>
      </w:r>
      <w:r>
        <w:rPr>
          <w:lang w:val="el-GR"/>
        </w:rPr>
        <w:t>)</w:t>
      </w:r>
      <w:r>
        <w:rPr>
          <w:lang w:val="el-GR"/>
        </w:rPr>
        <w:tab/>
        <w:t>επιτρέπεται η αξιοποίηση και συντήρηση πολλών τουρκοκυπριακών περιουσιών, οι οποίες διαφορετικά θα παρέμεναν κενές και λόγω μη συντήρησης θα αποτελούσαν εν δυνάμει κίνδυνο για την δημόσια ασφάλεια και υγεία,</w:t>
      </w:r>
    </w:p>
    <w:p w14:paraId="3EDBE8FB" w14:textId="19DA2E7E" w:rsidR="00082DC8" w:rsidRPr="00AC5085" w:rsidRDefault="00AC5085" w:rsidP="00082DC8">
      <w:pPr>
        <w:tabs>
          <w:tab w:val="left" w:pos="964"/>
        </w:tabs>
        <w:ind w:left="567" w:hanging="567"/>
        <w:rPr>
          <w:lang w:val="el-GR"/>
        </w:rPr>
      </w:pPr>
      <w:r w:rsidRPr="0095303A">
        <w:rPr>
          <w:lang w:val="el-GR"/>
        </w:rPr>
        <w:t>(</w:t>
      </w:r>
      <w:r w:rsidRPr="0095303A">
        <w:t>iii</w:t>
      </w:r>
      <w:r w:rsidRPr="0095303A">
        <w:rPr>
          <w:lang w:val="el-GR"/>
        </w:rPr>
        <w:t>)</w:t>
      </w:r>
      <w:r w:rsidR="00082DC8">
        <w:rPr>
          <w:lang w:val="el-GR"/>
        </w:rPr>
        <w:tab/>
        <w:t>επωφελείται σημαντικός αριθμός προσφύγων ο οποίος είναι διατεθειμένος να αναλάβει το κόστος συντήρησης και των αναγκαίων επιδιορθώσεων,</w:t>
      </w:r>
    </w:p>
    <w:p w14:paraId="1585B79C" w14:textId="25961280" w:rsidR="00082DC8" w:rsidRDefault="00082DC8" w:rsidP="00082DC8">
      <w:pPr>
        <w:tabs>
          <w:tab w:val="left" w:pos="964"/>
        </w:tabs>
        <w:ind w:left="567" w:hanging="567"/>
        <w:rPr>
          <w:lang w:val="el-GR"/>
        </w:rPr>
      </w:pPr>
      <w:r>
        <w:rPr>
          <w:lang w:val="el-GR"/>
        </w:rPr>
        <w:t>(</w:t>
      </w:r>
      <w:r>
        <w:t>iv</w:t>
      </w:r>
      <w:r>
        <w:rPr>
          <w:lang w:val="el-GR"/>
        </w:rPr>
        <w:t>)</w:t>
      </w:r>
      <w:r>
        <w:rPr>
          <w:lang w:val="el-GR"/>
        </w:rPr>
        <w:tab/>
        <w:t>το γεγονός ότι παραχωρούνται υποστατικά τα οποία απαιτούν σημαντικό κόστος</w:t>
      </w:r>
      <w:r w:rsidR="00074A33">
        <w:rPr>
          <w:lang w:val="el-GR"/>
        </w:rPr>
        <w:t>,</w:t>
      </w:r>
      <w:r>
        <w:rPr>
          <w:lang w:val="el-GR"/>
        </w:rPr>
        <w:t xml:space="preserve"> για να επιδιορθωθούν και να συντηρηθούν, τα οποία σε διαφορετική περίπτωση θα παρέμεναν σε αχρησία λόγω των περιορισμένων πόρων του Ταμείου του Κηδεμόνα, εξυπηρετεί καλύτερα τα συμφέροντα των Τουρκοκυπρίων ιδιοκτητών,</w:t>
      </w:r>
    </w:p>
    <w:p w14:paraId="45E187A8" w14:textId="706DF558" w:rsidR="00082DC8" w:rsidRDefault="00082DC8" w:rsidP="00082DC8">
      <w:pPr>
        <w:tabs>
          <w:tab w:val="left" w:pos="964"/>
        </w:tabs>
        <w:ind w:left="567" w:hanging="567"/>
        <w:rPr>
          <w:lang w:val="el-GR"/>
        </w:rPr>
      </w:pPr>
      <w:r>
        <w:rPr>
          <w:lang w:val="el-GR"/>
        </w:rPr>
        <w:t>(ν)</w:t>
      </w:r>
      <w:r>
        <w:rPr>
          <w:lang w:val="el-GR"/>
        </w:rPr>
        <w:tab/>
        <w:t>είναι ορθολογικότερο το οικονομικό βάρος της συντήρησης και των αναγκαίων επιδιορθώσεων να επωμίζεται ο κάτοχος, ο οποίος έχει οικονομικό όφελος από την λειτουργία και αξιοποίηση του υποστατικού, αντί το Ταμείο του Κηδεμόνα</w:t>
      </w:r>
      <w:r w:rsidR="00074A33">
        <w:rPr>
          <w:lang w:val="el-GR"/>
        </w:rPr>
        <w:t>.</w:t>
      </w:r>
    </w:p>
    <w:p w14:paraId="781E0368" w14:textId="456A20C3" w:rsidR="00082DC8" w:rsidRDefault="00082DC8" w:rsidP="00082DC8">
      <w:pPr>
        <w:rPr>
          <w:lang w:val="el-GR"/>
        </w:rPr>
      </w:pPr>
      <w:r>
        <w:rPr>
          <w:lang w:val="el-GR"/>
        </w:rPr>
        <w:tab/>
        <w:t>Επιπρόσθετα, ο υπό Αναπομπή Νόμος επιβαρύνει το Πάγιο Ταμείο της Δημοκρατίας και αυξάνει τα έξοδα του Προϋπολογισμού, κατά παράβαση των διατάξεων του Άρθρου 80 του Συντάγματος.</w:t>
      </w:r>
    </w:p>
    <w:p w14:paraId="3275A2A5" w14:textId="16CDE5CE" w:rsidR="00082DC8" w:rsidRDefault="00082DC8" w:rsidP="00082DC8">
      <w:pPr>
        <w:rPr>
          <w:lang w:val="el-GR"/>
        </w:rPr>
      </w:pPr>
      <w:r>
        <w:rPr>
          <w:lang w:val="el-GR"/>
        </w:rPr>
        <w:tab/>
        <w:t xml:space="preserve">Το Άρθρο 80 του Συντάγματος προβλέπει ότι ουδεμία πρόταση νόμου που συνεπάγεται αύξηση των εξόδων που προβλέπονται από τον Προϋπολογισμό δύναται να υποβληθεί από βουλευτή.  </w:t>
      </w:r>
      <w:r w:rsidRPr="00082DC8">
        <w:rPr>
          <w:lang w:val="el-GR"/>
        </w:rPr>
        <w:t>(</w:t>
      </w:r>
      <w:r w:rsidRPr="00082DC8">
        <w:rPr>
          <w:rStyle w:val="Bodytext217pt"/>
          <w:b/>
          <w:bCs/>
          <w:sz w:val="24"/>
          <w:szCs w:val="24"/>
        </w:rPr>
        <w:t>Πρόεδρος της Δημοκρατίας v</w:t>
      </w:r>
      <w:r w:rsidR="00074A33">
        <w:rPr>
          <w:rStyle w:val="Bodytext217pt"/>
          <w:b/>
          <w:bCs/>
          <w:sz w:val="24"/>
          <w:szCs w:val="24"/>
        </w:rPr>
        <w:t>.</w:t>
      </w:r>
      <w:r w:rsidRPr="00082DC8">
        <w:rPr>
          <w:rStyle w:val="Bodytext217pt"/>
          <w:b/>
          <w:bCs/>
          <w:sz w:val="24"/>
          <w:szCs w:val="24"/>
        </w:rPr>
        <w:t xml:space="preserve"> Βουλής των Αντιπροσώπων (</w:t>
      </w:r>
      <w:proofErr w:type="spellStart"/>
      <w:r w:rsidRPr="00082DC8">
        <w:rPr>
          <w:rStyle w:val="Bodytext217pt"/>
          <w:b/>
          <w:bCs/>
          <w:sz w:val="24"/>
          <w:szCs w:val="24"/>
        </w:rPr>
        <w:t>Αρ</w:t>
      </w:r>
      <w:proofErr w:type="spellEnd"/>
      <w:r w:rsidRPr="00082DC8">
        <w:rPr>
          <w:rStyle w:val="Bodytext217pt"/>
          <w:b/>
          <w:bCs/>
          <w:sz w:val="24"/>
          <w:szCs w:val="24"/>
        </w:rPr>
        <w:t>.</w:t>
      </w:r>
      <w:r w:rsidR="00074A33">
        <w:rPr>
          <w:rStyle w:val="Bodytext217pt"/>
          <w:b/>
          <w:bCs/>
          <w:sz w:val="24"/>
          <w:szCs w:val="24"/>
        </w:rPr>
        <w:t xml:space="preserve"> </w:t>
      </w:r>
      <w:r w:rsidRPr="00082DC8">
        <w:rPr>
          <w:rStyle w:val="Bodytext217pt"/>
          <w:b/>
          <w:bCs/>
          <w:sz w:val="24"/>
          <w:szCs w:val="24"/>
        </w:rPr>
        <w:t>2)</w:t>
      </w:r>
      <w:r>
        <w:rPr>
          <w:rStyle w:val="Bodytext217pt"/>
        </w:rPr>
        <w:t xml:space="preserve"> </w:t>
      </w:r>
      <w:r>
        <w:rPr>
          <w:lang w:val="el-GR"/>
        </w:rPr>
        <w:t xml:space="preserve">(2001) 3Α. </w:t>
      </w:r>
      <w:r w:rsidRPr="00082DC8">
        <w:rPr>
          <w:rStyle w:val="Bodytext217pt"/>
          <w:i w:val="0"/>
          <w:iCs w:val="0"/>
          <w:sz w:val="24"/>
          <w:szCs w:val="24"/>
        </w:rPr>
        <w:t>Α.Α.Δ.</w:t>
      </w:r>
      <w:r>
        <w:rPr>
          <w:lang w:val="el-GR"/>
        </w:rPr>
        <w:t xml:space="preserve"> 519, </w:t>
      </w:r>
      <w:r w:rsidRPr="00082DC8">
        <w:rPr>
          <w:rStyle w:val="Bodytext217pt"/>
          <w:b/>
          <w:bCs/>
          <w:sz w:val="24"/>
          <w:szCs w:val="24"/>
        </w:rPr>
        <w:t>Πρόεδρος της Δημοκρατίας ν</w:t>
      </w:r>
      <w:r w:rsidR="00074A33">
        <w:rPr>
          <w:rStyle w:val="Bodytext217pt"/>
          <w:b/>
          <w:bCs/>
          <w:sz w:val="24"/>
          <w:szCs w:val="24"/>
        </w:rPr>
        <w:t>.</w:t>
      </w:r>
      <w:r w:rsidRPr="00082DC8">
        <w:rPr>
          <w:rStyle w:val="Bodytext217pt"/>
          <w:b/>
          <w:bCs/>
          <w:sz w:val="24"/>
          <w:szCs w:val="24"/>
        </w:rPr>
        <w:t xml:space="preserve"> Βουλής των Αντιπροσώπων</w:t>
      </w:r>
      <w:r>
        <w:rPr>
          <w:rStyle w:val="Bodytext217pt"/>
        </w:rPr>
        <w:t xml:space="preserve"> </w:t>
      </w:r>
      <w:r>
        <w:rPr>
          <w:lang w:val="el-GR"/>
        </w:rPr>
        <w:t xml:space="preserve">(2011) 3Α. </w:t>
      </w:r>
      <w:r w:rsidRPr="00082DC8">
        <w:rPr>
          <w:rStyle w:val="Bodytext217pt"/>
          <w:i w:val="0"/>
          <w:iCs w:val="0"/>
          <w:sz w:val="24"/>
          <w:szCs w:val="24"/>
        </w:rPr>
        <w:t>Α.Α.Δ</w:t>
      </w:r>
      <w:r w:rsidRPr="00082DC8">
        <w:rPr>
          <w:rStyle w:val="Bodytext217pt"/>
          <w:sz w:val="24"/>
          <w:szCs w:val="24"/>
        </w:rPr>
        <w:t>.</w:t>
      </w:r>
      <w:r>
        <w:rPr>
          <w:lang w:val="el-GR"/>
        </w:rPr>
        <w:t xml:space="preserve"> 72, Αναφορές </w:t>
      </w:r>
      <w:proofErr w:type="spellStart"/>
      <w:r>
        <w:rPr>
          <w:lang w:val="el-GR"/>
        </w:rPr>
        <w:t>αρ</w:t>
      </w:r>
      <w:proofErr w:type="spellEnd"/>
      <w:r>
        <w:rPr>
          <w:lang w:val="el-GR"/>
        </w:rPr>
        <w:t>.</w:t>
      </w:r>
      <w:r w:rsidR="00074A33">
        <w:rPr>
          <w:lang w:val="el-GR"/>
        </w:rPr>
        <w:t xml:space="preserve"> </w:t>
      </w:r>
      <w:r>
        <w:rPr>
          <w:lang w:val="el-GR"/>
        </w:rPr>
        <w:t xml:space="preserve">2/18 και 3/18 </w:t>
      </w:r>
      <w:r w:rsidRPr="00A04E0B">
        <w:rPr>
          <w:rStyle w:val="Bodytext217pt"/>
          <w:b/>
          <w:bCs/>
          <w:sz w:val="24"/>
          <w:szCs w:val="24"/>
        </w:rPr>
        <w:t>Πρόεδρος της Δημοκρατίας ν</w:t>
      </w:r>
      <w:r w:rsidR="00074A33">
        <w:rPr>
          <w:rStyle w:val="Bodytext217pt"/>
          <w:b/>
          <w:bCs/>
          <w:sz w:val="24"/>
          <w:szCs w:val="24"/>
        </w:rPr>
        <w:t>.</w:t>
      </w:r>
      <w:r w:rsidRPr="00A04E0B">
        <w:rPr>
          <w:rStyle w:val="Bodytext217pt"/>
          <w:b/>
          <w:bCs/>
          <w:sz w:val="24"/>
          <w:szCs w:val="24"/>
        </w:rPr>
        <w:t xml:space="preserve"> Βουλή</w:t>
      </w:r>
      <w:r w:rsidR="00074A33">
        <w:rPr>
          <w:rStyle w:val="Bodytext217pt"/>
          <w:b/>
          <w:bCs/>
          <w:sz w:val="24"/>
          <w:szCs w:val="24"/>
        </w:rPr>
        <w:t>ς</w:t>
      </w:r>
      <w:r w:rsidRPr="00A04E0B">
        <w:rPr>
          <w:rStyle w:val="Bodytext217pt"/>
          <w:b/>
          <w:bCs/>
          <w:sz w:val="24"/>
          <w:szCs w:val="24"/>
        </w:rPr>
        <w:t xml:space="preserve"> των Αντιπροσώπων,</w:t>
      </w:r>
      <w:r w:rsidRPr="00A04E0B">
        <w:rPr>
          <w:rStyle w:val="Bodytext217pt"/>
          <w:i w:val="0"/>
          <w:iCs w:val="0"/>
          <w:sz w:val="24"/>
          <w:szCs w:val="24"/>
        </w:rPr>
        <w:t xml:space="preserve"> </w:t>
      </w:r>
      <w:r>
        <w:rPr>
          <w:lang w:val="el-GR"/>
        </w:rPr>
        <w:t xml:space="preserve">ημερομηνίας 6 </w:t>
      </w:r>
      <w:r w:rsidR="00074A33">
        <w:rPr>
          <w:lang w:val="el-GR"/>
        </w:rPr>
        <w:t>Φεβρουαρίου</w:t>
      </w:r>
      <w:r>
        <w:rPr>
          <w:lang w:val="el-GR"/>
        </w:rPr>
        <w:t xml:space="preserve"> 2019).</w:t>
      </w:r>
    </w:p>
    <w:p w14:paraId="65ED6323" w14:textId="73F5DA16" w:rsidR="00082DC8" w:rsidRDefault="00082DC8" w:rsidP="00082DC8">
      <w:pPr>
        <w:rPr>
          <w:lang w:val="el-GR"/>
        </w:rPr>
      </w:pPr>
      <w:r>
        <w:rPr>
          <w:lang w:val="el-GR"/>
        </w:rPr>
        <w:tab/>
        <w:t xml:space="preserve">Ο σκοπός του Συνταγματικού Νομοθέτη είναι η απόδοση αποκλειστικής εξουσίας για την ετοιμασία του προϋπολογισμού και τον καθορισμό των δαπανών του κράτους στην Εκτελεστική Εξουσία, αφού θα μπορούσε πρόταση Νόμου να επιβαρύνει και να </w:t>
      </w:r>
      <w:r>
        <w:rPr>
          <w:lang w:val="el-GR"/>
        </w:rPr>
        <w:lastRenderedPageBreak/>
        <w:t>αυξάνει τα έξοδα όλων των προϋπολογισμών</w:t>
      </w:r>
      <w:r w:rsidR="00074A33">
        <w:rPr>
          <w:lang w:val="el-GR"/>
        </w:rPr>
        <w:t>,</w:t>
      </w:r>
      <w:r>
        <w:rPr>
          <w:lang w:val="el-GR"/>
        </w:rPr>
        <w:t xml:space="preserve"> πέραν του τρέχοντος και ήδη </w:t>
      </w:r>
      <w:proofErr w:type="spellStart"/>
      <w:r>
        <w:rPr>
          <w:lang w:val="el-GR"/>
        </w:rPr>
        <w:t>εγκριθέντος</w:t>
      </w:r>
      <w:proofErr w:type="spellEnd"/>
      <w:r>
        <w:rPr>
          <w:lang w:val="el-GR"/>
        </w:rPr>
        <w:t>, χωρίς την συναίνεση της Εκτελεστικής Εξουσίας.</w:t>
      </w:r>
    </w:p>
    <w:p w14:paraId="5F0135B1" w14:textId="7B1A86F7" w:rsidR="00082DC8" w:rsidRDefault="00082DC8" w:rsidP="00082DC8">
      <w:pPr>
        <w:rPr>
          <w:lang w:val="el-GR"/>
        </w:rPr>
      </w:pPr>
      <w:r>
        <w:rPr>
          <w:lang w:val="el-GR"/>
        </w:rPr>
        <w:tab/>
        <w:t>Οι πρόνοιες του υπό αναπομπή Νόμου επιφέρουν αύξηση των κατά τα άλλα προβλεπόμενων δαπανών, προσκρούουν στις διατάξεις του Άρθρου 80.2 του Συντάγματος και ως εκ τούτου είναι αντισυνταγματικές</w:t>
      </w:r>
      <w:r w:rsidR="00074A33">
        <w:rPr>
          <w:lang w:val="el-GR"/>
        </w:rPr>
        <w:t>,</w:t>
      </w:r>
      <w:r>
        <w:rPr>
          <w:lang w:val="el-GR"/>
        </w:rPr>
        <w:t xml:space="preserve"> καθώς και ασύμβατες με την αρχή της Διάκρισης των Εξουσιών, εφόσον επεμβαίνει η Νομοθετική Εξουσία στην διαμόρφωση του προϋπολογισμού του Κράτους, κάτι για το οποίο αποκλειστική ευθύνη έχει η Εκτελεστική Εξουσία.</w:t>
      </w:r>
    </w:p>
    <w:p w14:paraId="4C75AA6E" w14:textId="3564B675" w:rsidR="00082DC8" w:rsidRDefault="00082DC8" w:rsidP="00082DC8">
      <w:pPr>
        <w:rPr>
          <w:lang w:val="el-GR"/>
        </w:rPr>
      </w:pPr>
      <w:r>
        <w:rPr>
          <w:lang w:val="el-GR"/>
        </w:rPr>
        <w:tab/>
        <w:t>Ειδικότερα, το άρθρο 2 του υπό Αναπομπή Νόμου προβλέπει ότι</w:t>
      </w:r>
      <w:r w:rsidR="00074A33">
        <w:rPr>
          <w:lang w:val="el-GR"/>
        </w:rPr>
        <w:t>,</w:t>
      </w:r>
      <w:r>
        <w:rPr>
          <w:lang w:val="el-GR"/>
        </w:rPr>
        <w:t xml:space="preserve"> προτού παραχωρηθεί οποιαδήποτε άδεια χρήσης τουρκοκυπριακής περιουσίας σε δικαιούχους για σκοπούς στέγασης ή επαγγελματικής χρήσης, ο Κηδεμόνας, για λόγους ασφαλείας, μεριμνά για την ετοιμασία σχετικής μελέτης για τη στατική επάρκεια του ακινήτου.  Η ετοιμασία τέτοιας μελέτης συνεπάγεται αύξηση δαπανών ή/και </w:t>
      </w:r>
      <w:r w:rsidR="00074A33">
        <w:rPr>
          <w:lang w:val="el-GR"/>
        </w:rPr>
        <w:t>εργατοωρών</w:t>
      </w:r>
      <w:r>
        <w:rPr>
          <w:lang w:val="el-GR"/>
        </w:rPr>
        <w:t xml:space="preserve"> προσωπικού που δεν διαθέτει ο Κηδεμόνας</w:t>
      </w:r>
      <w:r w:rsidR="00074A33">
        <w:rPr>
          <w:lang w:val="el-GR"/>
        </w:rPr>
        <w:t>,</w:t>
      </w:r>
      <w:r>
        <w:rPr>
          <w:lang w:val="el-GR"/>
        </w:rPr>
        <w:t xml:space="preserve"> με αποτέλεσμα τούτο είτε να ανατεθεί στον ιδιωτικό τομέα είτε να </w:t>
      </w:r>
      <w:r w:rsidR="00074A33">
        <w:rPr>
          <w:lang w:val="el-GR"/>
        </w:rPr>
        <w:t>επιβαρύνει</w:t>
      </w:r>
      <w:r>
        <w:rPr>
          <w:lang w:val="el-GR"/>
        </w:rPr>
        <w:t xml:space="preserve"> προσωπικό άλλου κυβερνητικού τμήματος.</w:t>
      </w:r>
    </w:p>
    <w:p w14:paraId="591823B6" w14:textId="2150D5FC" w:rsidR="00082DC8" w:rsidRDefault="00082DC8" w:rsidP="00082DC8">
      <w:pPr>
        <w:rPr>
          <w:lang w:val="el-GR"/>
        </w:rPr>
      </w:pPr>
      <w:r>
        <w:rPr>
          <w:lang w:val="el-GR"/>
        </w:rPr>
        <w:tab/>
        <w:t xml:space="preserve">Επιπρόσθετα, ο υπό Αναπομπή Νόμος δεν περιλαμβάνει ορισμούς των όρων που χρησιμοποιούνται στον υπό Αναπομπή Νόμο, ζήτημα το οποίο οδηγεί σε συγκρούσεις με άλλες πρόνοιες του βασικού νόμου και των Κανονισμών που εκδίδονται δυνάμει του βασικού νόμου.  Συγκεκριμένα, εισάγονται ορισμοί στον υπό Αναπομπή Νόμο, όπως </w:t>
      </w:r>
      <w:r w:rsidR="00074A33" w:rsidRPr="00074A33">
        <w:rPr>
          <w:rStyle w:val="Bodytext217pt"/>
          <w:sz w:val="24"/>
          <w:szCs w:val="24"/>
        </w:rPr>
        <w:t>“</w:t>
      </w:r>
      <w:r w:rsidRPr="00A04E0B">
        <w:rPr>
          <w:rStyle w:val="Bodytext217pt"/>
          <w:sz w:val="24"/>
          <w:szCs w:val="24"/>
        </w:rPr>
        <w:t>άδεια χρήσης τ/κ περιουσίας</w:t>
      </w:r>
      <w:r w:rsidR="00074A33" w:rsidRPr="00074A33">
        <w:rPr>
          <w:rStyle w:val="Bodytext217pt"/>
          <w:sz w:val="24"/>
          <w:szCs w:val="24"/>
        </w:rPr>
        <w:t>”</w:t>
      </w:r>
      <w:r w:rsidRPr="00A04E0B">
        <w:rPr>
          <w:rStyle w:val="Bodytext217pt"/>
          <w:sz w:val="24"/>
          <w:szCs w:val="24"/>
        </w:rPr>
        <w:t xml:space="preserve">, </w:t>
      </w:r>
      <w:r w:rsidR="00074A33" w:rsidRPr="00074A33">
        <w:rPr>
          <w:rStyle w:val="Bodytext217pt"/>
          <w:sz w:val="24"/>
          <w:szCs w:val="24"/>
        </w:rPr>
        <w:t>“</w:t>
      </w:r>
      <w:r w:rsidRPr="00A04E0B">
        <w:rPr>
          <w:rStyle w:val="Bodytext217pt"/>
          <w:sz w:val="24"/>
          <w:szCs w:val="24"/>
        </w:rPr>
        <w:t>σε δικαιούχους</w:t>
      </w:r>
      <w:r w:rsidR="00074A33" w:rsidRPr="00074A33">
        <w:rPr>
          <w:rStyle w:val="Bodytext217pt"/>
          <w:sz w:val="24"/>
          <w:szCs w:val="24"/>
        </w:rPr>
        <w:t>”</w:t>
      </w:r>
      <w:r w:rsidRPr="00A04E0B">
        <w:rPr>
          <w:rStyle w:val="Bodytext217pt"/>
          <w:sz w:val="24"/>
          <w:szCs w:val="24"/>
        </w:rPr>
        <w:t>,</w:t>
      </w:r>
      <w:r>
        <w:rPr>
          <w:lang w:val="el-GR"/>
        </w:rPr>
        <w:t xml:space="preserve"> που δεν τυγχάνουν ερμηνείας από τον ίδιο τον υπό Αναπομπή Νόμο ή τον βασικό νόμο ή που είναι αντίθετοι με τους υφιστάμενους κανονισμούς ή τους τροποποιητικούς κανονισμούς που αναφέρθηκαν ανωτέρω.</w:t>
      </w:r>
    </w:p>
    <w:p w14:paraId="0E1EF096" w14:textId="07F40F95" w:rsidR="00082DC8" w:rsidRDefault="00082DC8" w:rsidP="00082DC8">
      <w:pPr>
        <w:rPr>
          <w:lang w:val="el-GR"/>
        </w:rPr>
      </w:pPr>
      <w:r>
        <w:rPr>
          <w:lang w:val="el-GR"/>
        </w:rPr>
        <w:lastRenderedPageBreak/>
        <w:tab/>
        <w:t xml:space="preserve">Επίσης, δεν διευκρινίζεται </w:t>
      </w:r>
      <w:r w:rsidR="00074A33">
        <w:rPr>
          <w:lang w:val="el-GR"/>
        </w:rPr>
        <w:t>αν</w:t>
      </w:r>
      <w:r>
        <w:rPr>
          <w:lang w:val="el-GR"/>
        </w:rPr>
        <w:t xml:space="preserve"> ο ορισμός </w:t>
      </w:r>
      <w:r w:rsidR="00BC78ED" w:rsidRPr="00BC78ED">
        <w:rPr>
          <w:rStyle w:val="Bodytext217pt"/>
          <w:sz w:val="24"/>
          <w:szCs w:val="24"/>
        </w:rPr>
        <w:t>“</w:t>
      </w:r>
      <w:r w:rsidRPr="00A04E0B">
        <w:rPr>
          <w:rStyle w:val="Bodytext217pt"/>
          <w:sz w:val="24"/>
          <w:szCs w:val="24"/>
        </w:rPr>
        <w:t>....</w:t>
      </w:r>
      <w:r w:rsidRPr="00A04E0B">
        <w:rPr>
          <w:rStyle w:val="Bodytext217pt"/>
          <w:b/>
          <w:bCs/>
          <w:sz w:val="24"/>
          <w:szCs w:val="24"/>
        </w:rPr>
        <w:t xml:space="preserve">παραχωρηθεί </w:t>
      </w:r>
      <w:r w:rsidRPr="00A04E0B">
        <w:rPr>
          <w:rStyle w:val="Bodytext217pt"/>
          <w:sz w:val="24"/>
          <w:szCs w:val="24"/>
        </w:rPr>
        <w:t>οποιαδήποτε άδεια χρήσης....</w:t>
      </w:r>
      <w:r w:rsidR="00BC78ED" w:rsidRPr="00BC78ED">
        <w:rPr>
          <w:rStyle w:val="Bodytext217pt"/>
          <w:sz w:val="24"/>
          <w:szCs w:val="24"/>
        </w:rPr>
        <w:t>”</w:t>
      </w:r>
      <w:r>
        <w:rPr>
          <w:lang w:val="el-GR"/>
        </w:rPr>
        <w:t xml:space="preserve"> θα αφορά σε παραχώρηση περιουσίας σε πρόσφυγα για πρώτη φορά ή γενικότερα για κάθε φορά που συνάπτεται νέα σύμβαση (όχι ανανέωση υφιστάμενης σύμβασης), καθώς υπάρχουν πολλές περιπτώσεις όπου συμβάσεις μισθώσεων τερματίστηκαν για διάφορο</w:t>
      </w:r>
      <w:r w:rsidR="00BC78ED">
        <w:rPr>
          <w:lang w:val="el-GR"/>
        </w:rPr>
        <w:t>υ</w:t>
      </w:r>
      <w:r>
        <w:rPr>
          <w:lang w:val="el-GR"/>
        </w:rPr>
        <w:t xml:space="preserve">ς λόγους, χωρίς να ανακτηθεί η κατοχή της περιουσίας, και στην συνέχεια </w:t>
      </w:r>
      <w:proofErr w:type="spellStart"/>
      <w:r>
        <w:rPr>
          <w:lang w:val="el-GR"/>
        </w:rPr>
        <w:t>συνομολογήθηκαν</w:t>
      </w:r>
      <w:proofErr w:type="spellEnd"/>
      <w:r>
        <w:rPr>
          <w:lang w:val="el-GR"/>
        </w:rPr>
        <w:t xml:space="preserve"> νέες συμβάσεις μίσθωσης με τους υφιστάμενους κατόχους.</w:t>
      </w:r>
    </w:p>
    <w:p w14:paraId="2C9AAAD8" w14:textId="4D7A4D75" w:rsidR="00082DC8" w:rsidRPr="00A04E0B" w:rsidRDefault="00082DC8" w:rsidP="00082DC8">
      <w:pPr>
        <w:rPr>
          <w:rStyle w:val="Bodytext3NotItalic"/>
          <w:i w:val="0"/>
          <w:iCs w:val="0"/>
          <w:sz w:val="24"/>
          <w:szCs w:val="24"/>
        </w:rPr>
      </w:pPr>
      <w:r>
        <w:rPr>
          <w:lang w:val="el-GR"/>
        </w:rPr>
        <w:tab/>
        <w:t>Η πιο πάνω εισαγωγή όρων, με τον τρόπο που περιγράφεται, δεν παρέχει ασφάλεια δικαίου, ενώ περαιτέρω μπορεί να δημιουργήσει φαινόμενα προσφύγων δύο ταχυτήτων, αφού πρόσωπα τα οποία ενδεχομένως να μη συντηρούν τις τ/κ περιουσίες που κατέχουν δύνανται να επιδιώκουν τον τερματισμό της συμφωνίας και στην συνέχεια να ζητούν την εκ νέου μίσθωση του υποστατικού, στη βάση άλλων προνοιών του υπό Αναπομπή Νόμου.  Σύμφωνα με τη δεύτερη επιφύλαξη του άρθρου 15(3) του βασικού νόμου, κάτοχος τ/κ περιουσίας που την κατέχει παράνομα</w:t>
      </w:r>
      <w:r w:rsidR="0095303A">
        <w:rPr>
          <w:lang w:val="el-GR"/>
        </w:rPr>
        <w:t xml:space="preserve"> </w:t>
      </w:r>
      <w:r w:rsidR="00BC78ED" w:rsidRPr="00BC78ED">
        <w:rPr>
          <w:i/>
          <w:iCs/>
          <w:lang w:val="el-GR"/>
        </w:rPr>
        <w:t>“</w:t>
      </w:r>
      <w:r>
        <w:rPr>
          <w:i/>
          <w:iCs/>
          <w:lang w:val="el-GR"/>
        </w:rPr>
        <w:t>...δικαιούται να υποβάλει αίτηση η οποία εξετάζεται εντός τριάντα ημερών και η αιτούμενη τουρκοκυπριακή περιουσία παραχωρείται σ</w:t>
      </w:r>
      <w:r w:rsidR="00BC78ED">
        <w:rPr>
          <w:i/>
          <w:iCs/>
          <w:lang w:val="el-GR"/>
        </w:rPr>
        <w:t>’</w:t>
      </w:r>
      <w:r>
        <w:rPr>
          <w:i/>
          <w:iCs/>
          <w:lang w:val="el-GR"/>
        </w:rPr>
        <w:t xml:space="preserve"> αυτόν κατά προτεραιότητα, εφόσον </w:t>
      </w:r>
      <w:proofErr w:type="spellStart"/>
      <w:r>
        <w:rPr>
          <w:i/>
          <w:iCs/>
          <w:lang w:val="el-GR"/>
        </w:rPr>
        <w:t>πληρεί</w:t>
      </w:r>
      <w:proofErr w:type="spellEnd"/>
      <w:r>
        <w:rPr>
          <w:i/>
          <w:iCs/>
          <w:lang w:val="el-GR"/>
        </w:rPr>
        <w:t xml:space="preserve"> τα κριτήρια</w:t>
      </w:r>
      <w:r w:rsidR="00BC78ED" w:rsidRPr="00BC78ED">
        <w:rPr>
          <w:i/>
          <w:iCs/>
          <w:lang w:val="el-GR"/>
        </w:rPr>
        <w:t>”</w:t>
      </w:r>
      <w:r w:rsidRPr="00A04E0B">
        <w:rPr>
          <w:i/>
          <w:iCs/>
          <w:lang w:val="el-GR"/>
        </w:rPr>
        <w:t xml:space="preserve">. </w:t>
      </w:r>
      <w:r w:rsidRPr="00A04E0B">
        <w:rPr>
          <w:rStyle w:val="Bodytext3NotItalic"/>
          <w:i w:val="0"/>
          <w:iCs w:val="0"/>
          <w:sz w:val="24"/>
          <w:szCs w:val="24"/>
        </w:rPr>
        <w:t xml:space="preserve"> Με τον υπό Αναπομπή Νόμο, αυτή η πρόνοια του βασικού νόμου αποδυναμώνεται ή/και δυνατό να ερμηνευθεί κατά το δοκούν.</w:t>
      </w:r>
    </w:p>
    <w:p w14:paraId="508ED3F2" w14:textId="4889A25D" w:rsidR="00082DC8" w:rsidRDefault="00082DC8" w:rsidP="00082DC8">
      <w:pPr>
        <w:rPr>
          <w:lang w:val="el-GR"/>
        </w:rPr>
      </w:pPr>
      <w:r>
        <w:rPr>
          <w:lang w:val="el-GR"/>
        </w:rPr>
        <w:tab/>
        <w:t xml:space="preserve">Καταληκτικά, σημειώνεται ότι ο Κηδεμόνας δρομολογεί την υλοποίηση μελετών στατικής επάρκειας για τουρκοκυπριακές περιουσίες, μέσα από ένα συγκροτημένο σχέδιο δράσης, το οποίο καθορίζει κατηγορίες και προτεραιότητες.  Παράλληλα, μέσα από το τροποποιητικό νομοσχέδιο και το προσχέδιο τροποποιητικών κανονισμών που έχει ετοιμάσει η εκτελεστική εξουσία, ρυθμίζεται το ζήτημα της ευθύνης για την ασφάλεια και την στατική επάρκεια των τουρκοκυπριακών υποστατικών με σαφείς και συγκεκριμένους όρους, πράγμα το οποίο δεν ρυθμίζεται στον υπό Αναπομπή Νόμο. </w:t>
      </w:r>
      <w:r>
        <w:rPr>
          <w:lang w:val="el-GR"/>
        </w:rPr>
        <w:lastRenderedPageBreak/>
        <w:t>Οι ρυθμίσεις αυτές επεκτείνονται και περιλαμβάνονται στις συμβάσεις μίσθωσης. Αντιθέτως, οι πρόνοιες του υπό Αναπομπή Νόμου συγκρούονται με τις ρυθμίσεις που προωθεί ο Κηδεμόνας και δυσχεραίνουν την ορθολογιστική διαχείριση των τουρκοκυπριακών περιουσιών.</w:t>
      </w:r>
      <w:r w:rsidR="008A5D7A">
        <w:rPr>
          <w:lang w:val="el-GR"/>
        </w:rPr>
        <w:t>».</w:t>
      </w:r>
    </w:p>
    <w:p w14:paraId="1B0B3B9F" w14:textId="39583FB8" w:rsidR="00C5019C" w:rsidRPr="0095303A" w:rsidRDefault="00C5019C" w:rsidP="00C5019C">
      <w:pPr>
        <w:rPr>
          <w:rFonts w:cs="Arial"/>
          <w:bCs/>
          <w:lang w:val="el-GR"/>
        </w:rPr>
      </w:pPr>
      <w:r>
        <w:rPr>
          <w:rFonts w:cs="Arial"/>
          <w:bCs/>
          <w:lang w:val="el-GR"/>
        </w:rPr>
        <w:tab/>
        <w:t>Στο πλαίσιο της συζήτησης του αναπεμφθέντος νόμου ενώπιον της επιτροπής</w:t>
      </w:r>
      <w:r w:rsidR="0095303A" w:rsidRPr="0095303A">
        <w:rPr>
          <w:rFonts w:cs="Arial"/>
          <w:bCs/>
          <w:lang w:val="el-GR"/>
        </w:rPr>
        <w:t>,</w:t>
      </w:r>
      <w:r w:rsidR="00B932B0" w:rsidRPr="0095303A">
        <w:rPr>
          <w:rFonts w:cs="Arial"/>
          <w:bCs/>
          <w:lang w:val="el-GR"/>
        </w:rPr>
        <w:t xml:space="preserve"> ο </w:t>
      </w:r>
      <w:r w:rsidR="0095303A" w:rsidRPr="0095303A">
        <w:rPr>
          <w:rFonts w:cs="Arial"/>
          <w:bCs/>
          <w:lang w:val="el-GR"/>
        </w:rPr>
        <w:t>γ</w:t>
      </w:r>
      <w:r w:rsidR="00B932B0" w:rsidRPr="0095303A">
        <w:rPr>
          <w:rFonts w:cs="Arial"/>
          <w:bCs/>
          <w:lang w:val="el-GR"/>
        </w:rPr>
        <w:t xml:space="preserve">ενικός </w:t>
      </w:r>
      <w:r w:rsidR="0095303A" w:rsidRPr="0095303A">
        <w:rPr>
          <w:rFonts w:cs="Arial"/>
          <w:bCs/>
          <w:lang w:val="el-GR"/>
        </w:rPr>
        <w:t>δ</w:t>
      </w:r>
      <w:r w:rsidR="00B932B0" w:rsidRPr="0095303A">
        <w:rPr>
          <w:rFonts w:cs="Arial"/>
          <w:bCs/>
          <w:lang w:val="el-GR"/>
        </w:rPr>
        <w:t>ιευθυντής του Υπουργείου Εσωτερικών</w:t>
      </w:r>
      <w:r>
        <w:rPr>
          <w:rFonts w:cs="Arial"/>
          <w:bCs/>
          <w:lang w:val="el-GR"/>
        </w:rPr>
        <w:t xml:space="preserve"> </w:t>
      </w:r>
      <w:r w:rsidR="005F0BB6">
        <w:rPr>
          <w:rFonts w:cs="Arial"/>
          <w:bCs/>
          <w:lang w:val="el-GR"/>
        </w:rPr>
        <w:t>αναφέρθηκε σ</w:t>
      </w:r>
      <w:r>
        <w:rPr>
          <w:rFonts w:cs="Arial"/>
          <w:bCs/>
          <w:lang w:val="el-GR"/>
        </w:rPr>
        <w:t>τους λόγους για τους οποίους κρίθηκε σκόπιμη η αναπομπή του εν λόγω νόμου, στη βάση της πιο πάνω επιστολής του Προέδρου της Δημοκρατίας.</w:t>
      </w:r>
      <w:r w:rsidR="008E7698">
        <w:rPr>
          <w:rFonts w:cs="Arial"/>
          <w:bCs/>
          <w:lang w:val="el-GR"/>
        </w:rPr>
        <w:t xml:space="preserve">  </w:t>
      </w:r>
      <w:r w:rsidR="008E7698" w:rsidRPr="0095303A">
        <w:rPr>
          <w:rFonts w:cs="Arial"/>
          <w:bCs/>
          <w:lang w:val="el-GR"/>
        </w:rPr>
        <w:t xml:space="preserve">Περαιτέρω, ενημέρωσε την επιτροπή για τη δρομολόγηση από τον Κηδεμόνα </w:t>
      </w:r>
      <w:r w:rsidR="0095303A" w:rsidRPr="0095303A">
        <w:rPr>
          <w:rFonts w:cs="Arial"/>
          <w:bCs/>
          <w:lang w:val="el-GR"/>
        </w:rPr>
        <w:t>Τ</w:t>
      </w:r>
      <w:r w:rsidR="002C07A5" w:rsidRPr="0095303A">
        <w:rPr>
          <w:rFonts w:cs="Arial"/>
          <w:bCs/>
          <w:lang w:val="el-GR"/>
        </w:rPr>
        <w:t>ουρκοκυπριακών</w:t>
      </w:r>
      <w:r w:rsidR="008E7698" w:rsidRPr="0095303A">
        <w:rPr>
          <w:rFonts w:cs="Arial"/>
          <w:bCs/>
          <w:lang w:val="el-GR"/>
        </w:rPr>
        <w:t xml:space="preserve"> </w:t>
      </w:r>
      <w:r w:rsidR="0095303A" w:rsidRPr="0095303A">
        <w:rPr>
          <w:rFonts w:cs="Arial"/>
          <w:bCs/>
          <w:lang w:val="el-GR"/>
        </w:rPr>
        <w:t>Π</w:t>
      </w:r>
      <w:r w:rsidR="008E7698" w:rsidRPr="0095303A">
        <w:rPr>
          <w:rFonts w:cs="Arial"/>
          <w:bCs/>
          <w:lang w:val="el-GR"/>
        </w:rPr>
        <w:t xml:space="preserve">εριουσιών συγκροτημένου σχεδίου δράσης, </w:t>
      </w:r>
      <w:r w:rsidR="002C07A5" w:rsidRPr="0095303A">
        <w:rPr>
          <w:rFonts w:cs="Arial"/>
          <w:bCs/>
          <w:lang w:val="el-GR"/>
        </w:rPr>
        <w:t>με την ετοιμασία</w:t>
      </w:r>
      <w:r w:rsidR="008E7698" w:rsidRPr="0095303A">
        <w:rPr>
          <w:rFonts w:cs="Arial"/>
          <w:bCs/>
          <w:lang w:val="el-GR"/>
        </w:rPr>
        <w:t xml:space="preserve"> </w:t>
      </w:r>
      <w:r w:rsidR="002C07A5" w:rsidRPr="0095303A">
        <w:rPr>
          <w:rFonts w:cs="Arial"/>
          <w:bCs/>
          <w:lang w:val="el-GR"/>
        </w:rPr>
        <w:t xml:space="preserve">από την </w:t>
      </w:r>
      <w:r w:rsidR="002C07A5" w:rsidRPr="0095303A">
        <w:rPr>
          <w:rFonts w:cs="Arial"/>
          <w:bCs/>
          <w:lang w:val="el-GR"/>
        </w:rPr>
        <w:t>εκτελεστική εξουσία</w:t>
      </w:r>
      <w:r w:rsidR="002C07A5" w:rsidRPr="0095303A">
        <w:rPr>
          <w:rFonts w:cs="Arial"/>
          <w:bCs/>
          <w:lang w:val="el-GR"/>
        </w:rPr>
        <w:t xml:space="preserve"> νομοσχεδίου</w:t>
      </w:r>
      <w:r w:rsidR="008E7698" w:rsidRPr="0095303A">
        <w:rPr>
          <w:rFonts w:cs="Arial"/>
          <w:bCs/>
          <w:lang w:val="el-GR"/>
        </w:rPr>
        <w:t xml:space="preserve"> και σχετικ</w:t>
      </w:r>
      <w:r w:rsidR="002C07A5" w:rsidRPr="0095303A">
        <w:rPr>
          <w:rFonts w:cs="Arial"/>
          <w:bCs/>
          <w:lang w:val="el-GR"/>
        </w:rPr>
        <w:t>ών</w:t>
      </w:r>
      <w:r w:rsidR="008E7698" w:rsidRPr="0095303A">
        <w:rPr>
          <w:rFonts w:cs="Arial"/>
          <w:bCs/>
          <w:lang w:val="el-GR"/>
        </w:rPr>
        <w:t xml:space="preserve"> κανονισμ</w:t>
      </w:r>
      <w:r w:rsidR="002C07A5" w:rsidRPr="0095303A">
        <w:rPr>
          <w:rFonts w:cs="Arial"/>
          <w:bCs/>
          <w:lang w:val="el-GR"/>
        </w:rPr>
        <w:t>ών</w:t>
      </w:r>
      <w:r w:rsidR="008E7698" w:rsidRPr="0095303A">
        <w:rPr>
          <w:rFonts w:cs="Arial"/>
          <w:bCs/>
          <w:lang w:val="el-GR"/>
        </w:rPr>
        <w:t xml:space="preserve"> που </w:t>
      </w:r>
      <w:r w:rsidR="002C07A5" w:rsidRPr="0095303A">
        <w:rPr>
          <w:rFonts w:cs="Arial"/>
          <w:bCs/>
          <w:lang w:val="el-GR"/>
        </w:rPr>
        <w:t xml:space="preserve">ρυθμίζουν το αντικείμενο </w:t>
      </w:r>
      <w:r w:rsidR="00156C72" w:rsidRPr="0095303A">
        <w:rPr>
          <w:rFonts w:cs="Arial"/>
          <w:bCs/>
          <w:lang w:val="el-GR"/>
        </w:rPr>
        <w:t xml:space="preserve">του υπό αναπομπή </w:t>
      </w:r>
      <w:r w:rsidR="0095303A" w:rsidRPr="0095303A">
        <w:rPr>
          <w:rFonts w:cs="Arial"/>
          <w:bCs/>
          <w:lang w:val="el-GR"/>
        </w:rPr>
        <w:t>ν</w:t>
      </w:r>
      <w:r w:rsidR="00156C72" w:rsidRPr="0095303A">
        <w:rPr>
          <w:rFonts w:cs="Arial"/>
          <w:bCs/>
          <w:lang w:val="el-GR"/>
        </w:rPr>
        <w:t>όμου</w:t>
      </w:r>
      <w:r w:rsidR="002C07A5" w:rsidRPr="0095303A">
        <w:rPr>
          <w:rFonts w:cs="Arial"/>
          <w:bCs/>
          <w:lang w:val="el-GR"/>
        </w:rPr>
        <w:t>.  Σύμφωνα με τον ίδιο, τα υπό επεξεργασία νομοσχέδιο και κανονισμοί</w:t>
      </w:r>
      <w:r w:rsidR="00156C72" w:rsidRPr="0095303A">
        <w:rPr>
          <w:rFonts w:cs="Arial"/>
          <w:bCs/>
          <w:lang w:val="el-GR"/>
        </w:rPr>
        <w:t xml:space="preserve"> </w:t>
      </w:r>
      <w:r w:rsidR="00156C72" w:rsidRPr="0095303A">
        <w:rPr>
          <w:rFonts w:cs="Arial"/>
          <w:bCs/>
          <w:lang w:val="el-GR"/>
        </w:rPr>
        <w:t xml:space="preserve">αναμένεται να κατατεθούν στη Βουλή </w:t>
      </w:r>
      <w:r w:rsidR="002C07A5" w:rsidRPr="0095303A">
        <w:rPr>
          <w:rFonts w:cs="Arial"/>
          <w:bCs/>
          <w:lang w:val="el-GR"/>
        </w:rPr>
        <w:t>κατά</w:t>
      </w:r>
      <w:r w:rsidR="00156C72" w:rsidRPr="0095303A">
        <w:rPr>
          <w:rFonts w:cs="Arial"/>
          <w:bCs/>
          <w:lang w:val="el-GR"/>
        </w:rPr>
        <w:t xml:space="preserve"> τον προσεχή Ιούνιο</w:t>
      </w:r>
      <w:r w:rsidR="00156C72" w:rsidRPr="0095303A">
        <w:rPr>
          <w:rFonts w:cs="Arial"/>
          <w:bCs/>
          <w:lang w:val="el-GR"/>
        </w:rPr>
        <w:t xml:space="preserve">, αφού πρώτα ολοκληρωθεί από τη Νομική Υπηρεσία της Δημοκρατίας ο νομοτεχνικός έλεγχος </w:t>
      </w:r>
      <w:r w:rsidR="002C07A5" w:rsidRPr="0095303A">
        <w:rPr>
          <w:rFonts w:cs="Arial"/>
          <w:bCs/>
          <w:lang w:val="el-GR"/>
        </w:rPr>
        <w:t>αυτών</w:t>
      </w:r>
      <w:r w:rsidR="00156C72" w:rsidRPr="0095303A">
        <w:rPr>
          <w:rFonts w:cs="Arial"/>
          <w:bCs/>
          <w:lang w:val="el-GR"/>
        </w:rPr>
        <w:t xml:space="preserve">. </w:t>
      </w:r>
    </w:p>
    <w:p w14:paraId="3997F327" w14:textId="3223DE5F" w:rsidR="008E7698" w:rsidRPr="0095303A" w:rsidRDefault="008E7698" w:rsidP="00C5019C">
      <w:pPr>
        <w:rPr>
          <w:rFonts w:cs="Arial"/>
          <w:bCs/>
          <w:lang w:val="el-GR"/>
        </w:rPr>
      </w:pPr>
      <w:r>
        <w:rPr>
          <w:rFonts w:cs="Arial"/>
          <w:b/>
          <w:lang w:val="el-GR"/>
        </w:rPr>
        <w:tab/>
      </w:r>
      <w:r w:rsidRPr="0095303A">
        <w:rPr>
          <w:rFonts w:cs="Arial"/>
          <w:bCs/>
          <w:lang w:val="el-GR"/>
        </w:rPr>
        <w:t xml:space="preserve">Η εκπρόσωπος της Νομικής Υπηρεσίας της Δημοκρατίας δήλωσε ότι οι λόγοι της αναπομπής αναλύονται λεπτομερώς στην επιστολή του Προέδρου της Δημοκρατίας, επαναλαμβάνοντας τα νομικά </w:t>
      </w:r>
      <w:r w:rsidR="001F12EA" w:rsidRPr="0095303A">
        <w:rPr>
          <w:rFonts w:cs="Arial"/>
          <w:bCs/>
          <w:lang w:val="el-GR"/>
        </w:rPr>
        <w:t xml:space="preserve">σημεία που στοιχειοθετούν την </w:t>
      </w:r>
      <w:r w:rsidRPr="0095303A">
        <w:rPr>
          <w:rFonts w:cs="Arial"/>
          <w:bCs/>
          <w:lang w:val="el-GR"/>
        </w:rPr>
        <w:t>παράβαση της αρχής</w:t>
      </w:r>
      <w:r w:rsidR="001F12EA" w:rsidRPr="0095303A">
        <w:rPr>
          <w:rFonts w:cs="Arial"/>
          <w:bCs/>
          <w:lang w:val="el-GR"/>
        </w:rPr>
        <w:t xml:space="preserve"> της</w:t>
      </w:r>
      <w:r w:rsidRPr="0095303A">
        <w:rPr>
          <w:rFonts w:cs="Arial"/>
          <w:bCs/>
          <w:lang w:val="el-GR"/>
        </w:rPr>
        <w:t xml:space="preserve"> διάκρισης των εξουσιών</w:t>
      </w:r>
      <w:r w:rsidR="001F12EA" w:rsidRPr="0095303A">
        <w:rPr>
          <w:rFonts w:cs="Arial"/>
          <w:bCs/>
          <w:lang w:val="el-GR"/>
        </w:rPr>
        <w:t>, καθώς και των διατάξεων</w:t>
      </w:r>
      <w:r w:rsidRPr="0095303A">
        <w:rPr>
          <w:rFonts w:cs="Arial"/>
          <w:bCs/>
          <w:lang w:val="el-GR"/>
        </w:rPr>
        <w:t xml:space="preserve"> του άρθρου 80.2 του Συντάγματος της Κυπριακής Δημοκρατίας, αφού, όπως η ίδια ανέφερε, ο </w:t>
      </w:r>
      <w:r w:rsidR="001F12EA" w:rsidRPr="0095303A">
        <w:rPr>
          <w:rFonts w:cs="Arial"/>
          <w:bCs/>
          <w:lang w:val="el-GR"/>
        </w:rPr>
        <w:t>αναπεμφθείς</w:t>
      </w:r>
      <w:r w:rsidRPr="0095303A">
        <w:rPr>
          <w:rFonts w:cs="Arial"/>
          <w:bCs/>
          <w:lang w:val="el-GR"/>
        </w:rPr>
        <w:t xml:space="preserve"> νόμος επιφέρει αύξηση των προβλεπόμενων δαπανών του κράτους.</w:t>
      </w:r>
      <w:r w:rsidR="00370F67" w:rsidRPr="0095303A">
        <w:rPr>
          <w:rFonts w:cs="Arial"/>
          <w:bCs/>
          <w:lang w:val="el-GR"/>
        </w:rPr>
        <w:t xml:space="preserve">  Επιπρόσθετα, ανέφερε ότι </w:t>
      </w:r>
      <w:r w:rsidR="001F12EA" w:rsidRPr="0095303A">
        <w:rPr>
          <w:rFonts w:cs="Arial"/>
          <w:bCs/>
          <w:lang w:val="el-GR"/>
        </w:rPr>
        <w:t xml:space="preserve">με τον αναπεμφθέντα </w:t>
      </w:r>
      <w:r w:rsidR="0095303A" w:rsidRPr="0095303A">
        <w:rPr>
          <w:rFonts w:cs="Arial"/>
          <w:bCs/>
          <w:lang w:val="el-GR"/>
        </w:rPr>
        <w:t>ν</w:t>
      </w:r>
      <w:r w:rsidR="001F12EA" w:rsidRPr="0095303A">
        <w:rPr>
          <w:rFonts w:cs="Arial"/>
          <w:bCs/>
          <w:lang w:val="el-GR"/>
        </w:rPr>
        <w:t xml:space="preserve">όμο </w:t>
      </w:r>
      <w:r w:rsidR="00370F67" w:rsidRPr="0095303A">
        <w:rPr>
          <w:rFonts w:cs="Arial"/>
          <w:bCs/>
          <w:lang w:val="el-GR"/>
        </w:rPr>
        <w:t>εισάγονται όροι που δεν τυγχάνουν ερμηνείας</w:t>
      </w:r>
      <w:r w:rsidR="0095303A" w:rsidRPr="0095303A">
        <w:rPr>
          <w:rFonts w:cs="Arial"/>
          <w:bCs/>
          <w:lang w:val="el-GR"/>
        </w:rPr>
        <w:t>,</w:t>
      </w:r>
      <w:r w:rsidR="00370F67" w:rsidRPr="0095303A">
        <w:rPr>
          <w:rFonts w:cs="Arial"/>
          <w:bCs/>
          <w:lang w:val="el-GR"/>
        </w:rPr>
        <w:t xml:space="preserve"> με αποτέλεσμα να μη </w:t>
      </w:r>
      <w:r w:rsidR="001F12EA" w:rsidRPr="0095303A">
        <w:rPr>
          <w:rFonts w:cs="Arial"/>
          <w:bCs/>
          <w:lang w:val="el-GR"/>
        </w:rPr>
        <w:t xml:space="preserve">διασφαλίζεται η </w:t>
      </w:r>
      <w:r w:rsidR="00370F67" w:rsidRPr="0095303A">
        <w:rPr>
          <w:rFonts w:cs="Arial"/>
          <w:bCs/>
          <w:lang w:val="el-GR"/>
        </w:rPr>
        <w:t>ασφάλεια δικαίου.</w:t>
      </w:r>
    </w:p>
    <w:p w14:paraId="27C0AFA8" w14:textId="0FD5B423" w:rsidR="008E7698" w:rsidRPr="006E0C2F" w:rsidRDefault="008E7698" w:rsidP="00C5019C">
      <w:pPr>
        <w:rPr>
          <w:rFonts w:cs="Arial"/>
          <w:bCs/>
          <w:lang w:val="el-GR"/>
        </w:rPr>
      </w:pPr>
      <w:r>
        <w:rPr>
          <w:rFonts w:cs="Arial"/>
          <w:b/>
          <w:lang w:val="el-GR"/>
        </w:rPr>
        <w:tab/>
      </w:r>
      <w:r w:rsidRPr="006E0C2F">
        <w:rPr>
          <w:rFonts w:cs="Arial"/>
          <w:bCs/>
          <w:lang w:val="el-GR"/>
        </w:rPr>
        <w:t xml:space="preserve">Τα μέλη της επιτροπής ζήτησαν περαιτέρω </w:t>
      </w:r>
      <w:r w:rsidR="00BE17AC" w:rsidRPr="006E0C2F">
        <w:rPr>
          <w:rFonts w:cs="Arial"/>
          <w:bCs/>
          <w:lang w:val="el-GR"/>
        </w:rPr>
        <w:t>ενημέρωση</w:t>
      </w:r>
      <w:r w:rsidRPr="006E0C2F">
        <w:rPr>
          <w:rFonts w:cs="Arial"/>
          <w:bCs/>
          <w:lang w:val="el-GR"/>
        </w:rPr>
        <w:t xml:space="preserve"> αναφορικά με τ</w:t>
      </w:r>
      <w:r w:rsidR="005B5A42" w:rsidRPr="006E0C2F">
        <w:rPr>
          <w:rFonts w:cs="Arial"/>
          <w:bCs/>
          <w:lang w:val="el-GR"/>
        </w:rPr>
        <w:t>α</w:t>
      </w:r>
      <w:r w:rsidR="00BE17AC" w:rsidRPr="006E0C2F">
        <w:rPr>
          <w:rFonts w:cs="Arial"/>
          <w:bCs/>
          <w:lang w:val="el-GR"/>
        </w:rPr>
        <w:t xml:space="preserve"> υπό επεξεργασία </w:t>
      </w:r>
      <w:r w:rsidR="005B5A42" w:rsidRPr="006E0C2F">
        <w:rPr>
          <w:rFonts w:cs="Arial"/>
          <w:bCs/>
          <w:lang w:val="el-GR"/>
        </w:rPr>
        <w:t>από την εκτελεστική εξουσία</w:t>
      </w:r>
      <w:r w:rsidR="005B5A42" w:rsidRPr="006E0C2F">
        <w:rPr>
          <w:rFonts w:cs="Arial"/>
          <w:bCs/>
          <w:lang w:val="el-GR"/>
        </w:rPr>
        <w:t xml:space="preserve"> </w:t>
      </w:r>
      <w:r w:rsidRPr="006E0C2F">
        <w:rPr>
          <w:rFonts w:cs="Arial"/>
          <w:bCs/>
          <w:lang w:val="el-GR"/>
        </w:rPr>
        <w:t>νομοσχέδιο και κανονισμούς</w:t>
      </w:r>
      <w:r w:rsidR="00BE17AC" w:rsidRPr="006E0C2F">
        <w:rPr>
          <w:rFonts w:cs="Arial"/>
          <w:bCs/>
          <w:lang w:val="el-GR"/>
        </w:rPr>
        <w:t xml:space="preserve">, </w:t>
      </w:r>
      <w:r w:rsidR="00BE17AC" w:rsidRPr="006E0C2F">
        <w:rPr>
          <w:rFonts w:cs="Arial"/>
          <w:bCs/>
          <w:lang w:val="el-GR"/>
        </w:rPr>
        <w:lastRenderedPageBreak/>
        <w:t xml:space="preserve">επισημαίνοντας </w:t>
      </w:r>
      <w:r w:rsidR="00BE17AC" w:rsidRPr="006E0C2F">
        <w:rPr>
          <w:rFonts w:cs="Arial"/>
          <w:bCs/>
          <w:lang w:val="el-GR"/>
        </w:rPr>
        <w:t>την ανάγκη επίσπευσης της ρύθμισης του θέματος</w:t>
      </w:r>
      <w:r w:rsidR="006E0C2F" w:rsidRPr="006E0C2F">
        <w:rPr>
          <w:rFonts w:cs="Arial"/>
          <w:bCs/>
          <w:lang w:val="el-GR"/>
        </w:rPr>
        <w:t>,</w:t>
      </w:r>
      <w:r w:rsidR="00BE17AC" w:rsidRPr="006E0C2F">
        <w:rPr>
          <w:rFonts w:cs="Arial"/>
          <w:bCs/>
          <w:lang w:val="el-GR"/>
        </w:rPr>
        <w:t xml:space="preserve"> θεωρώντας </w:t>
      </w:r>
      <w:r w:rsidR="005B5A42" w:rsidRPr="006E0C2F">
        <w:rPr>
          <w:rFonts w:cs="Arial"/>
          <w:bCs/>
          <w:lang w:val="el-GR"/>
        </w:rPr>
        <w:t>τ</w:t>
      </w:r>
      <w:r w:rsidR="00BE17AC" w:rsidRPr="006E0C2F">
        <w:rPr>
          <w:rFonts w:cs="Arial"/>
          <w:bCs/>
          <w:lang w:val="el-GR"/>
        </w:rPr>
        <w:t>η</w:t>
      </w:r>
      <w:r w:rsidR="005B5A42" w:rsidRPr="006E0C2F">
        <w:rPr>
          <w:rFonts w:cs="Arial"/>
          <w:bCs/>
          <w:lang w:val="el-GR"/>
        </w:rPr>
        <w:t>ν</w:t>
      </w:r>
      <w:r w:rsidR="00BE17AC" w:rsidRPr="006E0C2F">
        <w:rPr>
          <w:rFonts w:cs="Arial"/>
          <w:bCs/>
          <w:lang w:val="el-GR"/>
        </w:rPr>
        <w:t xml:space="preserve"> ασφάλεια των δικαιούχων τουρκοκυπριακής ακίνητης ιδιοκτησίας</w:t>
      </w:r>
      <w:r w:rsidR="00BE17AC" w:rsidRPr="006E0C2F">
        <w:rPr>
          <w:rFonts w:cs="Arial"/>
          <w:bCs/>
          <w:lang w:val="el-GR"/>
        </w:rPr>
        <w:t xml:space="preserve"> ύψιστης σημασίας.</w:t>
      </w:r>
    </w:p>
    <w:p w14:paraId="18FB085F" w14:textId="72EB5D3B" w:rsidR="00C5019C" w:rsidRPr="006E0C2F" w:rsidRDefault="000C2880" w:rsidP="00C5019C">
      <w:pPr>
        <w:rPr>
          <w:rFonts w:cs="Arial"/>
          <w:bCs/>
          <w:lang w:val="el-GR"/>
        </w:rPr>
      </w:pPr>
      <w:r>
        <w:rPr>
          <w:rFonts w:cs="Arial"/>
          <w:b/>
          <w:lang w:val="el-GR"/>
        </w:rPr>
        <w:tab/>
      </w:r>
      <w:r w:rsidR="00C5019C">
        <w:rPr>
          <w:rFonts w:cs="Arial"/>
          <w:bCs/>
          <w:lang w:val="el-GR"/>
        </w:rPr>
        <w:t xml:space="preserve">Η Κοινοβουλευτική Επιτροπή Προσφύγων-Εγκλωβισμένων-Αγνοουμένων-Παθόντων, </w:t>
      </w:r>
      <w:r w:rsidR="00B1586E" w:rsidRPr="006E0C2F">
        <w:rPr>
          <w:rFonts w:cs="Arial"/>
          <w:bCs/>
          <w:lang w:val="el-GR"/>
        </w:rPr>
        <w:t xml:space="preserve">αφού έλαβε υπόψη όλα όσα τέθηκαν </w:t>
      </w:r>
      <w:proofErr w:type="spellStart"/>
      <w:r w:rsidR="00B1586E" w:rsidRPr="006E0C2F">
        <w:rPr>
          <w:rFonts w:cs="Arial"/>
          <w:bCs/>
          <w:lang w:val="el-GR"/>
        </w:rPr>
        <w:t>ενώπιόν</w:t>
      </w:r>
      <w:proofErr w:type="spellEnd"/>
      <w:r w:rsidR="00B1586E" w:rsidRPr="006E0C2F">
        <w:rPr>
          <w:rFonts w:cs="Arial"/>
          <w:bCs/>
          <w:lang w:val="el-GR"/>
        </w:rPr>
        <w:t xml:space="preserve"> της, αποφάσισε όπως τοποθετηθεί επί της αναπομπής του νόμου από τον Πρόεδρο της Δημοκρατίας κατά τη συζήτηση του θέματος στην ολομέλεια του σώματος.</w:t>
      </w:r>
    </w:p>
    <w:p w14:paraId="3ADF4047" w14:textId="77777777" w:rsidR="00C5019C" w:rsidRDefault="00C5019C" w:rsidP="00082DC8">
      <w:pPr>
        <w:rPr>
          <w:rFonts w:cs="Arial"/>
          <w:bCs/>
          <w:lang w:val="el-GR"/>
        </w:rPr>
      </w:pPr>
    </w:p>
    <w:p w14:paraId="041DC5AD" w14:textId="77777777" w:rsidR="008E7698" w:rsidRDefault="008E7698" w:rsidP="00082DC8">
      <w:pPr>
        <w:rPr>
          <w:rFonts w:cs="Arial"/>
          <w:bCs/>
          <w:lang w:val="el-GR"/>
        </w:rPr>
      </w:pPr>
    </w:p>
    <w:p w14:paraId="631FA0EE" w14:textId="77777777" w:rsidR="008E7698" w:rsidRPr="00186252" w:rsidRDefault="008E7698" w:rsidP="00082DC8">
      <w:pPr>
        <w:rPr>
          <w:rFonts w:cs="Arial"/>
          <w:bCs/>
          <w:lang w:val="el-GR"/>
        </w:rPr>
      </w:pPr>
    </w:p>
    <w:p w14:paraId="3ABA9849" w14:textId="319BD542" w:rsidR="00B86ACF" w:rsidRDefault="00B86ACF" w:rsidP="00160CC9">
      <w:pPr>
        <w:rPr>
          <w:bCs/>
          <w:lang w:val="el-GR"/>
        </w:rPr>
      </w:pPr>
      <w:r>
        <w:rPr>
          <w:bCs/>
          <w:lang w:val="el-GR"/>
        </w:rPr>
        <w:t>2</w:t>
      </w:r>
      <w:r w:rsidR="00BC78ED">
        <w:rPr>
          <w:bCs/>
          <w:lang w:val="el-GR"/>
        </w:rPr>
        <w:t>5</w:t>
      </w:r>
      <w:r>
        <w:rPr>
          <w:bCs/>
          <w:lang w:val="el-GR"/>
        </w:rPr>
        <w:t xml:space="preserve"> </w:t>
      </w:r>
      <w:r w:rsidR="00A93765">
        <w:rPr>
          <w:bCs/>
          <w:lang w:val="el-GR"/>
        </w:rPr>
        <w:t>Απριλίου</w:t>
      </w:r>
      <w:r>
        <w:rPr>
          <w:bCs/>
          <w:lang w:val="el-GR"/>
        </w:rPr>
        <w:t xml:space="preserve"> 202</w:t>
      </w:r>
      <w:r w:rsidR="00A93765">
        <w:rPr>
          <w:bCs/>
          <w:lang w:val="el-GR"/>
        </w:rPr>
        <w:t>3</w:t>
      </w:r>
    </w:p>
    <w:p w14:paraId="58F7B108" w14:textId="3BADD9E5" w:rsidR="00B9406F" w:rsidRDefault="00574E7E" w:rsidP="00485C36">
      <w:pPr>
        <w:rPr>
          <w:bCs/>
          <w:lang w:val="el-GR"/>
        </w:rPr>
      </w:pPr>
      <w:proofErr w:type="spellStart"/>
      <w:r>
        <w:rPr>
          <w:bCs/>
          <w:lang w:val="el-GR"/>
        </w:rPr>
        <w:t>Αρ</w:t>
      </w:r>
      <w:proofErr w:type="spellEnd"/>
      <w:r>
        <w:rPr>
          <w:bCs/>
          <w:lang w:val="el-GR"/>
        </w:rPr>
        <w:t xml:space="preserve">. </w:t>
      </w:r>
      <w:proofErr w:type="spellStart"/>
      <w:r>
        <w:rPr>
          <w:bCs/>
          <w:lang w:val="el-GR"/>
        </w:rPr>
        <w:t>Φακ</w:t>
      </w:r>
      <w:proofErr w:type="spellEnd"/>
      <w:r>
        <w:rPr>
          <w:bCs/>
          <w:lang w:val="el-GR"/>
        </w:rPr>
        <w:t xml:space="preserve">.: </w:t>
      </w:r>
      <w:r w:rsidR="00A93765">
        <w:rPr>
          <w:bCs/>
          <w:lang w:val="el-GR"/>
        </w:rPr>
        <w:t>23.02.063.092-202</w:t>
      </w:r>
      <w:r w:rsidR="00BC78ED">
        <w:rPr>
          <w:bCs/>
          <w:lang w:val="el-GR"/>
        </w:rPr>
        <w:t>2</w:t>
      </w:r>
    </w:p>
    <w:p w14:paraId="4A91C0DE" w14:textId="04B1B99F" w:rsidR="00A93765" w:rsidRDefault="00A93765" w:rsidP="00485C36">
      <w:pPr>
        <w:rPr>
          <w:lang w:val="el-GR"/>
        </w:rPr>
      </w:pPr>
      <w:r>
        <w:rPr>
          <w:bCs/>
          <w:lang w:val="el-GR"/>
        </w:rPr>
        <w:t>ΣΚ</w:t>
      </w:r>
      <w:r w:rsidR="00EA537F">
        <w:rPr>
          <w:bCs/>
          <w:lang w:val="el-GR"/>
        </w:rPr>
        <w:t>/ΧΧ</w:t>
      </w:r>
      <w:r w:rsidR="00BC78ED">
        <w:rPr>
          <w:bCs/>
          <w:lang w:val="el-GR"/>
        </w:rPr>
        <w:t>/ΔΔ</w:t>
      </w:r>
    </w:p>
    <w:sectPr w:rsidR="00A93765" w:rsidSect="00B359B1">
      <w:headerReference w:type="default" r:id="rId8"/>
      <w:pgSz w:w="11906" w:h="16838" w:code="9"/>
      <w:pgMar w:top="1418" w:right="1418"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54686" w14:textId="77777777" w:rsidR="00D15F33" w:rsidRDefault="00D15F33">
      <w:pPr>
        <w:spacing w:line="240" w:lineRule="auto"/>
      </w:pPr>
      <w:r>
        <w:separator/>
      </w:r>
    </w:p>
  </w:endnote>
  <w:endnote w:type="continuationSeparator" w:id="0">
    <w:p w14:paraId="009F131B" w14:textId="77777777" w:rsidR="00D15F33" w:rsidRDefault="00D15F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40A00" w14:textId="77777777" w:rsidR="00D15F33" w:rsidRDefault="00D15F33">
      <w:pPr>
        <w:spacing w:line="240" w:lineRule="auto"/>
      </w:pPr>
      <w:r>
        <w:separator/>
      </w:r>
    </w:p>
  </w:footnote>
  <w:footnote w:type="continuationSeparator" w:id="0">
    <w:p w14:paraId="3CEC09A6" w14:textId="77777777" w:rsidR="00D15F33" w:rsidRDefault="00D15F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5DE6" w14:textId="77777777" w:rsidR="0057400F" w:rsidRDefault="009B7BC7">
    <w:pPr>
      <w:pStyle w:val="Header"/>
      <w:jc w:val="center"/>
    </w:pPr>
    <w:r>
      <w:fldChar w:fldCharType="begin"/>
    </w:r>
    <w:r>
      <w:instrText xml:space="preserve"> PAGE   \* MERGEFORMAT </w:instrText>
    </w:r>
    <w:r>
      <w:fldChar w:fldCharType="separate"/>
    </w:r>
    <w:r>
      <w:rPr>
        <w:noProof/>
      </w:rPr>
      <w:t>3</w:t>
    </w:r>
    <w:r>
      <w:fldChar w:fldCharType="end"/>
    </w:r>
  </w:p>
  <w:p w14:paraId="2AC3EE90" w14:textId="77777777" w:rsidR="0057400F" w:rsidRDefault="00963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12990"/>
    <w:multiLevelType w:val="hybridMultilevel"/>
    <w:tmpl w:val="04D0E85E"/>
    <w:lvl w:ilvl="0" w:tplc="8C5C4FE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15F508C5"/>
    <w:multiLevelType w:val="hybridMultilevel"/>
    <w:tmpl w:val="A06CFCBA"/>
    <w:lvl w:ilvl="0" w:tplc="8C2AAAC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49E7ECF"/>
    <w:multiLevelType w:val="hybridMultilevel"/>
    <w:tmpl w:val="57E8D7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A040D10"/>
    <w:multiLevelType w:val="hybridMultilevel"/>
    <w:tmpl w:val="A25AF1C0"/>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 w15:restartNumberingAfterBreak="0">
    <w:nsid w:val="36534114"/>
    <w:multiLevelType w:val="hybridMultilevel"/>
    <w:tmpl w:val="70749E3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8460FB0"/>
    <w:multiLevelType w:val="hybridMultilevel"/>
    <w:tmpl w:val="2C0E6004"/>
    <w:lvl w:ilvl="0" w:tplc="FF7CC8D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67B017BA"/>
    <w:multiLevelType w:val="hybridMultilevel"/>
    <w:tmpl w:val="1E088D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95B6688"/>
    <w:multiLevelType w:val="hybridMultilevel"/>
    <w:tmpl w:val="57E8D7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85698972">
    <w:abstractNumId w:val="4"/>
  </w:num>
  <w:num w:numId="2" w16cid:durableId="431823618">
    <w:abstractNumId w:val="3"/>
  </w:num>
  <w:num w:numId="3" w16cid:durableId="2115125551">
    <w:abstractNumId w:val="1"/>
  </w:num>
  <w:num w:numId="4" w16cid:durableId="1731729923">
    <w:abstractNumId w:val="6"/>
  </w:num>
  <w:num w:numId="5" w16cid:durableId="1032726536">
    <w:abstractNumId w:val="2"/>
  </w:num>
  <w:num w:numId="6" w16cid:durableId="223685712">
    <w:abstractNumId w:val="5"/>
  </w:num>
  <w:num w:numId="7" w16cid:durableId="900335777">
    <w:abstractNumId w:val="0"/>
  </w:num>
  <w:num w:numId="8" w16cid:durableId="17881155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C7"/>
    <w:rsid w:val="00014D98"/>
    <w:rsid w:val="00014E8A"/>
    <w:rsid w:val="00020FB0"/>
    <w:rsid w:val="00034259"/>
    <w:rsid w:val="00043D8B"/>
    <w:rsid w:val="00045167"/>
    <w:rsid w:val="00047595"/>
    <w:rsid w:val="00053EE0"/>
    <w:rsid w:val="000568E2"/>
    <w:rsid w:val="000669F9"/>
    <w:rsid w:val="0007287B"/>
    <w:rsid w:val="000733E8"/>
    <w:rsid w:val="00074A33"/>
    <w:rsid w:val="00082DC8"/>
    <w:rsid w:val="000B0389"/>
    <w:rsid w:val="000C0444"/>
    <w:rsid w:val="000C2880"/>
    <w:rsid w:val="000C2A3A"/>
    <w:rsid w:val="00102704"/>
    <w:rsid w:val="00113404"/>
    <w:rsid w:val="00114CD5"/>
    <w:rsid w:val="00117CF2"/>
    <w:rsid w:val="00123F72"/>
    <w:rsid w:val="00140177"/>
    <w:rsid w:val="001403BA"/>
    <w:rsid w:val="00151CE9"/>
    <w:rsid w:val="00156C72"/>
    <w:rsid w:val="00157129"/>
    <w:rsid w:val="00160CC9"/>
    <w:rsid w:val="00160DED"/>
    <w:rsid w:val="001713B7"/>
    <w:rsid w:val="00172C0F"/>
    <w:rsid w:val="00172C62"/>
    <w:rsid w:val="00186252"/>
    <w:rsid w:val="001C4FB2"/>
    <w:rsid w:val="001C7616"/>
    <w:rsid w:val="001C7B06"/>
    <w:rsid w:val="001D60B6"/>
    <w:rsid w:val="001E2EF6"/>
    <w:rsid w:val="001F12EA"/>
    <w:rsid w:val="001F7AA3"/>
    <w:rsid w:val="00214A58"/>
    <w:rsid w:val="0022262B"/>
    <w:rsid w:val="00234A25"/>
    <w:rsid w:val="0024107B"/>
    <w:rsid w:val="0025708B"/>
    <w:rsid w:val="00257DB8"/>
    <w:rsid w:val="00272BAD"/>
    <w:rsid w:val="002938B6"/>
    <w:rsid w:val="002A3570"/>
    <w:rsid w:val="002B02CA"/>
    <w:rsid w:val="002C07A5"/>
    <w:rsid w:val="002D1433"/>
    <w:rsid w:val="002D4C9A"/>
    <w:rsid w:val="002D6843"/>
    <w:rsid w:val="002E0A9F"/>
    <w:rsid w:val="002F39CE"/>
    <w:rsid w:val="002F42BA"/>
    <w:rsid w:val="002F7827"/>
    <w:rsid w:val="00302EBE"/>
    <w:rsid w:val="00335FAF"/>
    <w:rsid w:val="003405B4"/>
    <w:rsid w:val="00342CD6"/>
    <w:rsid w:val="003532C9"/>
    <w:rsid w:val="00370F67"/>
    <w:rsid w:val="003824FF"/>
    <w:rsid w:val="00396E5F"/>
    <w:rsid w:val="003A3EEF"/>
    <w:rsid w:val="003B7B0E"/>
    <w:rsid w:val="003C027A"/>
    <w:rsid w:val="003C2F3E"/>
    <w:rsid w:val="003E02D1"/>
    <w:rsid w:val="003E0FFD"/>
    <w:rsid w:val="003E4935"/>
    <w:rsid w:val="004030F9"/>
    <w:rsid w:val="00407079"/>
    <w:rsid w:val="00411BF5"/>
    <w:rsid w:val="00485C36"/>
    <w:rsid w:val="00497D7A"/>
    <w:rsid w:val="004A3818"/>
    <w:rsid w:val="004A69D5"/>
    <w:rsid w:val="004C1AEB"/>
    <w:rsid w:val="004D1670"/>
    <w:rsid w:val="004F265D"/>
    <w:rsid w:val="0050002E"/>
    <w:rsid w:val="005020D4"/>
    <w:rsid w:val="0050266D"/>
    <w:rsid w:val="00516805"/>
    <w:rsid w:val="0054232F"/>
    <w:rsid w:val="00544F7F"/>
    <w:rsid w:val="00545092"/>
    <w:rsid w:val="00557785"/>
    <w:rsid w:val="00574E7E"/>
    <w:rsid w:val="005A1085"/>
    <w:rsid w:val="005A2D10"/>
    <w:rsid w:val="005A5F32"/>
    <w:rsid w:val="005B2FDE"/>
    <w:rsid w:val="005B5A42"/>
    <w:rsid w:val="005E221B"/>
    <w:rsid w:val="005E2349"/>
    <w:rsid w:val="005E5DEB"/>
    <w:rsid w:val="005E60CB"/>
    <w:rsid w:val="005F0BB6"/>
    <w:rsid w:val="005F1911"/>
    <w:rsid w:val="00600E83"/>
    <w:rsid w:val="0062408C"/>
    <w:rsid w:val="00626BE1"/>
    <w:rsid w:val="00642A4C"/>
    <w:rsid w:val="006461C1"/>
    <w:rsid w:val="00651CD1"/>
    <w:rsid w:val="006669A1"/>
    <w:rsid w:val="006706D9"/>
    <w:rsid w:val="006748BB"/>
    <w:rsid w:val="006846A0"/>
    <w:rsid w:val="006863BD"/>
    <w:rsid w:val="006866E0"/>
    <w:rsid w:val="006A1683"/>
    <w:rsid w:val="006A5E39"/>
    <w:rsid w:val="006A6C62"/>
    <w:rsid w:val="006B40D5"/>
    <w:rsid w:val="006B6A61"/>
    <w:rsid w:val="006C3C96"/>
    <w:rsid w:val="006D27B5"/>
    <w:rsid w:val="006E0C2F"/>
    <w:rsid w:val="006E798B"/>
    <w:rsid w:val="006F14CB"/>
    <w:rsid w:val="00711AD2"/>
    <w:rsid w:val="00712CF7"/>
    <w:rsid w:val="00713B4C"/>
    <w:rsid w:val="007243B2"/>
    <w:rsid w:val="00746842"/>
    <w:rsid w:val="00752C3A"/>
    <w:rsid w:val="00762B65"/>
    <w:rsid w:val="0077273B"/>
    <w:rsid w:val="00793473"/>
    <w:rsid w:val="007B2B41"/>
    <w:rsid w:val="007E45C4"/>
    <w:rsid w:val="007E6FE5"/>
    <w:rsid w:val="007F0DC5"/>
    <w:rsid w:val="0080046D"/>
    <w:rsid w:val="00806485"/>
    <w:rsid w:val="00810D27"/>
    <w:rsid w:val="008123AA"/>
    <w:rsid w:val="00816192"/>
    <w:rsid w:val="008168C8"/>
    <w:rsid w:val="008206F0"/>
    <w:rsid w:val="00821615"/>
    <w:rsid w:val="008221D0"/>
    <w:rsid w:val="00822AE1"/>
    <w:rsid w:val="00837BF6"/>
    <w:rsid w:val="00842163"/>
    <w:rsid w:val="008506FB"/>
    <w:rsid w:val="00855E39"/>
    <w:rsid w:val="00856714"/>
    <w:rsid w:val="008644B9"/>
    <w:rsid w:val="0087702C"/>
    <w:rsid w:val="008A002B"/>
    <w:rsid w:val="008A28E2"/>
    <w:rsid w:val="008A5D7A"/>
    <w:rsid w:val="008D4680"/>
    <w:rsid w:val="008E1DF9"/>
    <w:rsid w:val="008E7698"/>
    <w:rsid w:val="008F6890"/>
    <w:rsid w:val="009061B6"/>
    <w:rsid w:val="009112C9"/>
    <w:rsid w:val="00931D71"/>
    <w:rsid w:val="009349EA"/>
    <w:rsid w:val="0095303A"/>
    <w:rsid w:val="00971B1F"/>
    <w:rsid w:val="00973580"/>
    <w:rsid w:val="00992EB3"/>
    <w:rsid w:val="009B7BC7"/>
    <w:rsid w:val="009C749B"/>
    <w:rsid w:val="009D077C"/>
    <w:rsid w:val="009D1E35"/>
    <w:rsid w:val="009D3B82"/>
    <w:rsid w:val="009E5D17"/>
    <w:rsid w:val="009E6D56"/>
    <w:rsid w:val="009F6539"/>
    <w:rsid w:val="00A04E0B"/>
    <w:rsid w:val="00A10563"/>
    <w:rsid w:val="00A15FE1"/>
    <w:rsid w:val="00A6251A"/>
    <w:rsid w:val="00A75CBF"/>
    <w:rsid w:val="00A81EFC"/>
    <w:rsid w:val="00A8428B"/>
    <w:rsid w:val="00A85F28"/>
    <w:rsid w:val="00A93765"/>
    <w:rsid w:val="00AA1AAB"/>
    <w:rsid w:val="00AA5481"/>
    <w:rsid w:val="00AC5085"/>
    <w:rsid w:val="00AC79E9"/>
    <w:rsid w:val="00AD24E4"/>
    <w:rsid w:val="00AF2E42"/>
    <w:rsid w:val="00AF3FE9"/>
    <w:rsid w:val="00B0653D"/>
    <w:rsid w:val="00B1586E"/>
    <w:rsid w:val="00B1605E"/>
    <w:rsid w:val="00B22B7D"/>
    <w:rsid w:val="00B2503D"/>
    <w:rsid w:val="00B27EC9"/>
    <w:rsid w:val="00B30E5E"/>
    <w:rsid w:val="00B3562B"/>
    <w:rsid w:val="00B359B1"/>
    <w:rsid w:val="00B406B7"/>
    <w:rsid w:val="00B41082"/>
    <w:rsid w:val="00B44E32"/>
    <w:rsid w:val="00B46518"/>
    <w:rsid w:val="00B50868"/>
    <w:rsid w:val="00B53796"/>
    <w:rsid w:val="00B66B61"/>
    <w:rsid w:val="00B80F92"/>
    <w:rsid w:val="00B86ACF"/>
    <w:rsid w:val="00B932B0"/>
    <w:rsid w:val="00B9406F"/>
    <w:rsid w:val="00BB0AD1"/>
    <w:rsid w:val="00BB5B49"/>
    <w:rsid w:val="00BC78ED"/>
    <w:rsid w:val="00BE17AC"/>
    <w:rsid w:val="00BF1DBA"/>
    <w:rsid w:val="00C00C79"/>
    <w:rsid w:val="00C034BD"/>
    <w:rsid w:val="00C3657D"/>
    <w:rsid w:val="00C4435B"/>
    <w:rsid w:val="00C5019C"/>
    <w:rsid w:val="00C50D55"/>
    <w:rsid w:val="00C96635"/>
    <w:rsid w:val="00C96A6E"/>
    <w:rsid w:val="00CA49AC"/>
    <w:rsid w:val="00CB1585"/>
    <w:rsid w:val="00CB17B9"/>
    <w:rsid w:val="00CD7A3A"/>
    <w:rsid w:val="00CE72BD"/>
    <w:rsid w:val="00CE7B5D"/>
    <w:rsid w:val="00D01EC0"/>
    <w:rsid w:val="00D03646"/>
    <w:rsid w:val="00D10DA1"/>
    <w:rsid w:val="00D15F33"/>
    <w:rsid w:val="00D2128E"/>
    <w:rsid w:val="00D32123"/>
    <w:rsid w:val="00D34D8E"/>
    <w:rsid w:val="00D37906"/>
    <w:rsid w:val="00D45C32"/>
    <w:rsid w:val="00D56540"/>
    <w:rsid w:val="00D77AF0"/>
    <w:rsid w:val="00D837EE"/>
    <w:rsid w:val="00D87CD5"/>
    <w:rsid w:val="00D947EC"/>
    <w:rsid w:val="00DB37A9"/>
    <w:rsid w:val="00DB3E7F"/>
    <w:rsid w:val="00DC1674"/>
    <w:rsid w:val="00DC2A45"/>
    <w:rsid w:val="00DC7832"/>
    <w:rsid w:val="00DD3F18"/>
    <w:rsid w:val="00DD7971"/>
    <w:rsid w:val="00DF0D58"/>
    <w:rsid w:val="00E01CE3"/>
    <w:rsid w:val="00E04E2F"/>
    <w:rsid w:val="00E14ECE"/>
    <w:rsid w:val="00E204BC"/>
    <w:rsid w:val="00E4235C"/>
    <w:rsid w:val="00E45327"/>
    <w:rsid w:val="00E61F9E"/>
    <w:rsid w:val="00E620F2"/>
    <w:rsid w:val="00E6292E"/>
    <w:rsid w:val="00E932E8"/>
    <w:rsid w:val="00E93438"/>
    <w:rsid w:val="00EA537F"/>
    <w:rsid w:val="00EB55CD"/>
    <w:rsid w:val="00EB77B0"/>
    <w:rsid w:val="00EC050D"/>
    <w:rsid w:val="00EC6CCB"/>
    <w:rsid w:val="00ED18ED"/>
    <w:rsid w:val="00EF10DD"/>
    <w:rsid w:val="00F20DBD"/>
    <w:rsid w:val="00F213A8"/>
    <w:rsid w:val="00F22582"/>
    <w:rsid w:val="00F23CE1"/>
    <w:rsid w:val="00F62223"/>
    <w:rsid w:val="00F74A4A"/>
    <w:rsid w:val="00FC1435"/>
    <w:rsid w:val="00FE3227"/>
    <w:rsid w:val="00FE7D20"/>
    <w:rsid w:val="00FF436F"/>
    <w:rsid w:val="00FF4AD0"/>
    <w:rsid w:val="00FF73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A4CC"/>
  <w15:chartTrackingRefBased/>
  <w15:docId w15:val="{2BF7F202-601B-417C-964F-2B82ED5F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BC7"/>
    <w:pPr>
      <w:tabs>
        <w:tab w:val="left" w:pos="567"/>
        <w:tab w:val="left" w:pos="4961"/>
      </w:tabs>
      <w:spacing w:after="0" w:line="480" w:lineRule="auto"/>
      <w:jc w:val="both"/>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BC7"/>
    <w:pPr>
      <w:tabs>
        <w:tab w:val="clear" w:pos="567"/>
        <w:tab w:val="clear" w:pos="4961"/>
        <w:tab w:val="center" w:pos="4153"/>
        <w:tab w:val="right" w:pos="8306"/>
      </w:tabs>
    </w:pPr>
  </w:style>
  <w:style w:type="character" w:customStyle="1" w:styleId="HeaderChar">
    <w:name w:val="Header Char"/>
    <w:basedOn w:val="DefaultParagraphFont"/>
    <w:link w:val="Header"/>
    <w:uiPriority w:val="99"/>
    <w:rsid w:val="009B7BC7"/>
    <w:rPr>
      <w:rFonts w:ascii="Arial" w:eastAsia="Times New Roman" w:hAnsi="Arial" w:cs="Times New Roman"/>
      <w:sz w:val="24"/>
      <w:szCs w:val="24"/>
      <w:lang w:val="en-US"/>
    </w:rPr>
  </w:style>
  <w:style w:type="paragraph" w:styleId="ListParagraph">
    <w:name w:val="List Paragraph"/>
    <w:basedOn w:val="Normal"/>
    <w:uiPriority w:val="34"/>
    <w:qFormat/>
    <w:rsid w:val="000C0444"/>
    <w:pPr>
      <w:ind w:left="720"/>
      <w:contextualSpacing/>
    </w:pPr>
  </w:style>
  <w:style w:type="paragraph" w:styleId="BalloonText">
    <w:name w:val="Balloon Text"/>
    <w:basedOn w:val="Normal"/>
    <w:link w:val="BalloonTextChar"/>
    <w:uiPriority w:val="99"/>
    <w:semiHidden/>
    <w:unhideWhenUsed/>
    <w:rsid w:val="003E0F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FFD"/>
    <w:rPr>
      <w:rFonts w:ascii="Segoe UI" w:eastAsia="Times New Roman" w:hAnsi="Segoe UI" w:cs="Segoe UI"/>
      <w:sz w:val="18"/>
      <w:szCs w:val="18"/>
      <w:lang w:val="en-US"/>
    </w:rPr>
  </w:style>
  <w:style w:type="character" w:customStyle="1" w:styleId="Bodytext2SmallCaps">
    <w:name w:val="Body text (2) + Small Caps"/>
    <w:basedOn w:val="DefaultParagraphFont"/>
    <w:rsid w:val="00992EB3"/>
    <w:rPr>
      <w:rFonts w:ascii="Arial" w:eastAsia="Arial" w:hAnsi="Arial" w:cs="Arial" w:hint="default"/>
      <w:b w:val="0"/>
      <w:bCs w:val="0"/>
      <w:i w:val="0"/>
      <w:iCs w:val="0"/>
      <w:smallCaps/>
      <w:strike w:val="0"/>
      <w:dstrike w:val="0"/>
      <w:color w:val="000000"/>
      <w:spacing w:val="0"/>
      <w:w w:val="100"/>
      <w:position w:val="0"/>
      <w:sz w:val="32"/>
      <w:szCs w:val="32"/>
      <w:u w:val="none"/>
      <w:effect w:val="none"/>
      <w:lang w:val="el-GR" w:eastAsia="el-GR" w:bidi="el-GR"/>
    </w:rPr>
  </w:style>
  <w:style w:type="character" w:customStyle="1" w:styleId="Bodytext217pt">
    <w:name w:val="Body text (2) + 17 pt"/>
    <w:aliases w:val="Bold,Italic"/>
    <w:basedOn w:val="DefaultParagraphFont"/>
    <w:rsid w:val="00992EB3"/>
    <w:rPr>
      <w:rFonts w:ascii="Arial" w:eastAsia="Arial" w:hAnsi="Arial" w:cs="Arial" w:hint="default"/>
      <w:b w:val="0"/>
      <w:bCs w:val="0"/>
      <w:i/>
      <w:iCs/>
      <w:smallCaps w:val="0"/>
      <w:strike w:val="0"/>
      <w:dstrike w:val="0"/>
      <w:color w:val="000000"/>
      <w:spacing w:val="0"/>
      <w:w w:val="100"/>
      <w:position w:val="0"/>
      <w:sz w:val="34"/>
      <w:szCs w:val="34"/>
      <w:u w:val="none"/>
      <w:effect w:val="none"/>
      <w:lang w:val="el-GR" w:eastAsia="el-GR" w:bidi="el-GR"/>
    </w:rPr>
  </w:style>
  <w:style w:type="character" w:customStyle="1" w:styleId="Bodytext3NotItalic">
    <w:name w:val="Body text (3) + Not Italic"/>
    <w:basedOn w:val="DefaultParagraphFont"/>
    <w:rsid w:val="00992EB3"/>
    <w:rPr>
      <w:rFonts w:ascii="Arial" w:eastAsia="Arial" w:hAnsi="Arial" w:cs="Arial" w:hint="default"/>
      <w:b w:val="0"/>
      <w:bCs w:val="0"/>
      <w:i/>
      <w:iCs/>
      <w:smallCaps w:val="0"/>
      <w:strike w:val="0"/>
      <w:dstrike w:val="0"/>
      <w:color w:val="000000"/>
      <w:spacing w:val="0"/>
      <w:w w:val="100"/>
      <w:position w:val="0"/>
      <w:sz w:val="32"/>
      <w:szCs w:val="32"/>
      <w:u w:val="none"/>
      <w:effect w:val="none"/>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785049">
      <w:bodyDiv w:val="1"/>
      <w:marLeft w:val="0"/>
      <w:marRight w:val="0"/>
      <w:marTop w:val="0"/>
      <w:marBottom w:val="0"/>
      <w:divBdr>
        <w:top w:val="none" w:sz="0" w:space="0" w:color="auto"/>
        <w:left w:val="none" w:sz="0" w:space="0" w:color="auto"/>
        <w:bottom w:val="none" w:sz="0" w:space="0" w:color="auto"/>
        <w:right w:val="none" w:sz="0" w:space="0" w:color="auto"/>
      </w:divBdr>
    </w:div>
    <w:div w:id="1186988361">
      <w:bodyDiv w:val="1"/>
      <w:marLeft w:val="0"/>
      <w:marRight w:val="0"/>
      <w:marTop w:val="0"/>
      <w:marBottom w:val="0"/>
      <w:divBdr>
        <w:top w:val="none" w:sz="0" w:space="0" w:color="auto"/>
        <w:left w:val="none" w:sz="0" w:space="0" w:color="auto"/>
        <w:bottom w:val="none" w:sz="0" w:space="0" w:color="auto"/>
        <w:right w:val="none" w:sz="0" w:space="0" w:color="auto"/>
      </w:divBdr>
    </w:div>
    <w:div w:id="1448542824">
      <w:bodyDiv w:val="1"/>
      <w:marLeft w:val="0"/>
      <w:marRight w:val="0"/>
      <w:marTop w:val="0"/>
      <w:marBottom w:val="0"/>
      <w:divBdr>
        <w:top w:val="none" w:sz="0" w:space="0" w:color="auto"/>
        <w:left w:val="none" w:sz="0" w:space="0" w:color="auto"/>
        <w:bottom w:val="none" w:sz="0" w:space="0" w:color="auto"/>
        <w:right w:val="none" w:sz="0" w:space="0" w:color="auto"/>
      </w:divBdr>
    </w:div>
    <w:div w:id="1497110204">
      <w:bodyDiv w:val="1"/>
      <w:marLeft w:val="0"/>
      <w:marRight w:val="0"/>
      <w:marTop w:val="0"/>
      <w:marBottom w:val="0"/>
      <w:divBdr>
        <w:top w:val="none" w:sz="0" w:space="0" w:color="auto"/>
        <w:left w:val="none" w:sz="0" w:space="0" w:color="auto"/>
        <w:bottom w:val="none" w:sz="0" w:space="0" w:color="auto"/>
        <w:right w:val="none" w:sz="0" w:space="0" w:color="auto"/>
      </w:divBdr>
    </w:div>
    <w:div w:id="1728140384">
      <w:bodyDiv w:val="1"/>
      <w:marLeft w:val="0"/>
      <w:marRight w:val="0"/>
      <w:marTop w:val="0"/>
      <w:marBottom w:val="0"/>
      <w:divBdr>
        <w:top w:val="none" w:sz="0" w:space="0" w:color="auto"/>
        <w:left w:val="none" w:sz="0" w:space="0" w:color="auto"/>
        <w:bottom w:val="none" w:sz="0" w:space="0" w:color="auto"/>
        <w:right w:val="none" w:sz="0" w:space="0" w:color="auto"/>
      </w:divBdr>
    </w:div>
    <w:div w:id="207862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54731-30FC-49CD-BCC3-8966838B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HAMATSOU NIKI</dc:creator>
  <cp:keywords/>
  <dc:description/>
  <cp:lastModifiedBy>MANTOVANI</cp:lastModifiedBy>
  <cp:revision>2</cp:revision>
  <cp:lastPrinted>2023-04-25T11:27:00Z</cp:lastPrinted>
  <dcterms:created xsi:type="dcterms:W3CDTF">2023-04-25T11:32:00Z</dcterms:created>
  <dcterms:modified xsi:type="dcterms:W3CDTF">2023-04-25T11:32:00Z</dcterms:modified>
</cp:coreProperties>
</file>