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D258" w14:textId="25F1F244" w:rsidR="0088568F" w:rsidRPr="00A96ABD" w:rsidRDefault="00281188" w:rsidP="003C3406">
      <w:pPr>
        <w:pStyle w:val="Header"/>
        <w:tabs>
          <w:tab w:val="clear" w:pos="4153"/>
          <w:tab w:val="clear" w:pos="8306"/>
          <w:tab w:val="left" w:pos="284"/>
          <w:tab w:val="left" w:pos="567"/>
        </w:tabs>
        <w:jc w:val="center"/>
        <w:rPr>
          <w:rFonts w:cs="Arial"/>
          <w:bCs/>
          <w:color w:val="000000" w:themeColor="text1"/>
          <w:szCs w:val="24"/>
        </w:rPr>
      </w:pPr>
      <w:r w:rsidRPr="00CF0157">
        <w:rPr>
          <w:rFonts w:cs="Arial"/>
          <w:szCs w:val="24"/>
        </w:rPr>
        <w:t>ΝΟΜΟΣ ΠΟΥ ΠΡΟΒΛΕΠΕΙ ΠΕΡΙ ΣΥΜΠΛΗΡΩΜΑΤΙΚΟΥ ΠΡΟ</w:t>
      </w:r>
      <w:r w:rsidR="00810CCB">
        <w:rPr>
          <w:rFonts w:cs="Arial"/>
          <w:szCs w:val="24"/>
        </w:rPr>
        <w:t>Ϋ</w:t>
      </w:r>
      <w:r w:rsidRPr="00CF0157">
        <w:rPr>
          <w:rFonts w:cs="Arial"/>
          <w:szCs w:val="24"/>
        </w:rPr>
        <w:t>ΠΟΛΟΓΙΣΜΟΥ ΓΙΑ ΤΗ ΧΡΗΣΗ ΤΟΥ ΔΩΔΕΚΑΜΗΝΟΥ</w:t>
      </w:r>
      <w:r>
        <w:rPr>
          <w:rFonts w:cs="Arial"/>
          <w:szCs w:val="24"/>
        </w:rPr>
        <w:t xml:space="preserve"> </w:t>
      </w:r>
      <w:r w:rsidRPr="00CF0157">
        <w:rPr>
          <w:rFonts w:cs="Arial"/>
          <w:szCs w:val="24"/>
        </w:rPr>
        <w:t>ΠΟΥ ΛΗΓΕΙ ΤΗΝ ΤΡΙΑΚΟΣΤΗ ΠΡΩΤΗ ΔΕΚΕΜΒΡΙΟΥ ΤΟΥ ΕΤΟΥΣ ΔΥΟ ΧΙΛΙΑΔΕΣ ΕΙΚΟΣΙ ΔΥΟ</w:t>
      </w:r>
    </w:p>
    <w:p w14:paraId="300154C8" w14:textId="77777777" w:rsidR="0088568F" w:rsidRPr="00A96ABD" w:rsidRDefault="0088568F" w:rsidP="003C3406">
      <w:pPr>
        <w:tabs>
          <w:tab w:val="left" w:pos="284"/>
          <w:tab w:val="left" w:pos="567"/>
        </w:tabs>
        <w:rPr>
          <w:rFonts w:cs="Arial"/>
          <w:color w:val="000000" w:themeColor="text1"/>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1940"/>
        <w:gridCol w:w="7700"/>
      </w:tblGrid>
      <w:tr w:rsidR="0088568F" w:rsidRPr="00A96ABD" w14:paraId="2EA5298B" w14:textId="77777777" w:rsidTr="0088568F">
        <w:trPr>
          <w:trHeight w:val="575"/>
        </w:trPr>
        <w:tc>
          <w:tcPr>
            <w:tcW w:w="1006" w:type="pct"/>
            <w:tcBorders>
              <w:top w:val="nil"/>
              <w:left w:val="nil"/>
              <w:bottom w:val="nil"/>
              <w:right w:val="nil"/>
            </w:tcBorders>
          </w:tcPr>
          <w:p w14:paraId="3E1E5C31" w14:textId="64ECAD53" w:rsidR="0088568F" w:rsidRDefault="0088568F" w:rsidP="003C3406">
            <w:pPr>
              <w:tabs>
                <w:tab w:val="left" w:pos="284"/>
                <w:tab w:val="left" w:pos="567"/>
              </w:tabs>
              <w:rPr>
                <w:rFonts w:cs="Arial"/>
                <w:color w:val="000000" w:themeColor="text1"/>
                <w:szCs w:val="24"/>
              </w:rPr>
            </w:pPr>
            <w:r w:rsidRPr="00A96ABD">
              <w:rPr>
                <w:rFonts w:cs="Arial"/>
                <w:color w:val="000000" w:themeColor="text1"/>
                <w:szCs w:val="24"/>
              </w:rPr>
              <w:t>Προοίμιο.</w:t>
            </w:r>
          </w:p>
          <w:p w14:paraId="66C2448F" w14:textId="3E1F5486" w:rsidR="00281188" w:rsidRDefault="00281188" w:rsidP="003C3406">
            <w:pPr>
              <w:tabs>
                <w:tab w:val="left" w:pos="284"/>
                <w:tab w:val="left" w:pos="567"/>
              </w:tabs>
              <w:rPr>
                <w:rFonts w:cs="Arial"/>
                <w:color w:val="000000" w:themeColor="text1"/>
                <w:szCs w:val="24"/>
              </w:rPr>
            </w:pPr>
          </w:p>
          <w:p w14:paraId="52FA7B36" w14:textId="6E559AFC" w:rsidR="00A37D43" w:rsidRDefault="00A37D43" w:rsidP="003C3406">
            <w:pPr>
              <w:tabs>
                <w:tab w:val="left" w:pos="284"/>
                <w:tab w:val="left" w:pos="567"/>
              </w:tabs>
              <w:rPr>
                <w:rFonts w:cs="Arial"/>
                <w:color w:val="000000" w:themeColor="text1"/>
                <w:szCs w:val="24"/>
              </w:rPr>
            </w:pPr>
          </w:p>
          <w:p w14:paraId="6527A39D" w14:textId="77777777" w:rsidR="00A37D43" w:rsidRPr="00A96ABD" w:rsidRDefault="00A37D43" w:rsidP="003C3406">
            <w:pPr>
              <w:tabs>
                <w:tab w:val="left" w:pos="284"/>
                <w:tab w:val="left" w:pos="567"/>
              </w:tabs>
              <w:rPr>
                <w:rFonts w:cs="Arial"/>
                <w:color w:val="000000" w:themeColor="text1"/>
                <w:szCs w:val="24"/>
              </w:rPr>
            </w:pPr>
          </w:p>
          <w:p w14:paraId="79ACF37D" w14:textId="47F8237C" w:rsidR="0088568F" w:rsidRPr="00A96ABD" w:rsidRDefault="00281188" w:rsidP="00970210">
            <w:pPr>
              <w:tabs>
                <w:tab w:val="left" w:pos="284"/>
                <w:tab w:val="left" w:pos="567"/>
              </w:tabs>
              <w:ind w:right="57"/>
              <w:jc w:val="right"/>
              <w:rPr>
                <w:rFonts w:cs="Arial"/>
                <w:color w:val="000000" w:themeColor="text1"/>
                <w:szCs w:val="24"/>
              </w:rPr>
            </w:pPr>
            <w:r w:rsidRPr="00CF0157">
              <w:rPr>
                <w:rFonts w:cs="Arial"/>
                <w:iCs/>
                <w:szCs w:val="24"/>
              </w:rPr>
              <w:t>56(ΙΙ) του 2021.</w:t>
            </w:r>
          </w:p>
        </w:tc>
        <w:tc>
          <w:tcPr>
            <w:tcW w:w="3994" w:type="pct"/>
            <w:tcBorders>
              <w:top w:val="nil"/>
              <w:left w:val="nil"/>
              <w:bottom w:val="nil"/>
              <w:right w:val="nil"/>
            </w:tcBorders>
          </w:tcPr>
          <w:p w14:paraId="7B05F56C" w14:textId="0B10AC66" w:rsidR="0088568F" w:rsidRPr="00A96ABD" w:rsidRDefault="00281188" w:rsidP="003C3406">
            <w:pPr>
              <w:tabs>
                <w:tab w:val="left" w:pos="284"/>
                <w:tab w:val="left" w:pos="567"/>
              </w:tabs>
              <w:rPr>
                <w:rFonts w:cs="Arial"/>
                <w:color w:val="000000" w:themeColor="text1"/>
                <w:szCs w:val="24"/>
              </w:rPr>
            </w:pPr>
            <w:r w:rsidRPr="00CF0157">
              <w:rPr>
                <w:rFonts w:cs="Arial"/>
                <w:iCs/>
                <w:szCs w:val="24"/>
              </w:rPr>
              <w:t xml:space="preserve">ΕΠΕΙΔΗ, συντρέχουν ειδικές περιστάσεις, οι οποίες </w:t>
            </w:r>
            <w:proofErr w:type="spellStart"/>
            <w:r w:rsidRPr="00CF0157">
              <w:rPr>
                <w:rFonts w:cs="Arial"/>
                <w:iCs/>
                <w:szCs w:val="24"/>
              </w:rPr>
              <w:t>εκφεύγουν</w:t>
            </w:r>
            <w:proofErr w:type="spellEnd"/>
            <w:r w:rsidRPr="00CF0157">
              <w:rPr>
                <w:rFonts w:cs="Arial"/>
                <w:iCs/>
                <w:szCs w:val="24"/>
              </w:rPr>
              <w:t xml:space="preserve"> από τον έλεγχο της Δημοκρατίας και οι οποίες δημιουργούν κατάσταση έκτακτης ανάγκης, για σκοπούς διασφάλισης της δημόσιας υγείας και γενικά του δημ</w:t>
            </w:r>
            <w:r w:rsidR="008D2DE9">
              <w:rPr>
                <w:rFonts w:cs="Arial"/>
                <w:iCs/>
                <w:szCs w:val="24"/>
              </w:rPr>
              <w:t>όσιου</w:t>
            </w:r>
            <w:r w:rsidRPr="00CF0157">
              <w:rPr>
                <w:rFonts w:cs="Arial"/>
                <w:iCs/>
                <w:szCs w:val="24"/>
              </w:rPr>
              <w:t xml:space="preserve"> συμφέροντος, </w:t>
            </w:r>
            <w:r w:rsidR="008D2DE9">
              <w:rPr>
                <w:rFonts w:cs="Arial"/>
                <w:iCs/>
                <w:szCs w:val="24"/>
              </w:rPr>
              <w:t>καθίσταται</w:t>
            </w:r>
            <w:r w:rsidRPr="00CF0157">
              <w:rPr>
                <w:rFonts w:cs="Arial"/>
                <w:iCs/>
                <w:szCs w:val="24"/>
              </w:rPr>
              <w:t xml:space="preserve"> </w:t>
            </w:r>
            <w:r w:rsidR="008D2DE9">
              <w:rPr>
                <w:rFonts w:cs="Arial"/>
                <w:iCs/>
                <w:szCs w:val="24"/>
              </w:rPr>
              <w:t>αναγκαία η διενέργεια δαπανών</w:t>
            </w:r>
            <w:r w:rsidRPr="00CF0157">
              <w:rPr>
                <w:rFonts w:cs="Arial"/>
                <w:iCs/>
                <w:szCs w:val="24"/>
              </w:rPr>
              <w:t xml:space="preserve"> για σκοπούς για τους οποίους δεν γίνεται πρόβλεψη στον περί Προϋπολογισμού του 2022 Νόμο του 2021</w:t>
            </w:r>
            <w:r>
              <w:rPr>
                <w:rFonts w:cs="Arial"/>
                <w:iCs/>
                <w:szCs w:val="24"/>
              </w:rPr>
              <w:t>,</w:t>
            </w:r>
          </w:p>
        </w:tc>
      </w:tr>
      <w:tr w:rsidR="0088568F" w:rsidRPr="00A96ABD" w14:paraId="38684506" w14:textId="77777777" w:rsidTr="0088568F">
        <w:trPr>
          <w:trHeight w:val="322"/>
        </w:trPr>
        <w:tc>
          <w:tcPr>
            <w:tcW w:w="1006" w:type="pct"/>
            <w:tcBorders>
              <w:top w:val="nil"/>
              <w:left w:val="nil"/>
              <w:bottom w:val="nil"/>
              <w:right w:val="nil"/>
            </w:tcBorders>
          </w:tcPr>
          <w:p w14:paraId="11379656" w14:textId="77777777" w:rsidR="0088568F" w:rsidRPr="00A96ABD" w:rsidRDefault="0088568F"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1C8F16BE" w14:textId="77777777" w:rsidR="0088568F" w:rsidRPr="00A96ABD" w:rsidRDefault="0088568F" w:rsidP="003C3406">
            <w:pPr>
              <w:tabs>
                <w:tab w:val="left" w:pos="284"/>
                <w:tab w:val="left" w:pos="567"/>
              </w:tabs>
              <w:jc w:val="left"/>
              <w:rPr>
                <w:rFonts w:cs="Arial"/>
                <w:color w:val="000000" w:themeColor="text1"/>
                <w:szCs w:val="24"/>
              </w:rPr>
            </w:pPr>
          </w:p>
        </w:tc>
      </w:tr>
      <w:tr w:rsidR="00A37D43" w:rsidRPr="00A96ABD" w14:paraId="6A77A290" w14:textId="77777777" w:rsidTr="0088568F">
        <w:trPr>
          <w:trHeight w:val="322"/>
        </w:trPr>
        <w:tc>
          <w:tcPr>
            <w:tcW w:w="1006" w:type="pct"/>
            <w:tcBorders>
              <w:top w:val="nil"/>
              <w:left w:val="nil"/>
              <w:bottom w:val="nil"/>
              <w:right w:val="nil"/>
            </w:tcBorders>
          </w:tcPr>
          <w:p w14:paraId="1F9D2B60" w14:textId="77777777" w:rsidR="00A37D43" w:rsidRPr="00A96ABD" w:rsidRDefault="00A37D43"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6B95BCC4" w14:textId="60299C0E" w:rsidR="00A37D43" w:rsidRPr="00A96ABD" w:rsidRDefault="00A37D43" w:rsidP="00970210">
            <w:pPr>
              <w:tabs>
                <w:tab w:val="left" w:pos="284"/>
                <w:tab w:val="left" w:pos="567"/>
              </w:tabs>
              <w:rPr>
                <w:rFonts w:cs="Arial"/>
                <w:color w:val="000000" w:themeColor="text1"/>
                <w:szCs w:val="24"/>
              </w:rPr>
            </w:pPr>
            <w:r w:rsidRPr="00CF0157">
              <w:rPr>
                <w:rFonts w:cs="Arial"/>
                <w:szCs w:val="24"/>
              </w:rPr>
              <w:t>ΚΑΙ ΕΠΕΙΔΗ, έχει αποδειχθεί ότι ορισμένα ποσά που εγκρίθηκαν από τη Βουλή των Αντιπροσώπων για τους σκοπούς που προβλέπονται στον περί Προϋπολογισμού του 2022 Νόμο του 2021 είναι ανεπαρκή, ώστε να καλύψουν την κατάσταση έκτακτης ανάγκης στην οποία βρίσκεται η Δημοκρατία,</w:t>
            </w:r>
          </w:p>
        </w:tc>
      </w:tr>
      <w:tr w:rsidR="00A37D43" w:rsidRPr="00A96ABD" w14:paraId="71FF74FB" w14:textId="77777777" w:rsidTr="0088568F">
        <w:trPr>
          <w:trHeight w:val="322"/>
        </w:trPr>
        <w:tc>
          <w:tcPr>
            <w:tcW w:w="1006" w:type="pct"/>
            <w:tcBorders>
              <w:top w:val="nil"/>
              <w:left w:val="nil"/>
              <w:bottom w:val="nil"/>
              <w:right w:val="nil"/>
            </w:tcBorders>
          </w:tcPr>
          <w:p w14:paraId="530B7F4A" w14:textId="77777777" w:rsidR="00A37D43" w:rsidRPr="00A96ABD" w:rsidRDefault="00A37D43"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7B1F11EC" w14:textId="77777777" w:rsidR="00A37D43" w:rsidRPr="00CF0157" w:rsidRDefault="00A37D43" w:rsidP="003C3406">
            <w:pPr>
              <w:tabs>
                <w:tab w:val="left" w:pos="284"/>
                <w:tab w:val="left" w:pos="567"/>
              </w:tabs>
              <w:jc w:val="left"/>
              <w:rPr>
                <w:rFonts w:cs="Arial"/>
                <w:szCs w:val="24"/>
              </w:rPr>
            </w:pPr>
          </w:p>
        </w:tc>
      </w:tr>
      <w:tr w:rsidR="00A37D43" w:rsidRPr="00A96ABD" w14:paraId="11E1AA71" w14:textId="77777777" w:rsidTr="0088568F">
        <w:trPr>
          <w:trHeight w:val="322"/>
        </w:trPr>
        <w:tc>
          <w:tcPr>
            <w:tcW w:w="1006" w:type="pct"/>
            <w:tcBorders>
              <w:top w:val="nil"/>
              <w:left w:val="nil"/>
              <w:bottom w:val="nil"/>
              <w:right w:val="nil"/>
            </w:tcBorders>
          </w:tcPr>
          <w:p w14:paraId="0EBE5A9B" w14:textId="77777777" w:rsidR="00A37D43" w:rsidRPr="00A96ABD" w:rsidRDefault="00A37D43"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37A6B7B0" w14:textId="75CAA923" w:rsidR="00A37D43" w:rsidRPr="00CF0157" w:rsidRDefault="00546526" w:rsidP="00BF712C">
            <w:pPr>
              <w:tabs>
                <w:tab w:val="left" w:pos="284"/>
                <w:tab w:val="left" w:pos="567"/>
              </w:tabs>
              <w:rPr>
                <w:rFonts w:cs="Arial"/>
                <w:szCs w:val="24"/>
              </w:rPr>
            </w:pPr>
            <w:r w:rsidRPr="00CF0157">
              <w:rPr>
                <w:rFonts w:cs="Arial"/>
                <w:szCs w:val="24"/>
              </w:rPr>
              <w:t>Για όλους τους πιο πάνω λόγους</w:t>
            </w:r>
            <w:r>
              <w:rPr>
                <w:rFonts w:cs="Arial"/>
                <w:szCs w:val="24"/>
              </w:rPr>
              <w:t>,</w:t>
            </w:r>
            <w:r w:rsidRPr="00CF0157">
              <w:rPr>
                <w:rFonts w:cs="Arial"/>
                <w:szCs w:val="24"/>
              </w:rPr>
              <w:t xml:space="preserve"> η Βουλή των Αντιπροσώπων ψηφίζει ως ακολούθως:</w:t>
            </w:r>
          </w:p>
        </w:tc>
      </w:tr>
      <w:tr w:rsidR="0088568F" w:rsidRPr="00A96ABD" w14:paraId="17B8E56D" w14:textId="77777777" w:rsidTr="0088568F">
        <w:trPr>
          <w:trHeight w:val="322"/>
        </w:trPr>
        <w:tc>
          <w:tcPr>
            <w:tcW w:w="1006" w:type="pct"/>
            <w:tcBorders>
              <w:top w:val="nil"/>
              <w:left w:val="nil"/>
              <w:bottom w:val="nil"/>
              <w:right w:val="nil"/>
            </w:tcBorders>
          </w:tcPr>
          <w:p w14:paraId="50E251D2" w14:textId="77777777" w:rsidR="0088568F" w:rsidRPr="00A96ABD" w:rsidRDefault="0088568F"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1569D263" w14:textId="77777777" w:rsidR="0088568F" w:rsidRPr="00A96ABD" w:rsidRDefault="0088568F" w:rsidP="003C3406">
            <w:pPr>
              <w:tabs>
                <w:tab w:val="left" w:pos="284"/>
                <w:tab w:val="left" w:pos="567"/>
              </w:tabs>
              <w:jc w:val="left"/>
              <w:rPr>
                <w:rFonts w:cs="Arial"/>
                <w:color w:val="000000" w:themeColor="text1"/>
                <w:szCs w:val="24"/>
              </w:rPr>
            </w:pPr>
          </w:p>
        </w:tc>
      </w:tr>
      <w:tr w:rsidR="0088568F" w:rsidRPr="00A96ABD" w14:paraId="6FA67859" w14:textId="77777777" w:rsidTr="0088568F">
        <w:tc>
          <w:tcPr>
            <w:tcW w:w="1006" w:type="pct"/>
            <w:tcBorders>
              <w:top w:val="nil"/>
              <w:left w:val="nil"/>
              <w:bottom w:val="nil"/>
              <w:right w:val="nil"/>
            </w:tcBorders>
          </w:tcPr>
          <w:p w14:paraId="24BED84C" w14:textId="61F2A75D" w:rsidR="0088568F" w:rsidRPr="00A96ABD" w:rsidRDefault="0088568F" w:rsidP="003C3406">
            <w:pPr>
              <w:tabs>
                <w:tab w:val="left" w:pos="284"/>
                <w:tab w:val="left" w:pos="567"/>
              </w:tabs>
              <w:ind w:right="113"/>
              <w:jc w:val="left"/>
              <w:rPr>
                <w:rFonts w:cs="Arial"/>
                <w:color w:val="000000" w:themeColor="text1"/>
                <w:szCs w:val="24"/>
              </w:rPr>
            </w:pPr>
            <w:r w:rsidRPr="00A96ABD">
              <w:rPr>
                <w:rFonts w:cs="Arial"/>
                <w:color w:val="000000" w:themeColor="text1"/>
                <w:szCs w:val="24"/>
              </w:rPr>
              <w:t xml:space="preserve">Συνοπτικός τίτλος.   </w:t>
            </w:r>
          </w:p>
        </w:tc>
        <w:tc>
          <w:tcPr>
            <w:tcW w:w="3994" w:type="pct"/>
            <w:tcBorders>
              <w:top w:val="nil"/>
              <w:left w:val="nil"/>
              <w:bottom w:val="nil"/>
              <w:right w:val="nil"/>
            </w:tcBorders>
          </w:tcPr>
          <w:p w14:paraId="487C9D2C" w14:textId="31083F5A" w:rsidR="0088568F" w:rsidRPr="00A96ABD" w:rsidRDefault="0088568F" w:rsidP="003C3406">
            <w:pPr>
              <w:pStyle w:val="BodyText"/>
              <w:tabs>
                <w:tab w:val="left" w:pos="284"/>
                <w:tab w:val="left" w:pos="567"/>
              </w:tabs>
              <w:spacing w:line="360" w:lineRule="auto"/>
              <w:jc w:val="both"/>
              <w:rPr>
                <w:rFonts w:ascii="Arial" w:hAnsi="Arial" w:cs="Arial"/>
                <w:color w:val="000000" w:themeColor="text1"/>
              </w:rPr>
            </w:pPr>
            <w:r w:rsidRPr="00A96ABD">
              <w:rPr>
                <w:rFonts w:ascii="Arial" w:hAnsi="Arial" w:cs="Arial"/>
                <w:color w:val="000000" w:themeColor="text1"/>
              </w:rPr>
              <w:t>1.</w:t>
            </w:r>
            <w:r w:rsidR="00BF712C">
              <w:rPr>
                <w:rFonts w:ascii="Arial" w:hAnsi="Arial" w:cs="Arial"/>
                <w:color w:val="000000" w:themeColor="text1"/>
              </w:rPr>
              <w:tab/>
            </w:r>
            <w:r w:rsidR="00BF712C">
              <w:rPr>
                <w:rFonts w:ascii="Arial" w:hAnsi="Arial" w:cs="Arial"/>
                <w:color w:val="000000" w:themeColor="text1"/>
              </w:rPr>
              <w:tab/>
            </w:r>
            <w:r w:rsidR="00A62A17" w:rsidRPr="00A62A17">
              <w:rPr>
                <w:rFonts w:ascii="Arial" w:hAnsi="Arial" w:cs="Arial"/>
                <w:iCs/>
              </w:rPr>
              <w:t>Ο παρών Νόμος θα αναφέρεται ως ο περί Συμπληρωματικού Προϋπολογισμού Νόμος (Αρ.1) του 2022.</w:t>
            </w:r>
          </w:p>
        </w:tc>
      </w:tr>
      <w:tr w:rsidR="0088568F" w:rsidRPr="00A96ABD" w14:paraId="477802E7" w14:textId="77777777" w:rsidTr="0088568F">
        <w:tc>
          <w:tcPr>
            <w:tcW w:w="1006" w:type="pct"/>
            <w:tcBorders>
              <w:top w:val="nil"/>
              <w:left w:val="nil"/>
              <w:bottom w:val="nil"/>
              <w:right w:val="nil"/>
            </w:tcBorders>
          </w:tcPr>
          <w:p w14:paraId="6063E697" w14:textId="77777777" w:rsidR="0088568F" w:rsidRPr="00A96ABD" w:rsidRDefault="0088568F"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73921D39" w14:textId="77777777" w:rsidR="0088568F" w:rsidRPr="00A96ABD" w:rsidRDefault="0088568F" w:rsidP="003C3406">
            <w:pPr>
              <w:pStyle w:val="Header"/>
              <w:tabs>
                <w:tab w:val="clear" w:pos="4153"/>
                <w:tab w:val="clear" w:pos="8306"/>
                <w:tab w:val="left" w:pos="284"/>
                <w:tab w:val="left" w:pos="567"/>
              </w:tabs>
              <w:rPr>
                <w:rFonts w:cs="Arial"/>
                <w:bCs/>
                <w:color w:val="000000" w:themeColor="text1"/>
                <w:szCs w:val="24"/>
              </w:rPr>
            </w:pPr>
          </w:p>
        </w:tc>
      </w:tr>
      <w:tr w:rsidR="0088568F" w:rsidRPr="00A96ABD" w14:paraId="34D62BF3" w14:textId="77777777" w:rsidTr="0088568F">
        <w:tc>
          <w:tcPr>
            <w:tcW w:w="1006" w:type="pct"/>
            <w:tcBorders>
              <w:top w:val="nil"/>
              <w:left w:val="nil"/>
              <w:bottom w:val="nil"/>
              <w:right w:val="nil"/>
            </w:tcBorders>
          </w:tcPr>
          <w:p w14:paraId="0593A2D1" w14:textId="77777777" w:rsidR="00A62A17" w:rsidRPr="00A62A17" w:rsidRDefault="00A62A17" w:rsidP="003C3406">
            <w:pPr>
              <w:tabs>
                <w:tab w:val="left" w:pos="284"/>
                <w:tab w:val="left" w:pos="567"/>
              </w:tabs>
              <w:jc w:val="left"/>
              <w:rPr>
                <w:rFonts w:eastAsia="Calibri" w:cs="Arial"/>
                <w:iCs/>
                <w:szCs w:val="24"/>
              </w:rPr>
            </w:pPr>
            <w:r w:rsidRPr="00A62A17">
              <w:rPr>
                <w:rFonts w:eastAsia="Calibri" w:cs="Arial"/>
                <w:iCs/>
                <w:szCs w:val="24"/>
              </w:rPr>
              <w:t>Έγκριση</w:t>
            </w:r>
          </w:p>
          <w:p w14:paraId="5BC847B9" w14:textId="77777777" w:rsidR="00A62A17" w:rsidRDefault="00A62A17" w:rsidP="003C3406">
            <w:pPr>
              <w:tabs>
                <w:tab w:val="left" w:pos="284"/>
                <w:tab w:val="left" w:pos="567"/>
              </w:tabs>
              <w:jc w:val="left"/>
              <w:rPr>
                <w:rFonts w:eastAsia="Calibri" w:cs="Arial"/>
                <w:iCs/>
                <w:szCs w:val="24"/>
              </w:rPr>
            </w:pPr>
            <w:r w:rsidRPr="00A62A17">
              <w:rPr>
                <w:rFonts w:eastAsia="Calibri" w:cs="Arial"/>
                <w:iCs/>
                <w:szCs w:val="24"/>
              </w:rPr>
              <w:t xml:space="preserve">πληρωμής </w:t>
            </w:r>
          </w:p>
          <w:p w14:paraId="64A79FC3" w14:textId="77777777" w:rsidR="00A62A17" w:rsidRDefault="00A62A17" w:rsidP="003C3406">
            <w:pPr>
              <w:tabs>
                <w:tab w:val="left" w:pos="284"/>
                <w:tab w:val="left" w:pos="567"/>
              </w:tabs>
              <w:jc w:val="left"/>
              <w:rPr>
                <w:rFonts w:eastAsia="Calibri" w:cs="Arial"/>
                <w:iCs/>
                <w:szCs w:val="24"/>
              </w:rPr>
            </w:pPr>
            <w:r w:rsidRPr="00A62A17">
              <w:rPr>
                <w:rFonts w:eastAsia="Calibri" w:cs="Arial"/>
                <w:iCs/>
                <w:szCs w:val="24"/>
              </w:rPr>
              <w:t xml:space="preserve">από τον λογαριασμό </w:t>
            </w:r>
          </w:p>
          <w:p w14:paraId="41285AE8" w14:textId="7DB9A95F" w:rsidR="00A62A17" w:rsidRPr="00A62A17" w:rsidRDefault="00A62A17" w:rsidP="003C3406">
            <w:pPr>
              <w:tabs>
                <w:tab w:val="left" w:pos="284"/>
                <w:tab w:val="left" w:pos="567"/>
              </w:tabs>
              <w:jc w:val="left"/>
              <w:rPr>
                <w:rFonts w:eastAsia="Calibri" w:cs="Arial"/>
                <w:iCs/>
                <w:szCs w:val="24"/>
              </w:rPr>
            </w:pPr>
            <w:r w:rsidRPr="00A62A17">
              <w:rPr>
                <w:rFonts w:eastAsia="Calibri" w:cs="Arial"/>
                <w:iCs/>
                <w:szCs w:val="24"/>
              </w:rPr>
              <w:t>του</w:t>
            </w:r>
            <w:r w:rsidR="00811C86">
              <w:rPr>
                <w:rFonts w:eastAsia="Calibri" w:cs="Arial"/>
                <w:iCs/>
                <w:szCs w:val="24"/>
              </w:rPr>
              <w:t xml:space="preserve"> </w:t>
            </w:r>
            <w:r w:rsidRPr="00A62A17">
              <w:rPr>
                <w:rFonts w:eastAsia="Calibri" w:cs="Arial"/>
                <w:iCs/>
                <w:szCs w:val="24"/>
              </w:rPr>
              <w:t xml:space="preserve">Πάγιου Ταμείου </w:t>
            </w:r>
          </w:p>
          <w:p w14:paraId="44345DFB" w14:textId="77777777" w:rsidR="00A62A17" w:rsidRPr="00A62A17" w:rsidRDefault="00A62A17" w:rsidP="003C3406">
            <w:pPr>
              <w:tabs>
                <w:tab w:val="left" w:pos="284"/>
                <w:tab w:val="left" w:pos="567"/>
              </w:tabs>
              <w:jc w:val="left"/>
              <w:rPr>
                <w:rFonts w:eastAsia="Calibri" w:cs="Arial"/>
                <w:iCs/>
                <w:szCs w:val="24"/>
              </w:rPr>
            </w:pPr>
            <w:r w:rsidRPr="00A62A17">
              <w:rPr>
                <w:rFonts w:eastAsia="Calibri" w:cs="Arial"/>
                <w:iCs/>
                <w:szCs w:val="24"/>
              </w:rPr>
              <w:t>ποσού ύψους</w:t>
            </w:r>
          </w:p>
          <w:p w14:paraId="37764183" w14:textId="77777777" w:rsidR="00811C86" w:rsidRDefault="00A62A17" w:rsidP="003C3406">
            <w:pPr>
              <w:tabs>
                <w:tab w:val="left" w:pos="284"/>
                <w:tab w:val="left" w:pos="567"/>
              </w:tabs>
              <w:jc w:val="left"/>
              <w:rPr>
                <w:rFonts w:eastAsia="Calibri" w:cs="Arial"/>
                <w:iCs/>
                <w:szCs w:val="24"/>
              </w:rPr>
            </w:pPr>
            <w:bookmarkStart w:id="0" w:name="_Hlk55461465"/>
            <w:r w:rsidRPr="00A62A17">
              <w:rPr>
                <w:rFonts w:eastAsia="Calibri" w:cs="Arial"/>
                <w:iCs/>
                <w:szCs w:val="24"/>
              </w:rPr>
              <w:t xml:space="preserve">€102.075.815 </w:t>
            </w:r>
            <w:bookmarkEnd w:id="0"/>
            <w:r w:rsidRPr="00A62A17">
              <w:rPr>
                <w:rFonts w:eastAsia="Calibri" w:cs="Arial"/>
                <w:iCs/>
                <w:szCs w:val="24"/>
              </w:rPr>
              <w:t>για</w:t>
            </w:r>
            <w:r w:rsidR="00811C86">
              <w:rPr>
                <w:rFonts w:eastAsia="Calibri" w:cs="Arial"/>
                <w:iCs/>
                <w:szCs w:val="24"/>
              </w:rPr>
              <w:t xml:space="preserve"> </w:t>
            </w:r>
            <w:r w:rsidRPr="00A62A17">
              <w:rPr>
                <w:rFonts w:eastAsia="Calibri" w:cs="Arial"/>
                <w:iCs/>
                <w:szCs w:val="24"/>
              </w:rPr>
              <w:t>τη χρήση του</w:t>
            </w:r>
            <w:r w:rsidR="00811C86">
              <w:rPr>
                <w:rFonts w:eastAsia="Calibri" w:cs="Arial"/>
                <w:iCs/>
                <w:szCs w:val="24"/>
              </w:rPr>
              <w:t xml:space="preserve"> </w:t>
            </w:r>
            <w:r w:rsidRPr="00A62A17">
              <w:rPr>
                <w:rFonts w:eastAsia="Calibri" w:cs="Arial"/>
                <w:iCs/>
                <w:szCs w:val="24"/>
              </w:rPr>
              <w:t xml:space="preserve">έτους </w:t>
            </w:r>
          </w:p>
          <w:p w14:paraId="697DF9B7" w14:textId="473E2DF7" w:rsidR="00A62A17" w:rsidRPr="00A62A17" w:rsidRDefault="00A62A17" w:rsidP="003C3406">
            <w:pPr>
              <w:tabs>
                <w:tab w:val="left" w:pos="284"/>
                <w:tab w:val="left" w:pos="567"/>
              </w:tabs>
              <w:jc w:val="left"/>
              <w:rPr>
                <w:rFonts w:eastAsia="Calibri" w:cs="Arial"/>
                <w:iCs/>
                <w:szCs w:val="24"/>
              </w:rPr>
            </w:pPr>
            <w:r w:rsidRPr="00A62A17">
              <w:rPr>
                <w:rFonts w:eastAsia="Calibri" w:cs="Arial"/>
                <w:iCs/>
                <w:szCs w:val="24"/>
              </w:rPr>
              <w:t>που λήγει</w:t>
            </w:r>
          </w:p>
          <w:p w14:paraId="20E1D446" w14:textId="77777777" w:rsidR="00A62A17" w:rsidRPr="00A62A17" w:rsidRDefault="00A62A17" w:rsidP="003C3406">
            <w:pPr>
              <w:tabs>
                <w:tab w:val="left" w:pos="284"/>
                <w:tab w:val="left" w:pos="567"/>
              </w:tabs>
              <w:jc w:val="left"/>
              <w:rPr>
                <w:rFonts w:eastAsia="Calibri" w:cs="Arial"/>
                <w:iCs/>
                <w:szCs w:val="24"/>
              </w:rPr>
            </w:pPr>
            <w:r w:rsidRPr="00A62A17">
              <w:rPr>
                <w:rFonts w:eastAsia="Calibri" w:cs="Arial"/>
                <w:iCs/>
                <w:szCs w:val="24"/>
              </w:rPr>
              <w:lastRenderedPageBreak/>
              <w:t>την 31</w:t>
            </w:r>
            <w:r w:rsidRPr="00A62A17">
              <w:rPr>
                <w:rFonts w:eastAsia="Calibri" w:cs="Arial"/>
                <w:iCs/>
                <w:szCs w:val="24"/>
                <w:vertAlign w:val="superscript"/>
              </w:rPr>
              <w:t xml:space="preserve">η </w:t>
            </w:r>
            <w:r w:rsidRPr="00A62A17">
              <w:rPr>
                <w:rFonts w:eastAsia="Calibri" w:cs="Arial"/>
                <w:iCs/>
                <w:szCs w:val="24"/>
              </w:rPr>
              <w:t>Δεκεμβρίου</w:t>
            </w:r>
          </w:p>
          <w:p w14:paraId="39364EA3" w14:textId="12993F66" w:rsidR="0088568F" w:rsidRPr="00A96ABD" w:rsidRDefault="00A62A17" w:rsidP="003C3406">
            <w:pPr>
              <w:tabs>
                <w:tab w:val="left" w:pos="284"/>
                <w:tab w:val="left" w:pos="567"/>
              </w:tabs>
              <w:jc w:val="left"/>
              <w:rPr>
                <w:rFonts w:cs="Arial"/>
                <w:color w:val="000000" w:themeColor="text1"/>
                <w:szCs w:val="24"/>
              </w:rPr>
            </w:pPr>
            <w:r w:rsidRPr="00A62A17">
              <w:rPr>
                <w:rFonts w:eastAsia="Calibri" w:cs="Arial"/>
                <w:iCs/>
                <w:szCs w:val="24"/>
              </w:rPr>
              <w:t>2022.</w:t>
            </w:r>
          </w:p>
        </w:tc>
        <w:tc>
          <w:tcPr>
            <w:tcW w:w="3994" w:type="pct"/>
            <w:tcBorders>
              <w:top w:val="nil"/>
              <w:left w:val="nil"/>
              <w:bottom w:val="nil"/>
              <w:right w:val="nil"/>
            </w:tcBorders>
          </w:tcPr>
          <w:p w14:paraId="7373891F" w14:textId="48AF26B0" w:rsidR="0088568F" w:rsidRPr="00811C86" w:rsidRDefault="0088568F" w:rsidP="003C3406">
            <w:pPr>
              <w:pStyle w:val="Header"/>
              <w:tabs>
                <w:tab w:val="clear" w:pos="4153"/>
                <w:tab w:val="clear" w:pos="8306"/>
                <w:tab w:val="left" w:pos="284"/>
                <w:tab w:val="left" w:pos="567"/>
              </w:tabs>
              <w:rPr>
                <w:rFonts w:cs="Arial"/>
                <w:color w:val="000000" w:themeColor="text1"/>
                <w:szCs w:val="24"/>
              </w:rPr>
            </w:pPr>
            <w:r w:rsidRPr="00A96ABD">
              <w:rPr>
                <w:rFonts w:cs="Arial"/>
                <w:color w:val="000000" w:themeColor="text1"/>
                <w:szCs w:val="24"/>
              </w:rPr>
              <w:lastRenderedPageBreak/>
              <w:t>2.</w:t>
            </w:r>
            <w:r w:rsidR="00BF712C">
              <w:rPr>
                <w:rFonts w:cs="Arial"/>
                <w:color w:val="000000" w:themeColor="text1"/>
                <w:szCs w:val="24"/>
              </w:rPr>
              <w:tab/>
            </w:r>
            <w:r w:rsidR="00BF712C">
              <w:rPr>
                <w:rFonts w:cs="Arial"/>
                <w:color w:val="000000" w:themeColor="text1"/>
                <w:szCs w:val="24"/>
              </w:rPr>
              <w:tab/>
            </w:r>
            <w:r w:rsidR="00811C86" w:rsidRPr="00811C86">
              <w:rPr>
                <w:rFonts w:cs="Arial"/>
              </w:rPr>
              <w:t xml:space="preserve">Επιπροσθέτως των ποσών που έχουν ήδη εγκριθεί νόμιμα ως ειδικευμένες πιστώσεις για τη χρήση της Δημοκρατίας ή που δυνατόν να εγκριθούν αργότερα ως τέτοιες για τη χρήση αυτή, εγκρίνεται όπως πληρωθεί από το λογαριασμό του Πάγιου Ταμείου και διατεθεί για τη χρήση του έτους που λήγει την τριακοστή πρώτη Δεκεμβρίου 2022, ποσό που δεν υπερβαίνει τα </w:t>
            </w:r>
            <w:proofErr w:type="spellStart"/>
            <w:r w:rsidR="00811C86" w:rsidRPr="00811C86">
              <w:rPr>
                <w:rFonts w:cs="Arial"/>
              </w:rPr>
              <w:t>εκατόν</w:t>
            </w:r>
            <w:proofErr w:type="spellEnd"/>
            <w:r w:rsidR="00811C86" w:rsidRPr="00811C86">
              <w:rPr>
                <w:rFonts w:cs="Arial"/>
              </w:rPr>
              <w:t xml:space="preserve"> δύο εκατομμύρια, εβδομήντα πέντε χιλιάδες και οκτακόσια δεκαπέντε ευρώ</w:t>
            </w:r>
            <w:r w:rsidR="00DD3D90">
              <w:rPr>
                <w:rFonts w:cs="Arial"/>
              </w:rPr>
              <w:t xml:space="preserve"> (</w:t>
            </w:r>
            <w:r w:rsidR="00DD3D90" w:rsidRPr="00A62A17">
              <w:rPr>
                <w:rFonts w:eastAsia="Calibri" w:cs="Arial"/>
                <w:iCs/>
                <w:szCs w:val="24"/>
              </w:rPr>
              <w:t>€102.075.815</w:t>
            </w:r>
            <w:r w:rsidR="00DD3D90">
              <w:rPr>
                <w:rFonts w:eastAsia="Calibri" w:cs="Arial"/>
                <w:iCs/>
                <w:szCs w:val="24"/>
              </w:rPr>
              <w:t>)</w:t>
            </w:r>
            <w:r w:rsidR="00811C86" w:rsidRPr="00811C86">
              <w:rPr>
                <w:rFonts w:cs="Arial"/>
              </w:rPr>
              <w:t>, για κάλυψη των δαπανών της κυβέρνησης της Δημοκρατίας για την περίοδο αυτή.</w:t>
            </w:r>
          </w:p>
          <w:p w14:paraId="32605629" w14:textId="77777777" w:rsidR="0088568F" w:rsidRPr="00A96ABD" w:rsidRDefault="0088568F" w:rsidP="003C3406">
            <w:pPr>
              <w:pStyle w:val="Header"/>
              <w:tabs>
                <w:tab w:val="clear" w:pos="4153"/>
                <w:tab w:val="clear" w:pos="8306"/>
                <w:tab w:val="left" w:pos="284"/>
                <w:tab w:val="left" w:pos="567"/>
              </w:tabs>
              <w:rPr>
                <w:rFonts w:cs="Arial"/>
                <w:color w:val="000000" w:themeColor="text1"/>
                <w:szCs w:val="24"/>
              </w:rPr>
            </w:pPr>
          </w:p>
        </w:tc>
      </w:tr>
      <w:tr w:rsidR="0088568F" w:rsidRPr="00A96ABD" w14:paraId="39FD1DDA" w14:textId="77777777" w:rsidTr="0088568F">
        <w:tc>
          <w:tcPr>
            <w:tcW w:w="1006" w:type="pct"/>
            <w:tcBorders>
              <w:top w:val="nil"/>
              <w:left w:val="nil"/>
              <w:bottom w:val="nil"/>
              <w:right w:val="nil"/>
            </w:tcBorders>
          </w:tcPr>
          <w:p w14:paraId="1760E6F1" w14:textId="77777777" w:rsidR="0088568F" w:rsidRPr="00A96ABD" w:rsidRDefault="0088568F"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7B8860F9" w14:textId="77777777" w:rsidR="0088568F" w:rsidRPr="00A96ABD" w:rsidRDefault="0088568F" w:rsidP="003C3406">
            <w:pPr>
              <w:pStyle w:val="Header"/>
              <w:tabs>
                <w:tab w:val="clear" w:pos="4153"/>
                <w:tab w:val="clear" w:pos="8306"/>
                <w:tab w:val="left" w:pos="284"/>
                <w:tab w:val="left" w:pos="567"/>
              </w:tabs>
              <w:rPr>
                <w:rFonts w:cs="Arial"/>
                <w:color w:val="000000" w:themeColor="text1"/>
                <w:szCs w:val="24"/>
              </w:rPr>
            </w:pPr>
          </w:p>
        </w:tc>
      </w:tr>
      <w:tr w:rsidR="0088568F" w:rsidRPr="00A96ABD" w14:paraId="119B9402" w14:textId="77777777" w:rsidTr="0088568F">
        <w:tc>
          <w:tcPr>
            <w:tcW w:w="1006" w:type="pct"/>
            <w:tcBorders>
              <w:top w:val="nil"/>
              <w:left w:val="nil"/>
              <w:bottom w:val="nil"/>
              <w:right w:val="nil"/>
            </w:tcBorders>
          </w:tcPr>
          <w:p w14:paraId="0B73A233" w14:textId="77777777" w:rsidR="00811C86" w:rsidRPr="00CF0157" w:rsidRDefault="00811C86" w:rsidP="003C3406">
            <w:pPr>
              <w:tabs>
                <w:tab w:val="left" w:pos="284"/>
                <w:tab w:val="left" w:pos="567"/>
              </w:tabs>
              <w:rPr>
                <w:rFonts w:cs="Arial"/>
                <w:szCs w:val="24"/>
              </w:rPr>
            </w:pPr>
            <w:r w:rsidRPr="00CF0157">
              <w:rPr>
                <w:rFonts w:cs="Arial"/>
                <w:szCs w:val="24"/>
              </w:rPr>
              <w:t>Ειδίκευση των</w:t>
            </w:r>
          </w:p>
          <w:p w14:paraId="6E22487B" w14:textId="77777777" w:rsidR="00811C86" w:rsidRPr="00CF0157" w:rsidRDefault="00811C86" w:rsidP="003C3406">
            <w:pPr>
              <w:tabs>
                <w:tab w:val="left" w:pos="284"/>
                <w:tab w:val="left" w:pos="567"/>
              </w:tabs>
              <w:rPr>
                <w:rFonts w:cs="Arial"/>
                <w:szCs w:val="24"/>
              </w:rPr>
            </w:pPr>
            <w:r w:rsidRPr="00CF0157">
              <w:rPr>
                <w:rFonts w:cs="Arial"/>
                <w:szCs w:val="24"/>
              </w:rPr>
              <w:t>ποσών που θα</w:t>
            </w:r>
          </w:p>
          <w:p w14:paraId="34437B3D" w14:textId="77777777" w:rsidR="00811C86" w:rsidRPr="00CF0157" w:rsidRDefault="00811C86" w:rsidP="003C3406">
            <w:pPr>
              <w:tabs>
                <w:tab w:val="left" w:pos="284"/>
                <w:tab w:val="left" w:pos="567"/>
              </w:tabs>
              <w:rPr>
                <w:rFonts w:cs="Arial"/>
                <w:szCs w:val="24"/>
              </w:rPr>
            </w:pPr>
            <w:r w:rsidRPr="00CF0157">
              <w:rPr>
                <w:rFonts w:cs="Arial"/>
                <w:szCs w:val="24"/>
              </w:rPr>
              <w:t xml:space="preserve">δαπανηθούν. </w:t>
            </w:r>
          </w:p>
          <w:p w14:paraId="1BDBA403" w14:textId="77777777" w:rsidR="00811C86" w:rsidRPr="00CF0157" w:rsidRDefault="00811C86" w:rsidP="003C3406">
            <w:pPr>
              <w:tabs>
                <w:tab w:val="left" w:pos="284"/>
                <w:tab w:val="left" w:pos="567"/>
              </w:tabs>
              <w:rPr>
                <w:rFonts w:cs="Arial"/>
                <w:szCs w:val="24"/>
              </w:rPr>
            </w:pPr>
            <w:r w:rsidRPr="00CF0157">
              <w:rPr>
                <w:rFonts w:cs="Arial"/>
                <w:szCs w:val="24"/>
              </w:rPr>
              <w:t>Πίνακας.</w:t>
            </w:r>
          </w:p>
          <w:p w14:paraId="3E6F1587" w14:textId="77777777" w:rsidR="0088568F" w:rsidRPr="00A96ABD" w:rsidRDefault="0088568F" w:rsidP="003C3406">
            <w:pPr>
              <w:tabs>
                <w:tab w:val="left" w:pos="284"/>
                <w:tab w:val="left" w:pos="567"/>
              </w:tabs>
              <w:jc w:val="left"/>
              <w:rPr>
                <w:rFonts w:cs="Arial"/>
                <w:color w:val="000000" w:themeColor="text1"/>
                <w:szCs w:val="24"/>
              </w:rPr>
            </w:pPr>
          </w:p>
        </w:tc>
        <w:tc>
          <w:tcPr>
            <w:tcW w:w="3994" w:type="pct"/>
            <w:tcBorders>
              <w:top w:val="nil"/>
              <w:left w:val="nil"/>
              <w:bottom w:val="nil"/>
              <w:right w:val="nil"/>
            </w:tcBorders>
          </w:tcPr>
          <w:p w14:paraId="4699B402" w14:textId="73A7B9F7" w:rsidR="0088568F" w:rsidRPr="00A96ABD" w:rsidRDefault="00811C86" w:rsidP="003C3406">
            <w:pPr>
              <w:pStyle w:val="Header"/>
              <w:tabs>
                <w:tab w:val="clear" w:pos="4153"/>
                <w:tab w:val="clear" w:pos="8306"/>
                <w:tab w:val="left" w:pos="284"/>
                <w:tab w:val="left" w:pos="567"/>
              </w:tabs>
              <w:rPr>
                <w:rFonts w:cs="Arial"/>
                <w:color w:val="000000" w:themeColor="text1"/>
                <w:szCs w:val="24"/>
              </w:rPr>
            </w:pPr>
            <w:r>
              <w:rPr>
                <w:rFonts w:cs="Arial"/>
                <w:color w:val="000000" w:themeColor="text1"/>
                <w:szCs w:val="24"/>
              </w:rPr>
              <w:t>3.</w:t>
            </w:r>
            <w:r w:rsidR="001618F6">
              <w:rPr>
                <w:rFonts w:cs="Arial"/>
                <w:color w:val="000000" w:themeColor="text1"/>
                <w:szCs w:val="24"/>
              </w:rPr>
              <w:tab/>
            </w:r>
            <w:r w:rsidR="001618F6">
              <w:rPr>
                <w:rFonts w:cs="Arial"/>
                <w:color w:val="000000" w:themeColor="text1"/>
                <w:szCs w:val="24"/>
              </w:rPr>
              <w:tab/>
            </w:r>
            <w:r w:rsidRPr="00CF0157">
              <w:rPr>
                <w:rFonts w:cs="Arial"/>
                <w:szCs w:val="24"/>
              </w:rPr>
              <w:t>Το ποσό που χορηγείται από το άρθρο 2, χορηγείται ως ειδικευμένη πίστωση για τις υπηρεσίες και τους σκοπούς που αναφέρονται στα Κεφάλαια και στις υποομάδες δαπανών του Πίνακα και ποσό που δεν υπερβαίνει το ποσό που αναφέρεται στο κάθε Κεφάλαιο και στην κάθε υποομάδα δαπανών μπορεί να χρησιμοποιηθεί και να δαπανηθεί για τις υπηρεσίες και τους σκοπούς που αναφέρονται και ειδικά καθορίζονται στον Πίνακα.</w:t>
            </w:r>
          </w:p>
        </w:tc>
      </w:tr>
    </w:tbl>
    <w:p w14:paraId="6D2F2378" w14:textId="4470A0F7" w:rsidR="00811C86" w:rsidRDefault="00811C86" w:rsidP="003C3406">
      <w:pPr>
        <w:tabs>
          <w:tab w:val="left" w:pos="284"/>
          <w:tab w:val="left" w:pos="567"/>
        </w:tabs>
      </w:pPr>
    </w:p>
    <w:p w14:paraId="2FDBECA3" w14:textId="2311F8F1" w:rsidR="00811C86" w:rsidRDefault="00811C86" w:rsidP="003C3406">
      <w:pPr>
        <w:tabs>
          <w:tab w:val="left" w:pos="284"/>
          <w:tab w:val="left" w:pos="567"/>
        </w:tabs>
      </w:pPr>
    </w:p>
    <w:p w14:paraId="7D5F2172" w14:textId="62214C11" w:rsidR="0088568F" w:rsidRPr="00811C86" w:rsidRDefault="0088568F" w:rsidP="003C3406">
      <w:pPr>
        <w:tabs>
          <w:tab w:val="left" w:pos="284"/>
          <w:tab w:val="left" w:pos="567"/>
        </w:tabs>
        <w:spacing w:after="80" w:line="240" w:lineRule="auto"/>
        <w:rPr>
          <w:rFonts w:cs="Arial"/>
          <w:color w:val="000000" w:themeColor="text1"/>
          <w:szCs w:val="24"/>
        </w:rPr>
      </w:pPr>
      <w:proofErr w:type="spellStart"/>
      <w:r w:rsidRPr="00811C86">
        <w:rPr>
          <w:rFonts w:cs="Arial"/>
          <w:color w:val="000000" w:themeColor="text1"/>
          <w:szCs w:val="24"/>
        </w:rPr>
        <w:t>Αρ</w:t>
      </w:r>
      <w:proofErr w:type="spellEnd"/>
      <w:r w:rsidRPr="00811C86">
        <w:rPr>
          <w:rFonts w:cs="Arial"/>
          <w:color w:val="000000" w:themeColor="text1"/>
          <w:szCs w:val="24"/>
        </w:rPr>
        <w:t xml:space="preserve">. </w:t>
      </w:r>
      <w:proofErr w:type="spellStart"/>
      <w:r w:rsidRPr="00811C86">
        <w:rPr>
          <w:rFonts w:cs="Arial"/>
          <w:color w:val="000000" w:themeColor="text1"/>
          <w:szCs w:val="24"/>
        </w:rPr>
        <w:t>Φακ</w:t>
      </w:r>
      <w:proofErr w:type="spellEnd"/>
      <w:r w:rsidRPr="00811C86">
        <w:rPr>
          <w:rFonts w:cs="Arial"/>
          <w:color w:val="000000" w:themeColor="text1"/>
          <w:szCs w:val="24"/>
        </w:rPr>
        <w:t>.:  23.01.063.0</w:t>
      </w:r>
      <w:r w:rsidR="007650B6">
        <w:rPr>
          <w:rFonts w:cs="Arial"/>
          <w:color w:val="000000" w:themeColor="text1"/>
          <w:szCs w:val="24"/>
        </w:rPr>
        <w:t>83</w:t>
      </w:r>
      <w:r w:rsidRPr="00811C86">
        <w:rPr>
          <w:rFonts w:cs="Arial"/>
          <w:color w:val="000000" w:themeColor="text1"/>
          <w:szCs w:val="24"/>
        </w:rPr>
        <w:t>-2022</w:t>
      </w:r>
    </w:p>
    <w:p w14:paraId="30CB02E3" w14:textId="77777777" w:rsidR="007650B6" w:rsidRDefault="0088568F" w:rsidP="003C3406">
      <w:pPr>
        <w:tabs>
          <w:tab w:val="left" w:pos="284"/>
          <w:tab w:val="left" w:pos="567"/>
        </w:tabs>
        <w:spacing w:line="240" w:lineRule="auto"/>
        <w:rPr>
          <w:rFonts w:cs="Arial"/>
          <w:color w:val="000000" w:themeColor="text1"/>
          <w:sz w:val="20"/>
        </w:rPr>
      </w:pPr>
      <w:r w:rsidRPr="00A96ABD">
        <w:rPr>
          <w:rFonts w:cs="Arial"/>
          <w:color w:val="000000" w:themeColor="text1"/>
          <w:sz w:val="20"/>
        </w:rPr>
        <w:t>ΑΚ/</w:t>
      </w:r>
      <w:r w:rsidRPr="00A96ABD">
        <w:rPr>
          <w:rFonts w:cs="Arial"/>
          <w:color w:val="000000" w:themeColor="text1"/>
          <w:sz w:val="20"/>
          <w:lang w:val="en-US"/>
        </w:rPr>
        <w:t>M</w:t>
      </w:r>
      <w:r w:rsidR="007650B6">
        <w:rPr>
          <w:rFonts w:cs="Arial"/>
          <w:color w:val="000000" w:themeColor="text1"/>
          <w:sz w:val="20"/>
        </w:rPr>
        <w:t>Ε</w:t>
      </w:r>
    </w:p>
    <w:p w14:paraId="6F10C626" w14:textId="77777777" w:rsidR="008403A8" w:rsidRDefault="008403A8" w:rsidP="003C3406">
      <w:pPr>
        <w:tabs>
          <w:tab w:val="left" w:pos="284"/>
          <w:tab w:val="left" w:pos="567"/>
        </w:tabs>
      </w:pPr>
    </w:p>
    <w:sectPr w:rsidR="008403A8" w:rsidSect="007650B6">
      <w:headerReference w:type="default" r:id="rId7"/>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61F1" w14:textId="77777777" w:rsidR="0031629D" w:rsidRDefault="0031629D">
      <w:pPr>
        <w:spacing w:line="240" w:lineRule="auto"/>
      </w:pPr>
      <w:r>
        <w:separator/>
      </w:r>
    </w:p>
  </w:endnote>
  <w:endnote w:type="continuationSeparator" w:id="0">
    <w:p w14:paraId="0589E9EE" w14:textId="77777777" w:rsidR="0031629D" w:rsidRDefault="00316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5BEE" w14:textId="77777777" w:rsidR="0031629D" w:rsidRDefault="0031629D">
      <w:pPr>
        <w:spacing w:line="240" w:lineRule="auto"/>
      </w:pPr>
      <w:r>
        <w:separator/>
      </w:r>
    </w:p>
  </w:footnote>
  <w:footnote w:type="continuationSeparator" w:id="0">
    <w:p w14:paraId="3247CD2E" w14:textId="77777777" w:rsidR="0031629D" w:rsidRDefault="00316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45955"/>
      <w:docPartObj>
        <w:docPartGallery w:val="Page Numbers (Top of Page)"/>
        <w:docPartUnique/>
      </w:docPartObj>
    </w:sdtPr>
    <w:sdtEndPr>
      <w:rPr>
        <w:noProof/>
      </w:rPr>
    </w:sdtEndPr>
    <w:sdtContent>
      <w:p w14:paraId="347ABD86" w14:textId="77777777" w:rsidR="0088568F" w:rsidRDefault="008856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C59FD5" w14:textId="77777777" w:rsidR="0088568F" w:rsidRDefault="00885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FF2"/>
    <w:multiLevelType w:val="hybridMultilevel"/>
    <w:tmpl w:val="FFB67572"/>
    <w:lvl w:ilvl="0" w:tplc="EB70CF9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E914F41"/>
    <w:multiLevelType w:val="hybridMultilevel"/>
    <w:tmpl w:val="22348A54"/>
    <w:lvl w:ilvl="0" w:tplc="F9C210B0">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53022"/>
    <w:multiLevelType w:val="hybridMultilevel"/>
    <w:tmpl w:val="8104D3E6"/>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6B3264"/>
    <w:multiLevelType w:val="hybridMultilevel"/>
    <w:tmpl w:val="C5840B2A"/>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BD3200"/>
    <w:multiLevelType w:val="multilevel"/>
    <w:tmpl w:val="D7C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33BCB"/>
    <w:multiLevelType w:val="hybridMultilevel"/>
    <w:tmpl w:val="D96EDBD6"/>
    <w:lvl w:ilvl="0" w:tplc="F9C210B0">
      <w:start w:val="1"/>
      <w:numFmt w:val="lowerRoman"/>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6818272D"/>
    <w:multiLevelType w:val="hybridMultilevel"/>
    <w:tmpl w:val="52C610D0"/>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98752618">
    <w:abstractNumId w:val="1"/>
  </w:num>
  <w:num w:numId="2" w16cid:durableId="491677375">
    <w:abstractNumId w:val="5"/>
  </w:num>
  <w:num w:numId="3" w16cid:durableId="980185245">
    <w:abstractNumId w:val="0"/>
  </w:num>
  <w:num w:numId="4" w16cid:durableId="1824395265">
    <w:abstractNumId w:val="3"/>
  </w:num>
  <w:num w:numId="5" w16cid:durableId="1153835232">
    <w:abstractNumId w:val="2"/>
  </w:num>
  <w:num w:numId="6" w16cid:durableId="672681286">
    <w:abstractNumId w:val="6"/>
  </w:num>
  <w:num w:numId="7" w16cid:durableId="2091854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8F"/>
    <w:rsid w:val="001618F6"/>
    <w:rsid w:val="00281188"/>
    <w:rsid w:val="0031629D"/>
    <w:rsid w:val="003908A5"/>
    <w:rsid w:val="003C3406"/>
    <w:rsid w:val="00546526"/>
    <w:rsid w:val="007650B6"/>
    <w:rsid w:val="0080208A"/>
    <w:rsid w:val="00810CCB"/>
    <w:rsid w:val="00811C86"/>
    <w:rsid w:val="008403A8"/>
    <w:rsid w:val="0088568F"/>
    <w:rsid w:val="008D2DE9"/>
    <w:rsid w:val="00970210"/>
    <w:rsid w:val="00A37D43"/>
    <w:rsid w:val="00A62A17"/>
    <w:rsid w:val="00BF712C"/>
    <w:rsid w:val="00C96551"/>
    <w:rsid w:val="00DD3D90"/>
    <w:rsid w:val="00F464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8C30"/>
  <w15:chartTrackingRefBased/>
  <w15:docId w15:val="{1A6CB5E8-3F5C-4475-BA15-60504AAD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8F"/>
    <w:pPr>
      <w:spacing w:line="36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68F"/>
    <w:pPr>
      <w:tabs>
        <w:tab w:val="center" w:pos="4153"/>
        <w:tab w:val="right" w:pos="8306"/>
      </w:tabs>
    </w:pPr>
  </w:style>
  <w:style w:type="character" w:customStyle="1" w:styleId="HeaderChar">
    <w:name w:val="Header Char"/>
    <w:basedOn w:val="DefaultParagraphFont"/>
    <w:link w:val="Header"/>
    <w:uiPriority w:val="99"/>
    <w:rsid w:val="0088568F"/>
    <w:rPr>
      <w:rFonts w:eastAsia="Times New Roman" w:cs="Times New Roman"/>
      <w:szCs w:val="20"/>
    </w:rPr>
  </w:style>
  <w:style w:type="character" w:customStyle="1" w:styleId="BalloonTextChar">
    <w:name w:val="Balloon Text Char"/>
    <w:basedOn w:val="DefaultParagraphFont"/>
    <w:link w:val="BalloonText"/>
    <w:uiPriority w:val="99"/>
    <w:semiHidden/>
    <w:rsid w:val="0088568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8568F"/>
    <w:pPr>
      <w:spacing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8568F"/>
    <w:rPr>
      <w:rFonts w:ascii="Segoe UI" w:eastAsia="Times New Roman" w:hAnsi="Segoe UI" w:cs="Segoe UI"/>
      <w:sz w:val="18"/>
      <w:szCs w:val="18"/>
    </w:rPr>
  </w:style>
  <w:style w:type="paragraph" w:styleId="CommentText">
    <w:name w:val="annotation text"/>
    <w:basedOn w:val="Normal"/>
    <w:link w:val="CommentTextChar"/>
    <w:semiHidden/>
    <w:rsid w:val="0088568F"/>
    <w:pPr>
      <w:spacing w:line="240" w:lineRule="auto"/>
      <w:jc w:val="left"/>
    </w:pPr>
    <w:rPr>
      <w:rFonts w:ascii="Times New Roman" w:hAnsi="Times New Roman"/>
      <w:sz w:val="20"/>
      <w:lang w:val="en-US"/>
    </w:rPr>
  </w:style>
  <w:style w:type="character" w:customStyle="1" w:styleId="CommentTextChar">
    <w:name w:val="Comment Text Char"/>
    <w:basedOn w:val="DefaultParagraphFont"/>
    <w:link w:val="CommentText"/>
    <w:semiHidden/>
    <w:rsid w:val="0088568F"/>
    <w:rPr>
      <w:rFonts w:ascii="Times New Roman" w:eastAsia="Times New Roman" w:hAnsi="Times New Roman" w:cs="Times New Roman"/>
      <w:sz w:val="20"/>
      <w:szCs w:val="20"/>
      <w:lang w:val="en-US"/>
    </w:rPr>
  </w:style>
  <w:style w:type="paragraph" w:styleId="Title">
    <w:name w:val="Title"/>
    <w:basedOn w:val="Normal"/>
    <w:link w:val="TitleChar"/>
    <w:qFormat/>
    <w:rsid w:val="0088568F"/>
    <w:pPr>
      <w:spacing w:line="240" w:lineRule="auto"/>
      <w:jc w:val="center"/>
    </w:pPr>
    <w:rPr>
      <w:rFonts w:cs="Arial"/>
      <w:b/>
      <w:bCs/>
      <w:sz w:val="28"/>
    </w:rPr>
  </w:style>
  <w:style w:type="character" w:customStyle="1" w:styleId="TitleChar">
    <w:name w:val="Title Char"/>
    <w:basedOn w:val="DefaultParagraphFont"/>
    <w:link w:val="Title"/>
    <w:rsid w:val="0088568F"/>
    <w:rPr>
      <w:rFonts w:eastAsia="Times New Roman"/>
      <w:b/>
      <w:bCs/>
      <w:sz w:val="28"/>
      <w:szCs w:val="20"/>
    </w:rPr>
  </w:style>
  <w:style w:type="paragraph" w:styleId="BodyText">
    <w:name w:val="Body Text"/>
    <w:basedOn w:val="Normal"/>
    <w:link w:val="BodyTextChar"/>
    <w:rsid w:val="0088568F"/>
    <w:pPr>
      <w:spacing w:line="240" w:lineRule="auto"/>
      <w:jc w:val="left"/>
    </w:pPr>
    <w:rPr>
      <w:rFonts w:ascii="Tahoma" w:hAnsi="Tahoma"/>
      <w:szCs w:val="24"/>
    </w:rPr>
  </w:style>
  <w:style w:type="character" w:customStyle="1" w:styleId="BodyTextChar">
    <w:name w:val="Body Text Char"/>
    <w:basedOn w:val="DefaultParagraphFont"/>
    <w:link w:val="BodyText"/>
    <w:rsid w:val="0088568F"/>
    <w:rPr>
      <w:rFonts w:ascii="Tahoma" w:eastAsia="Times New Roman" w:hAnsi="Tahoma" w:cs="Times New Roman"/>
    </w:rPr>
  </w:style>
  <w:style w:type="paragraph" w:customStyle="1" w:styleId="Default">
    <w:name w:val="Default"/>
    <w:rsid w:val="0088568F"/>
    <w:pPr>
      <w:autoSpaceDE w:val="0"/>
      <w:autoSpaceDN w:val="0"/>
      <w:adjustRightInd w:val="0"/>
      <w:spacing w:line="240" w:lineRule="auto"/>
      <w:jc w:val="left"/>
    </w:pPr>
    <w:rPr>
      <w:rFonts w:ascii="Times New Roman" w:eastAsia="Calibri" w:hAnsi="Times New Roman" w:cs="Times New Roman"/>
      <w:color w:val="000000"/>
      <w:lang w:eastAsia="el-GR"/>
    </w:rPr>
  </w:style>
  <w:style w:type="paragraph" w:customStyle="1" w:styleId="CM1">
    <w:name w:val="CM1"/>
    <w:basedOn w:val="Default"/>
    <w:next w:val="Default"/>
    <w:uiPriority w:val="99"/>
    <w:rsid w:val="0088568F"/>
    <w:rPr>
      <w:color w:val="auto"/>
    </w:rPr>
  </w:style>
  <w:style w:type="paragraph" w:customStyle="1" w:styleId="CM3">
    <w:name w:val="CM3"/>
    <w:basedOn w:val="Default"/>
    <w:next w:val="Default"/>
    <w:uiPriority w:val="99"/>
    <w:rsid w:val="0088568F"/>
    <w:rPr>
      <w:color w:val="auto"/>
    </w:rPr>
  </w:style>
  <w:style w:type="paragraph" w:customStyle="1" w:styleId="CM4">
    <w:name w:val="CM4"/>
    <w:basedOn w:val="Default"/>
    <w:next w:val="Default"/>
    <w:uiPriority w:val="99"/>
    <w:rsid w:val="0088568F"/>
    <w:rPr>
      <w:color w:val="auto"/>
    </w:rPr>
  </w:style>
  <w:style w:type="paragraph" w:styleId="ListParagraph">
    <w:name w:val="List Paragraph"/>
    <w:basedOn w:val="Normal"/>
    <w:uiPriority w:val="34"/>
    <w:qFormat/>
    <w:rsid w:val="0088568F"/>
    <w:pPr>
      <w:spacing w:after="200" w:line="276" w:lineRule="auto"/>
      <w:ind w:left="720"/>
      <w:contextualSpacing/>
      <w:jc w:val="left"/>
    </w:pPr>
    <w:rPr>
      <w:rFonts w:ascii="Calibri" w:eastAsia="Calibri" w:hAnsi="Calibri"/>
      <w:sz w:val="22"/>
      <w:szCs w:val="22"/>
      <w:lang w:val="en-GB"/>
    </w:rPr>
  </w:style>
  <w:style w:type="character" w:customStyle="1" w:styleId="toc-instrument-enum">
    <w:name w:val="toc-instrument-enum"/>
    <w:basedOn w:val="DefaultParagraphFont"/>
    <w:rsid w:val="0088568F"/>
  </w:style>
  <w:style w:type="paragraph" w:styleId="Footer">
    <w:name w:val="footer"/>
    <w:basedOn w:val="Normal"/>
    <w:link w:val="FooterChar"/>
    <w:uiPriority w:val="99"/>
    <w:unhideWhenUsed/>
    <w:rsid w:val="0088568F"/>
    <w:pPr>
      <w:tabs>
        <w:tab w:val="center" w:pos="4153"/>
        <w:tab w:val="right" w:pos="8306"/>
      </w:tabs>
    </w:pPr>
  </w:style>
  <w:style w:type="character" w:customStyle="1" w:styleId="FooterChar">
    <w:name w:val="Footer Char"/>
    <w:basedOn w:val="DefaultParagraphFont"/>
    <w:link w:val="Footer"/>
    <w:uiPriority w:val="99"/>
    <w:rsid w:val="0088568F"/>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Vakana</dc:creator>
  <cp:keywords/>
  <dc:description/>
  <cp:lastModifiedBy>EVAGGELOU MARIA</cp:lastModifiedBy>
  <cp:revision>3</cp:revision>
  <dcterms:created xsi:type="dcterms:W3CDTF">2022-06-01T07:20:00Z</dcterms:created>
  <dcterms:modified xsi:type="dcterms:W3CDTF">2022-06-01T10:24:00Z</dcterms:modified>
</cp:coreProperties>
</file>