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0B085" w14:textId="495F5D28" w:rsidR="00990C77" w:rsidRDefault="00990C77" w:rsidP="007A5FAA">
      <w:pPr>
        <w:jc w:val="center"/>
        <w:rPr>
          <w:b/>
          <w:lang w:val="el-GR"/>
        </w:rPr>
      </w:pPr>
      <w:r>
        <w:rPr>
          <w:b/>
          <w:lang w:val="el-GR"/>
        </w:rPr>
        <w:t xml:space="preserve">Έκθεση της Κοινοβουλευτικής Επιτροπής Οικονομικών και Προϋπολογισμού για το νομοσχέδιο «Ο περί Συμπληρωματικού Προϋπολογισμού </w:t>
      </w:r>
      <w:r w:rsidR="005F7D82">
        <w:rPr>
          <w:b/>
          <w:lang w:val="el-GR"/>
        </w:rPr>
        <w:t xml:space="preserve">Νόμος (Αρ. </w:t>
      </w:r>
      <w:r w:rsidR="0098139C">
        <w:rPr>
          <w:b/>
          <w:lang w:val="el-GR"/>
        </w:rPr>
        <w:t>1</w:t>
      </w:r>
      <w:r w:rsidR="005F7D82">
        <w:rPr>
          <w:b/>
          <w:lang w:val="el-GR"/>
        </w:rPr>
        <w:t xml:space="preserve">) </w:t>
      </w:r>
      <w:r>
        <w:rPr>
          <w:b/>
          <w:lang w:val="el-GR"/>
        </w:rPr>
        <w:t>του 202</w:t>
      </w:r>
      <w:r w:rsidR="0098139C">
        <w:rPr>
          <w:b/>
          <w:lang w:val="el-GR"/>
        </w:rPr>
        <w:t>2</w:t>
      </w:r>
      <w:r>
        <w:rPr>
          <w:b/>
          <w:lang w:val="el-GR"/>
        </w:rPr>
        <w:t>»</w:t>
      </w:r>
    </w:p>
    <w:p w14:paraId="4340D873" w14:textId="77777777" w:rsidR="00990C77" w:rsidRPr="0000316D" w:rsidRDefault="00990C77" w:rsidP="007A5FAA">
      <w:pPr>
        <w:rPr>
          <w:b/>
          <w:lang w:val="el-GR"/>
        </w:rPr>
      </w:pPr>
      <w:r w:rsidRPr="00EE2B29">
        <w:rPr>
          <w:b/>
          <w:lang w:val="el-GR"/>
        </w:rPr>
        <w:t>Παρόντες:</w:t>
      </w:r>
    </w:p>
    <w:p w14:paraId="29BC9077" w14:textId="1699BF98" w:rsidR="00990C77" w:rsidRPr="00C52680" w:rsidRDefault="00990C77" w:rsidP="00990C77">
      <w:pPr>
        <w:rPr>
          <w:rFonts w:eastAsia="Times New Roman"/>
          <w:bCs/>
          <w:lang w:val="el-GR"/>
        </w:rPr>
      </w:pPr>
      <w:r>
        <w:rPr>
          <w:lang w:val="el-GR"/>
        </w:rPr>
        <w:tab/>
      </w:r>
      <w:r w:rsidRPr="00C52680">
        <w:rPr>
          <w:rFonts w:eastAsia="Times New Roman"/>
          <w:lang w:val="el-GR"/>
        </w:rPr>
        <w:t>Χριστιάνα Ερωτοκρίτου</w:t>
      </w:r>
      <w:r w:rsidRPr="00C52680">
        <w:rPr>
          <w:rFonts w:eastAsia="Times New Roman"/>
          <w:bCs/>
          <w:lang w:val="el-GR"/>
        </w:rPr>
        <w:t>, πρόεδρος</w:t>
      </w:r>
      <w:r w:rsidRPr="00C52680">
        <w:rPr>
          <w:rFonts w:eastAsia="Times New Roman"/>
          <w:bCs/>
          <w:lang w:val="el-GR"/>
        </w:rPr>
        <w:tab/>
      </w:r>
      <w:r w:rsidR="004B1A86" w:rsidRPr="00C52680">
        <w:rPr>
          <w:rFonts w:eastAsia="Times New Roman"/>
          <w:bCs/>
          <w:lang w:val="el-GR"/>
        </w:rPr>
        <w:t>Αντρέας Καυκαλιάς</w:t>
      </w:r>
    </w:p>
    <w:p w14:paraId="41FEF328" w14:textId="2C3A2BC3" w:rsidR="000A74CB" w:rsidRPr="00C52680" w:rsidRDefault="00631C3C" w:rsidP="00990C77">
      <w:pPr>
        <w:rPr>
          <w:rFonts w:eastAsia="Times New Roman"/>
          <w:bCs/>
          <w:lang w:val="el-GR"/>
        </w:rPr>
      </w:pPr>
      <w:r w:rsidRPr="00C52680">
        <w:rPr>
          <w:rFonts w:eastAsia="Times New Roman"/>
          <w:bCs/>
          <w:lang w:val="el-GR"/>
        </w:rPr>
        <w:tab/>
      </w:r>
      <w:r w:rsidR="00163353" w:rsidRPr="00C52680">
        <w:rPr>
          <w:rFonts w:eastAsia="Times New Roman"/>
          <w:bCs/>
          <w:lang w:val="el-GR"/>
        </w:rPr>
        <w:t>Χρύσης Παντελίδης</w:t>
      </w:r>
      <w:r w:rsidRPr="00C52680">
        <w:rPr>
          <w:rFonts w:eastAsia="Times New Roman"/>
          <w:bCs/>
          <w:lang w:val="el-GR"/>
        </w:rPr>
        <w:tab/>
      </w:r>
      <w:r w:rsidR="004B1A86" w:rsidRPr="00C52680">
        <w:rPr>
          <w:rFonts w:eastAsia="Times New Roman"/>
          <w:bCs/>
          <w:lang w:val="el-GR"/>
        </w:rPr>
        <w:t>Χρίστος Χριστοφίδης</w:t>
      </w:r>
    </w:p>
    <w:p w14:paraId="79708D26" w14:textId="46AD6831" w:rsidR="00163353" w:rsidRPr="00C52680" w:rsidRDefault="00631C3C" w:rsidP="00631C3C">
      <w:pPr>
        <w:tabs>
          <w:tab w:val="clear" w:pos="4961"/>
          <w:tab w:val="center" w:pos="4677"/>
          <w:tab w:val="left" w:pos="4962"/>
        </w:tabs>
        <w:rPr>
          <w:rFonts w:eastAsia="Times New Roman"/>
          <w:bCs/>
          <w:lang w:val="el-GR"/>
        </w:rPr>
      </w:pPr>
      <w:r w:rsidRPr="00C52680">
        <w:rPr>
          <w:rFonts w:eastAsia="Times New Roman"/>
          <w:bCs/>
          <w:lang w:val="el-GR"/>
        </w:rPr>
        <w:tab/>
      </w:r>
      <w:r w:rsidR="00163353" w:rsidRPr="00C52680">
        <w:rPr>
          <w:rFonts w:eastAsia="Times New Roman"/>
          <w:bCs/>
          <w:lang w:val="el-GR"/>
        </w:rPr>
        <w:t>Χάρης Γεωργιάδης</w:t>
      </w:r>
      <w:r w:rsidR="00163353" w:rsidRPr="00C52680">
        <w:rPr>
          <w:rFonts w:eastAsia="Times New Roman"/>
          <w:bCs/>
          <w:lang w:val="el-GR"/>
        </w:rPr>
        <w:tab/>
      </w:r>
      <w:r w:rsidR="00163353" w:rsidRPr="00C52680">
        <w:rPr>
          <w:rFonts w:eastAsia="Times New Roman"/>
          <w:bCs/>
          <w:lang w:val="el-GR"/>
        </w:rPr>
        <w:tab/>
      </w:r>
      <w:r w:rsidR="004B1A86" w:rsidRPr="00C52680">
        <w:rPr>
          <w:rFonts w:eastAsia="Times New Roman"/>
          <w:bCs/>
          <w:lang w:val="el-GR"/>
        </w:rPr>
        <w:t>Σωτήρης Ιωάννου</w:t>
      </w:r>
    </w:p>
    <w:p w14:paraId="6CC31BC5" w14:textId="26338412" w:rsidR="00631C3C" w:rsidRPr="00C52680" w:rsidRDefault="00163353" w:rsidP="00631C3C">
      <w:pPr>
        <w:tabs>
          <w:tab w:val="clear" w:pos="4961"/>
          <w:tab w:val="center" w:pos="4677"/>
          <w:tab w:val="left" w:pos="4962"/>
        </w:tabs>
        <w:contextualSpacing/>
        <w:rPr>
          <w:rFonts w:eastAsia="Times New Roman"/>
          <w:bCs/>
          <w:lang w:val="el-GR"/>
        </w:rPr>
      </w:pPr>
      <w:r w:rsidRPr="00C52680">
        <w:rPr>
          <w:rFonts w:eastAsia="Times New Roman"/>
          <w:bCs/>
          <w:lang w:val="el-GR"/>
        </w:rPr>
        <w:tab/>
      </w:r>
      <w:r w:rsidR="004B45F2" w:rsidRPr="00C52680">
        <w:rPr>
          <w:rFonts w:eastAsia="Times New Roman"/>
          <w:bCs/>
          <w:lang w:val="el-GR"/>
        </w:rPr>
        <w:t>Ονούφριος Κουλλά</w:t>
      </w:r>
      <w:r w:rsidR="00631C3C" w:rsidRPr="00C52680">
        <w:rPr>
          <w:rFonts w:eastAsia="Times New Roman"/>
          <w:bCs/>
          <w:lang w:val="el-GR"/>
        </w:rPr>
        <w:tab/>
      </w:r>
      <w:r w:rsidR="00631C3C" w:rsidRPr="00C52680">
        <w:rPr>
          <w:rFonts w:eastAsia="Times New Roman"/>
          <w:bCs/>
          <w:lang w:val="el-GR"/>
        </w:rPr>
        <w:tab/>
      </w:r>
      <w:r w:rsidR="004B1A86" w:rsidRPr="00C52680">
        <w:rPr>
          <w:rFonts w:eastAsia="Times New Roman"/>
          <w:bCs/>
          <w:lang w:val="el-GR"/>
        </w:rPr>
        <w:t>Αλέκος Τρυφωνίδης</w:t>
      </w:r>
    </w:p>
    <w:p w14:paraId="58CFBC64" w14:textId="5A37FDCF" w:rsidR="006818B6" w:rsidRPr="00C52680" w:rsidRDefault="00990C77" w:rsidP="006818B6">
      <w:pPr>
        <w:tabs>
          <w:tab w:val="clear" w:pos="4961"/>
          <w:tab w:val="center" w:pos="4677"/>
          <w:tab w:val="left" w:pos="4962"/>
        </w:tabs>
        <w:contextualSpacing/>
        <w:rPr>
          <w:rFonts w:eastAsia="Times New Roman"/>
          <w:bCs/>
          <w:lang w:val="el-GR"/>
        </w:rPr>
      </w:pPr>
      <w:r w:rsidRPr="00C52680">
        <w:rPr>
          <w:rFonts w:eastAsia="Times New Roman"/>
          <w:b/>
          <w:bCs/>
          <w:lang w:val="el-GR"/>
        </w:rPr>
        <w:tab/>
      </w:r>
      <w:r w:rsidR="00163353" w:rsidRPr="00C52680">
        <w:rPr>
          <w:rFonts w:eastAsia="Times New Roman"/>
          <w:bCs/>
          <w:lang w:val="el-GR"/>
        </w:rPr>
        <w:t xml:space="preserve">Σάβια Ορφανίδου </w:t>
      </w:r>
      <w:r w:rsidR="00163353" w:rsidRPr="00C52680">
        <w:rPr>
          <w:rFonts w:eastAsia="Times New Roman"/>
          <w:bCs/>
          <w:lang w:val="el-GR"/>
        </w:rPr>
        <w:tab/>
      </w:r>
      <w:r w:rsidR="006818B6" w:rsidRPr="00C52680">
        <w:rPr>
          <w:rFonts w:eastAsia="Times New Roman"/>
          <w:bCs/>
          <w:lang w:val="el-GR"/>
        </w:rPr>
        <w:tab/>
      </w:r>
      <w:r w:rsidR="006818B6" w:rsidRPr="00C52680">
        <w:rPr>
          <w:rFonts w:eastAsia="Times New Roman"/>
          <w:b/>
          <w:lang w:val="el-GR"/>
        </w:rPr>
        <w:t>Μη μέλη της επιτροπής:</w:t>
      </w:r>
    </w:p>
    <w:p w14:paraId="5E0C221B" w14:textId="77777777" w:rsidR="002229C9" w:rsidRDefault="006818B6" w:rsidP="00990C77">
      <w:pPr>
        <w:contextualSpacing/>
        <w:rPr>
          <w:rFonts w:eastAsia="Times New Roman"/>
          <w:bCs/>
          <w:lang w:val="el-GR"/>
        </w:rPr>
      </w:pPr>
      <w:r w:rsidRPr="00C52680">
        <w:rPr>
          <w:rFonts w:eastAsia="Times New Roman"/>
          <w:b/>
          <w:bCs/>
          <w:lang w:val="el-GR"/>
        </w:rPr>
        <w:tab/>
      </w:r>
      <w:r w:rsidRPr="00C52680">
        <w:rPr>
          <w:rFonts w:eastAsia="Times New Roman"/>
          <w:bCs/>
          <w:lang w:val="el-GR"/>
        </w:rPr>
        <w:t>Άριστος Δαμιανού</w:t>
      </w:r>
      <w:r w:rsidRPr="00C52680">
        <w:rPr>
          <w:rFonts w:eastAsia="Times New Roman"/>
          <w:b/>
          <w:lang w:val="el-GR"/>
        </w:rPr>
        <w:t xml:space="preserve"> </w:t>
      </w:r>
      <w:r w:rsidRPr="00C52680">
        <w:rPr>
          <w:rFonts w:eastAsia="Times New Roman"/>
          <w:b/>
          <w:lang w:val="el-GR"/>
        </w:rPr>
        <w:tab/>
      </w:r>
      <w:r w:rsidRPr="00C52680">
        <w:rPr>
          <w:rFonts w:eastAsia="Times New Roman"/>
          <w:bCs/>
          <w:lang w:val="el-GR"/>
        </w:rPr>
        <w:t>Σταύρος Παπαδούρης</w:t>
      </w:r>
    </w:p>
    <w:p w14:paraId="3E07D8DA" w14:textId="7615ACBA" w:rsidR="00990C77" w:rsidRDefault="006818B6" w:rsidP="00990C77">
      <w:pPr>
        <w:contextualSpacing/>
        <w:rPr>
          <w:lang w:val="el-GR"/>
        </w:rPr>
      </w:pPr>
      <w:r>
        <w:rPr>
          <w:rFonts w:eastAsia="Times New Roman"/>
          <w:b/>
          <w:bCs/>
          <w:lang w:val="el-GR"/>
        </w:rPr>
        <w:tab/>
      </w:r>
      <w:r w:rsidR="00990C77">
        <w:rPr>
          <w:lang w:val="el-GR"/>
        </w:rPr>
        <w:t xml:space="preserve">Η Κοινοβουλευτική Επιτροπή </w:t>
      </w:r>
      <w:r w:rsidR="00990C77" w:rsidRPr="00206CDC">
        <w:rPr>
          <w:lang w:val="el-GR"/>
        </w:rPr>
        <w:t>Οικονομικών και Προϋπολογισμού</w:t>
      </w:r>
      <w:r w:rsidR="00990C77">
        <w:rPr>
          <w:lang w:val="el-GR"/>
        </w:rPr>
        <w:t xml:space="preserve"> μελέτησε το πιο πάνω νομοσχέδιο σε </w:t>
      </w:r>
      <w:r w:rsidR="0041034F">
        <w:rPr>
          <w:lang w:val="el-GR"/>
        </w:rPr>
        <w:t>τρεις</w:t>
      </w:r>
      <w:r w:rsidR="00990C77">
        <w:rPr>
          <w:lang w:val="el-GR"/>
        </w:rPr>
        <w:t xml:space="preserve"> συνεδρίες της, που πραγματοποιήθηκαν </w:t>
      </w:r>
      <w:r w:rsidR="0098139C">
        <w:rPr>
          <w:lang w:val="el-GR"/>
        </w:rPr>
        <w:t>στις 12</w:t>
      </w:r>
      <w:r w:rsidR="0041034F" w:rsidRPr="0041034F">
        <w:rPr>
          <w:lang w:val="el-GR"/>
        </w:rPr>
        <w:t>,</w:t>
      </w:r>
      <w:r w:rsidR="0041034F">
        <w:rPr>
          <w:lang w:val="el-GR"/>
        </w:rPr>
        <w:t xml:space="preserve"> </w:t>
      </w:r>
      <w:r w:rsidR="0098139C">
        <w:rPr>
          <w:lang w:val="el-GR"/>
        </w:rPr>
        <w:t>23</w:t>
      </w:r>
      <w:r w:rsidR="0041034F" w:rsidRPr="0041034F">
        <w:rPr>
          <w:lang w:val="el-GR"/>
        </w:rPr>
        <w:t xml:space="preserve"> </w:t>
      </w:r>
      <w:r w:rsidR="0041034F">
        <w:rPr>
          <w:lang w:val="el-GR"/>
        </w:rPr>
        <w:t>και 30</w:t>
      </w:r>
      <w:r w:rsidR="007F5EE8">
        <w:rPr>
          <w:lang w:val="el-GR"/>
        </w:rPr>
        <w:t xml:space="preserve"> </w:t>
      </w:r>
      <w:r w:rsidR="0098139C">
        <w:rPr>
          <w:lang w:val="el-GR"/>
        </w:rPr>
        <w:t xml:space="preserve">Μαΐου </w:t>
      </w:r>
      <w:r w:rsidR="005F7D82">
        <w:rPr>
          <w:lang w:val="el-GR"/>
        </w:rPr>
        <w:t xml:space="preserve"> 202</w:t>
      </w:r>
      <w:r w:rsidR="0098139C">
        <w:rPr>
          <w:lang w:val="el-GR"/>
        </w:rPr>
        <w:t>2</w:t>
      </w:r>
      <w:r w:rsidR="005F7D82">
        <w:rPr>
          <w:lang w:val="el-GR"/>
        </w:rPr>
        <w:t xml:space="preserve">. </w:t>
      </w:r>
      <w:r>
        <w:rPr>
          <w:lang w:val="el-GR"/>
        </w:rPr>
        <w:t xml:space="preserve"> </w:t>
      </w:r>
      <w:r w:rsidR="005F7D82">
        <w:rPr>
          <w:lang w:val="el-GR"/>
        </w:rPr>
        <w:t>Στ</w:t>
      </w:r>
      <w:r w:rsidR="0098139C">
        <w:rPr>
          <w:lang w:val="el-GR"/>
        </w:rPr>
        <w:t xml:space="preserve">ο πλαίσιο των συνεδριάσεων </w:t>
      </w:r>
      <w:r w:rsidR="008D557E">
        <w:rPr>
          <w:lang w:val="el-GR"/>
        </w:rPr>
        <w:t xml:space="preserve">της επιτροπής </w:t>
      </w:r>
      <w:r>
        <w:rPr>
          <w:lang w:val="el-GR"/>
        </w:rPr>
        <w:t>κλήθηκαν και παρευρέθηκαν</w:t>
      </w:r>
      <w:r w:rsidR="0041034F">
        <w:rPr>
          <w:lang w:val="el-GR"/>
        </w:rPr>
        <w:t xml:space="preserve"> </w:t>
      </w:r>
      <w:r w:rsidR="0098139C">
        <w:rPr>
          <w:lang w:val="el-GR"/>
        </w:rPr>
        <w:t>εκπρόσωποι</w:t>
      </w:r>
      <w:r w:rsidR="007F5EE8">
        <w:rPr>
          <w:lang w:val="el-GR"/>
        </w:rPr>
        <w:t xml:space="preserve"> του Υπουργείου Οικονομικών,</w:t>
      </w:r>
      <w:r w:rsidR="004B1A86">
        <w:rPr>
          <w:lang w:val="el-GR"/>
        </w:rPr>
        <w:t xml:space="preserve"> </w:t>
      </w:r>
      <w:r w:rsidR="0098139C">
        <w:rPr>
          <w:lang w:val="el-GR"/>
        </w:rPr>
        <w:t>του Υπουργείου Υγείας</w:t>
      </w:r>
      <w:r w:rsidR="00FC72F5">
        <w:rPr>
          <w:lang w:val="el-GR"/>
        </w:rPr>
        <w:t>, του Υπουργείου Μεταφορών, Επικοινωνιών και Έργων,</w:t>
      </w:r>
      <w:r w:rsidR="0098139C">
        <w:rPr>
          <w:lang w:val="el-GR"/>
        </w:rPr>
        <w:t xml:space="preserve"> του Υπουργείου Παιδείας, Πολιτισμού, Αθλητισμού και Νεολαίας, </w:t>
      </w:r>
      <w:r w:rsidR="00FC72F5">
        <w:rPr>
          <w:lang w:val="el-GR"/>
        </w:rPr>
        <w:t>του Υπουργείου Γεωργίας, Αγροτικής Ανάπτυξης και Περιβάλλοντος,</w:t>
      </w:r>
      <w:r w:rsidR="00450C62">
        <w:rPr>
          <w:lang w:val="el-GR"/>
        </w:rPr>
        <w:t xml:space="preserve"> </w:t>
      </w:r>
      <w:r w:rsidR="007F5EE8">
        <w:rPr>
          <w:lang w:val="el-GR"/>
        </w:rPr>
        <w:t>του</w:t>
      </w:r>
      <w:r w:rsidR="00FC72F5">
        <w:rPr>
          <w:lang w:val="el-GR"/>
        </w:rPr>
        <w:t xml:space="preserve"> Υφυπουργείου </w:t>
      </w:r>
      <w:r w:rsidR="0098139C">
        <w:rPr>
          <w:lang w:val="el-GR"/>
        </w:rPr>
        <w:t>Τουρισμού και του Υφυπουργείου Έρευνας, Καινοτομίας και Ψηφιακής Πολιτικής</w:t>
      </w:r>
      <w:r w:rsidR="00450C62">
        <w:rPr>
          <w:lang w:val="el-GR"/>
        </w:rPr>
        <w:t>.</w:t>
      </w:r>
      <w:r>
        <w:rPr>
          <w:lang w:val="el-GR"/>
        </w:rPr>
        <w:t xml:space="preserve">  </w:t>
      </w:r>
    </w:p>
    <w:p w14:paraId="44FF112F" w14:textId="2FE7EFD5" w:rsidR="005F7D82" w:rsidRDefault="00990C77" w:rsidP="00990C77">
      <w:pPr>
        <w:rPr>
          <w:lang w:val="el-GR"/>
        </w:rPr>
      </w:pPr>
      <w:r>
        <w:rPr>
          <w:lang w:val="el-GR"/>
        </w:rPr>
        <w:tab/>
        <w:t>Σκοπός του νόμου που προτείνεται είναι η έγκριση πληρωμής από τ</w:t>
      </w:r>
      <w:r w:rsidR="005F7D82">
        <w:rPr>
          <w:lang w:val="el-GR"/>
        </w:rPr>
        <w:t xml:space="preserve">ον λογαριασμό του Πάγιου Ταμείου </w:t>
      </w:r>
      <w:r w:rsidR="006818B6">
        <w:rPr>
          <w:lang w:val="el-GR"/>
        </w:rPr>
        <w:t xml:space="preserve">της Δημοκρατίας </w:t>
      </w:r>
      <w:r w:rsidR="005F7D82">
        <w:rPr>
          <w:lang w:val="el-GR"/>
        </w:rPr>
        <w:t>συμ</w:t>
      </w:r>
      <w:r>
        <w:rPr>
          <w:lang w:val="el-GR"/>
        </w:rPr>
        <w:t>πληρωμα</w:t>
      </w:r>
      <w:r w:rsidR="005F7D82">
        <w:rPr>
          <w:lang w:val="el-GR"/>
        </w:rPr>
        <w:t>τικ</w:t>
      </w:r>
      <w:r w:rsidR="00B37793">
        <w:rPr>
          <w:lang w:val="el-GR"/>
        </w:rPr>
        <w:t>ών πιστώσεων ύψους €</w:t>
      </w:r>
      <w:r w:rsidR="008D3AAA">
        <w:rPr>
          <w:lang w:val="el-GR"/>
        </w:rPr>
        <w:t>10</w:t>
      </w:r>
      <w:r w:rsidR="0098139C">
        <w:rPr>
          <w:lang w:val="el-GR"/>
        </w:rPr>
        <w:t>2</w:t>
      </w:r>
      <w:r w:rsidR="00B37793">
        <w:rPr>
          <w:lang w:val="el-GR"/>
        </w:rPr>
        <w:t>.</w:t>
      </w:r>
      <w:r w:rsidR="0098139C">
        <w:rPr>
          <w:lang w:val="el-GR"/>
        </w:rPr>
        <w:t>075</w:t>
      </w:r>
      <w:r w:rsidR="005F7D82">
        <w:rPr>
          <w:lang w:val="el-GR"/>
        </w:rPr>
        <w:t>.</w:t>
      </w:r>
      <w:r w:rsidR="0098139C">
        <w:rPr>
          <w:lang w:val="el-GR"/>
        </w:rPr>
        <w:t>815</w:t>
      </w:r>
      <w:r>
        <w:rPr>
          <w:lang w:val="el-GR"/>
        </w:rPr>
        <w:t xml:space="preserve"> και η χρήση </w:t>
      </w:r>
      <w:r w:rsidR="005F7D82">
        <w:rPr>
          <w:lang w:val="el-GR"/>
        </w:rPr>
        <w:t>τους για τη διενέργεια δαπανών προς υλοποίηση διάφορων σκοπών</w:t>
      </w:r>
      <w:r w:rsidR="006818B6">
        <w:rPr>
          <w:lang w:val="el-GR"/>
        </w:rPr>
        <w:t xml:space="preserve"> </w:t>
      </w:r>
      <w:r w:rsidR="005F7D82">
        <w:rPr>
          <w:lang w:val="el-GR"/>
        </w:rPr>
        <w:t>για τους οποίους δεν έχει γίνει οποιαδήπο</w:t>
      </w:r>
      <w:r w:rsidR="00631C3C">
        <w:rPr>
          <w:lang w:val="el-GR"/>
        </w:rPr>
        <w:t>τε πρόνοια ή η πρόνοια</w:t>
      </w:r>
      <w:r w:rsidR="005F7D82">
        <w:rPr>
          <w:lang w:val="el-GR"/>
        </w:rPr>
        <w:t xml:space="preserve"> που περιλήφθηκε στον </w:t>
      </w:r>
      <w:r w:rsidR="00B37793">
        <w:rPr>
          <w:lang w:val="el-GR"/>
        </w:rPr>
        <w:t>προϋπολογισμό</w:t>
      </w:r>
      <w:r w:rsidR="005F7D82">
        <w:rPr>
          <w:lang w:val="el-GR"/>
        </w:rPr>
        <w:t xml:space="preserve"> του 202</w:t>
      </w:r>
      <w:r w:rsidR="0098139C">
        <w:rPr>
          <w:lang w:val="el-GR"/>
        </w:rPr>
        <w:t>2</w:t>
      </w:r>
      <w:r w:rsidR="005F7D82">
        <w:rPr>
          <w:lang w:val="el-GR"/>
        </w:rPr>
        <w:t xml:space="preserve"> είναι ανεπαρκής. </w:t>
      </w:r>
    </w:p>
    <w:p w14:paraId="15C86579" w14:textId="2A0D7451" w:rsidR="00D339A7" w:rsidRDefault="00DF7D14" w:rsidP="00D339A7">
      <w:pPr>
        <w:rPr>
          <w:lang w:val="el-GR"/>
        </w:rPr>
      </w:pPr>
      <w:r>
        <w:rPr>
          <w:lang w:val="el-GR"/>
        </w:rPr>
        <w:tab/>
        <w:t xml:space="preserve">Σύμφωνα με τα </w:t>
      </w:r>
      <w:r w:rsidR="00FD3C2E">
        <w:rPr>
          <w:lang w:val="el-GR"/>
        </w:rPr>
        <w:t xml:space="preserve">κατατεθέντα </w:t>
      </w:r>
      <w:r>
        <w:rPr>
          <w:lang w:val="el-GR"/>
        </w:rPr>
        <w:t>στοιχεία</w:t>
      </w:r>
      <w:r w:rsidR="009A3418">
        <w:rPr>
          <w:lang w:val="el-GR"/>
        </w:rPr>
        <w:t>,</w:t>
      </w:r>
      <w:r>
        <w:rPr>
          <w:lang w:val="el-GR"/>
        </w:rPr>
        <w:t xml:space="preserve"> </w:t>
      </w:r>
      <w:r w:rsidR="00D339A7">
        <w:rPr>
          <w:lang w:val="el-GR"/>
        </w:rPr>
        <w:t>οι πιστώσεις που περιλήφθηκαν στον προϋπολογισμό του 2022 κάτω από τα άρθρα 04520 «Μέτρα Στήριξης</w:t>
      </w:r>
      <w:r w:rsidR="00E357E1" w:rsidRPr="00E357E1">
        <w:rPr>
          <w:lang w:val="el-GR"/>
        </w:rPr>
        <w:t>-</w:t>
      </w:r>
      <w:r w:rsidR="003A1055">
        <w:t>COVID</w:t>
      </w:r>
      <w:r w:rsidR="003A1055" w:rsidRPr="003A1055">
        <w:rPr>
          <w:lang w:val="el-GR"/>
        </w:rPr>
        <w:t>-19</w:t>
      </w:r>
      <w:r w:rsidR="00D339A7">
        <w:rPr>
          <w:lang w:val="el-GR"/>
        </w:rPr>
        <w:t xml:space="preserve">» και </w:t>
      </w:r>
      <w:r w:rsidR="00D339A7">
        <w:rPr>
          <w:lang w:val="el-GR"/>
        </w:rPr>
        <w:lastRenderedPageBreak/>
        <w:t>03852 «</w:t>
      </w:r>
      <w:r w:rsidR="00D339A7" w:rsidRPr="00D339A7">
        <w:rPr>
          <w:lang w:val="el-GR"/>
        </w:rPr>
        <w:t xml:space="preserve">Mη Προβλεπόμενες Δαπάνες και </w:t>
      </w:r>
      <w:r w:rsidR="00183AF4" w:rsidRPr="00D339A7">
        <w:rPr>
          <w:lang w:val="el-GR"/>
        </w:rPr>
        <w:t>Αποθεματικό</w:t>
      </w:r>
      <w:r w:rsidR="00D339A7">
        <w:rPr>
          <w:lang w:val="el-GR"/>
        </w:rPr>
        <w:t xml:space="preserve"> </w:t>
      </w:r>
      <w:r w:rsidR="00183AF4" w:rsidRPr="00D339A7">
        <w:rPr>
          <w:lang w:val="el-GR"/>
        </w:rPr>
        <w:t>Τακτικών</w:t>
      </w:r>
      <w:r w:rsidR="00D339A7" w:rsidRPr="00D339A7">
        <w:rPr>
          <w:lang w:val="el-GR"/>
        </w:rPr>
        <w:t xml:space="preserve"> Δαπανών</w:t>
      </w:r>
      <w:r w:rsidR="00D339A7">
        <w:rPr>
          <w:lang w:val="el-GR"/>
        </w:rPr>
        <w:t>» ύψους €30 εκατομ. και €51</w:t>
      </w:r>
      <w:r w:rsidR="00F84935" w:rsidRPr="00F84935">
        <w:rPr>
          <w:lang w:val="el-GR"/>
        </w:rPr>
        <w:t>,</w:t>
      </w:r>
      <w:r w:rsidR="00D339A7">
        <w:rPr>
          <w:lang w:val="el-GR"/>
        </w:rPr>
        <w:t>4 εκατομ, αντίστοιχα, κατέστησαν ανεπαρκ</w:t>
      </w:r>
      <w:r w:rsidR="00DF7904">
        <w:rPr>
          <w:lang w:val="el-GR"/>
        </w:rPr>
        <w:t>εί</w:t>
      </w:r>
      <w:r w:rsidR="00D339A7">
        <w:rPr>
          <w:lang w:val="el-GR"/>
        </w:rPr>
        <w:t xml:space="preserve">ς λόγω της εξέλιξης της πανδημίας </w:t>
      </w:r>
      <w:r w:rsidR="003A1055">
        <w:t>COVID</w:t>
      </w:r>
      <w:r w:rsidR="003A1055" w:rsidRPr="003A1055">
        <w:rPr>
          <w:lang w:val="el-GR"/>
        </w:rPr>
        <w:t>-19</w:t>
      </w:r>
      <w:r w:rsidR="00CC63FE" w:rsidRPr="00CC63FE">
        <w:rPr>
          <w:lang w:val="el-GR"/>
        </w:rPr>
        <w:t xml:space="preserve">, </w:t>
      </w:r>
      <w:r w:rsidR="00CC63FE">
        <w:rPr>
          <w:lang w:val="el-GR"/>
        </w:rPr>
        <w:t xml:space="preserve">καθώς </w:t>
      </w:r>
      <w:r w:rsidR="00B43AE3">
        <w:rPr>
          <w:lang w:val="el-GR"/>
        </w:rPr>
        <w:t xml:space="preserve">και </w:t>
      </w:r>
      <w:r w:rsidR="00FA2754">
        <w:rPr>
          <w:lang w:val="el-GR"/>
        </w:rPr>
        <w:t xml:space="preserve">των </w:t>
      </w:r>
      <w:r w:rsidR="00D339A7">
        <w:rPr>
          <w:lang w:val="el-GR"/>
        </w:rPr>
        <w:t>έκτακτων αναγκών που προέκυψαν συνεπεία του πολέμου στην Ουκρανία.</w:t>
      </w:r>
    </w:p>
    <w:p w14:paraId="53C42C2C" w14:textId="10C11575" w:rsidR="00DF7D14" w:rsidRPr="005F7D82" w:rsidRDefault="00E357E1" w:rsidP="00D339A7">
      <w:pPr>
        <w:rPr>
          <w:lang w:val="el-GR"/>
        </w:rPr>
      </w:pPr>
      <w:r>
        <w:rPr>
          <w:lang w:val="el-GR"/>
        </w:rPr>
        <w:tab/>
      </w:r>
      <w:r w:rsidR="00B43AE3">
        <w:rPr>
          <w:lang w:val="el-GR"/>
        </w:rPr>
        <w:t>Ο</w:t>
      </w:r>
      <w:r w:rsidR="00DF7D14">
        <w:rPr>
          <w:lang w:val="el-GR"/>
        </w:rPr>
        <w:t xml:space="preserve">ι συμπληρωματικές πιστώσεις που απαιτούνται αφορούν μεταξύ άλλων </w:t>
      </w:r>
      <w:r w:rsidR="008F275C">
        <w:rPr>
          <w:lang w:val="el-GR"/>
        </w:rPr>
        <w:t>σ</w:t>
      </w:r>
      <w:r w:rsidR="00DF7D14">
        <w:rPr>
          <w:lang w:val="el-GR"/>
        </w:rPr>
        <w:t>τα ακόλουθα</w:t>
      </w:r>
      <w:r w:rsidR="00DF7D14" w:rsidRPr="00186DF8">
        <w:rPr>
          <w:lang w:val="el-GR"/>
        </w:rPr>
        <w:t>:</w:t>
      </w:r>
      <w:r w:rsidR="00DF7D14">
        <w:rPr>
          <w:lang w:val="el-GR"/>
        </w:rPr>
        <w:t xml:space="preserve"> </w:t>
      </w:r>
    </w:p>
    <w:p w14:paraId="525FCE0F" w14:textId="293D3654" w:rsidR="00B43AE3" w:rsidRDefault="00183AF4" w:rsidP="00DF7D14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t>Α</w:t>
      </w:r>
      <w:r w:rsidR="00B43AE3" w:rsidRPr="00B43AE3">
        <w:rPr>
          <w:lang w:val="el-GR"/>
        </w:rPr>
        <w:t>γορά και διάθεση self</w:t>
      </w:r>
      <w:r>
        <w:rPr>
          <w:lang w:val="el-GR"/>
        </w:rPr>
        <w:t xml:space="preserve"> </w:t>
      </w:r>
      <w:r w:rsidR="00B43AE3" w:rsidRPr="00B43AE3">
        <w:rPr>
          <w:lang w:val="el-GR"/>
        </w:rPr>
        <w:t>test στους πολίτες μέσω των φαρμακείων</w:t>
      </w:r>
      <w:r w:rsidR="0058332D">
        <w:rPr>
          <w:lang w:val="el-GR"/>
        </w:rPr>
        <w:t xml:space="preserve">, </w:t>
      </w:r>
      <w:r w:rsidR="00B43AE3" w:rsidRPr="00B43AE3">
        <w:rPr>
          <w:lang w:val="el-GR"/>
        </w:rPr>
        <w:t>προμήθεια τεστ ταχείας ανίχνευσης αντιγόνου (rapid test)</w:t>
      </w:r>
      <w:r w:rsidR="00B43AE3">
        <w:rPr>
          <w:lang w:val="el-GR"/>
        </w:rPr>
        <w:t xml:space="preserve">, </w:t>
      </w:r>
      <w:r w:rsidR="00B43AE3" w:rsidRPr="00B43AE3">
        <w:rPr>
          <w:lang w:val="el-GR"/>
        </w:rPr>
        <w:t>αγορά υπηρεσιών</w:t>
      </w:r>
      <w:r w:rsidR="0058332D">
        <w:rPr>
          <w:lang w:val="el-GR"/>
        </w:rPr>
        <w:t xml:space="preserve"> </w:t>
      </w:r>
      <w:r w:rsidR="00B43AE3" w:rsidRPr="00B43AE3">
        <w:rPr>
          <w:lang w:val="el-GR"/>
        </w:rPr>
        <w:t>για συντονισμό και στελέχωση των ιατρείων δημόσιας</w:t>
      </w:r>
      <w:r w:rsidR="00B43AE3">
        <w:rPr>
          <w:lang w:val="el-GR"/>
        </w:rPr>
        <w:t xml:space="preserve"> </w:t>
      </w:r>
      <w:r w:rsidR="00B43AE3" w:rsidRPr="00B43AE3">
        <w:rPr>
          <w:lang w:val="el-GR"/>
        </w:rPr>
        <w:t xml:space="preserve">υγείας, </w:t>
      </w:r>
      <w:r w:rsidR="0058332D">
        <w:rPr>
          <w:lang w:val="el-GR"/>
        </w:rPr>
        <w:t xml:space="preserve">αγορά υπηρεσιών </w:t>
      </w:r>
      <w:r w:rsidR="00B43AE3" w:rsidRPr="00B43AE3">
        <w:rPr>
          <w:lang w:val="el-GR"/>
        </w:rPr>
        <w:t>από κινητές μονάδες για διεξαγωγή τεστ ταχείας ανίχνευσης</w:t>
      </w:r>
      <w:r w:rsidR="00B43AE3">
        <w:rPr>
          <w:lang w:val="el-GR"/>
        </w:rPr>
        <w:t xml:space="preserve"> </w:t>
      </w:r>
      <w:r w:rsidR="00B43AE3" w:rsidRPr="00B43AE3">
        <w:rPr>
          <w:lang w:val="el-GR"/>
        </w:rPr>
        <w:t xml:space="preserve">αντιγόνου, διενέργεια </w:t>
      </w:r>
      <w:r w:rsidR="00CC63FE" w:rsidRPr="00B43AE3">
        <w:rPr>
          <w:lang w:val="el-GR"/>
        </w:rPr>
        <w:t>test to stay</w:t>
      </w:r>
      <w:r w:rsidR="00CC63FE">
        <w:rPr>
          <w:lang w:val="el-GR"/>
        </w:rPr>
        <w:t xml:space="preserve"> και </w:t>
      </w:r>
      <w:r w:rsidR="00B43AE3" w:rsidRPr="00B43AE3">
        <w:rPr>
          <w:lang w:val="el-GR"/>
        </w:rPr>
        <w:t xml:space="preserve">μοριακών εξετάσεων </w:t>
      </w:r>
      <w:r w:rsidR="003A1055">
        <w:rPr>
          <w:lang w:val="el-GR"/>
        </w:rPr>
        <w:t>COVID-19</w:t>
      </w:r>
      <w:r w:rsidR="00B43AE3" w:rsidRPr="00B43AE3">
        <w:rPr>
          <w:lang w:val="el-GR"/>
        </w:rPr>
        <w:t>,</w:t>
      </w:r>
      <w:r w:rsidR="00B43AE3">
        <w:rPr>
          <w:lang w:val="el-GR"/>
        </w:rPr>
        <w:t xml:space="preserve"> </w:t>
      </w:r>
      <w:r w:rsidR="00B43AE3" w:rsidRPr="00B43AE3">
        <w:rPr>
          <w:lang w:val="el-GR"/>
        </w:rPr>
        <w:t>αποκατάσταση και φιλοξενία θετικών κρουσμάτων και διενέργεια</w:t>
      </w:r>
      <w:r w:rsidR="00B43AE3">
        <w:rPr>
          <w:lang w:val="el-GR"/>
        </w:rPr>
        <w:t xml:space="preserve"> </w:t>
      </w:r>
      <w:r w:rsidR="00B43AE3" w:rsidRPr="00B43AE3">
        <w:rPr>
          <w:lang w:val="el-GR"/>
        </w:rPr>
        <w:t>αλληλούχ</w:t>
      </w:r>
      <w:r w:rsidR="008425CC">
        <w:rPr>
          <w:lang w:val="el-GR"/>
        </w:rPr>
        <w:t>ι</w:t>
      </w:r>
      <w:bookmarkStart w:id="0" w:name="_GoBack"/>
      <w:bookmarkEnd w:id="0"/>
      <w:r w:rsidR="00B43AE3" w:rsidRPr="00B43AE3">
        <w:rPr>
          <w:lang w:val="el-GR"/>
        </w:rPr>
        <w:t>σης νέας γενιάς σε δείγματα ήδη επιβεβαιωμένων κρουσμάτων,</w:t>
      </w:r>
      <w:r w:rsidR="00B43AE3">
        <w:rPr>
          <w:lang w:val="el-GR"/>
        </w:rPr>
        <w:t xml:space="preserve"> </w:t>
      </w:r>
      <w:r w:rsidR="00B43AE3" w:rsidRPr="00B43AE3">
        <w:rPr>
          <w:lang w:val="el-GR"/>
        </w:rPr>
        <w:t>αγορά φαρμάκων και εμβολίων για την πανδημία,</w:t>
      </w:r>
      <w:r w:rsidR="00B43AE3">
        <w:rPr>
          <w:lang w:val="el-GR"/>
        </w:rPr>
        <w:t xml:space="preserve"> καταβολή </w:t>
      </w:r>
      <w:r w:rsidR="00B43AE3" w:rsidRPr="00B43AE3">
        <w:rPr>
          <w:lang w:val="el-GR"/>
        </w:rPr>
        <w:t>υπερωρ</w:t>
      </w:r>
      <w:r w:rsidR="00B43AE3">
        <w:rPr>
          <w:lang w:val="el-GR"/>
        </w:rPr>
        <w:t>ιών</w:t>
      </w:r>
      <w:r w:rsidR="0058332D">
        <w:rPr>
          <w:lang w:val="el-GR"/>
        </w:rPr>
        <w:t xml:space="preserve"> για την</w:t>
      </w:r>
      <w:r w:rsidR="00B43AE3" w:rsidRPr="00B43AE3">
        <w:rPr>
          <w:lang w:val="el-GR"/>
        </w:rPr>
        <w:t xml:space="preserve"> επίταξη ιατρών και νοσηλευτών και </w:t>
      </w:r>
      <w:r w:rsidR="0058332D">
        <w:rPr>
          <w:lang w:val="el-GR"/>
        </w:rPr>
        <w:t xml:space="preserve">την </w:t>
      </w:r>
      <w:r w:rsidR="00B43AE3" w:rsidRPr="00B43AE3">
        <w:rPr>
          <w:lang w:val="el-GR"/>
        </w:rPr>
        <w:t>παραπομπή ασθενών</w:t>
      </w:r>
      <w:r w:rsidR="00B43AE3">
        <w:rPr>
          <w:lang w:val="el-GR"/>
        </w:rPr>
        <w:t xml:space="preserve"> </w:t>
      </w:r>
      <w:r w:rsidR="00B43AE3" w:rsidRPr="00B43AE3">
        <w:rPr>
          <w:lang w:val="el-GR"/>
        </w:rPr>
        <w:t>στον ιδιωτικό τομέα, καθώς και διεξαγωγή ερευνών</w:t>
      </w:r>
      <w:r w:rsidR="0058332D">
        <w:rPr>
          <w:lang w:val="el-GR"/>
        </w:rPr>
        <w:t xml:space="preserve"> (€53.000.000)</w:t>
      </w:r>
      <w:r w:rsidR="00B43AE3" w:rsidRPr="00B43AE3">
        <w:rPr>
          <w:lang w:val="el-GR"/>
        </w:rPr>
        <w:t>.</w:t>
      </w:r>
    </w:p>
    <w:p w14:paraId="6C3B5D9B" w14:textId="28739729" w:rsidR="0058332D" w:rsidRDefault="00405CEF" w:rsidP="00DF7D14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t>Σ</w:t>
      </w:r>
      <w:r w:rsidR="0058332D" w:rsidRPr="0058332D">
        <w:rPr>
          <w:lang w:val="el-GR"/>
        </w:rPr>
        <w:t xml:space="preserve">τελέχωση </w:t>
      </w:r>
      <w:r w:rsidR="0058332D">
        <w:rPr>
          <w:lang w:val="el-GR"/>
        </w:rPr>
        <w:t xml:space="preserve">των </w:t>
      </w:r>
      <w:r w:rsidR="0058332D" w:rsidRPr="0058332D">
        <w:rPr>
          <w:lang w:val="el-GR"/>
        </w:rPr>
        <w:t>σημείων ελέγχου</w:t>
      </w:r>
      <w:r w:rsidR="00CC63FE">
        <w:rPr>
          <w:lang w:val="el-GR"/>
        </w:rPr>
        <w:t xml:space="preserve"> </w:t>
      </w:r>
      <w:r w:rsidR="003A1055">
        <w:t>COVID</w:t>
      </w:r>
      <w:r w:rsidR="003A1055" w:rsidRPr="003A1055">
        <w:rPr>
          <w:lang w:val="el-GR"/>
        </w:rPr>
        <w:t>-19</w:t>
      </w:r>
      <w:r w:rsidR="0058332D" w:rsidRPr="0058332D">
        <w:rPr>
          <w:lang w:val="el-GR"/>
        </w:rPr>
        <w:t xml:space="preserve"> </w:t>
      </w:r>
      <w:r w:rsidR="00CC63FE" w:rsidRPr="0058332D">
        <w:rPr>
          <w:lang w:val="el-GR"/>
        </w:rPr>
        <w:t>στα αεροδρόμια</w:t>
      </w:r>
      <w:r w:rsidR="00CC63FE">
        <w:rPr>
          <w:lang w:val="el-GR"/>
        </w:rPr>
        <w:t xml:space="preserve"> για έλεγχο των</w:t>
      </w:r>
      <w:r w:rsidR="00CC63FE" w:rsidRPr="0058332D">
        <w:rPr>
          <w:lang w:val="el-GR"/>
        </w:rPr>
        <w:t xml:space="preserve"> </w:t>
      </w:r>
      <w:r w:rsidR="0058332D" w:rsidRPr="0058332D">
        <w:rPr>
          <w:lang w:val="el-GR"/>
        </w:rPr>
        <w:t>υγειονομικ</w:t>
      </w:r>
      <w:r w:rsidR="00CC63FE">
        <w:rPr>
          <w:lang w:val="el-GR"/>
        </w:rPr>
        <w:t>ών</w:t>
      </w:r>
      <w:r w:rsidR="0058332D" w:rsidRPr="0058332D">
        <w:rPr>
          <w:lang w:val="el-GR"/>
        </w:rPr>
        <w:t xml:space="preserve"> </w:t>
      </w:r>
      <w:r w:rsidR="0057176D">
        <w:rPr>
          <w:lang w:val="el-GR"/>
        </w:rPr>
        <w:t>ε</w:t>
      </w:r>
      <w:r w:rsidR="00CC63FE">
        <w:rPr>
          <w:lang w:val="el-GR"/>
        </w:rPr>
        <w:t>γγρ</w:t>
      </w:r>
      <w:r w:rsidR="0057176D">
        <w:rPr>
          <w:lang w:val="el-GR"/>
        </w:rPr>
        <w:t>ά</w:t>
      </w:r>
      <w:r w:rsidR="00CC63FE">
        <w:rPr>
          <w:lang w:val="el-GR"/>
        </w:rPr>
        <w:t>φων</w:t>
      </w:r>
      <w:r w:rsidR="0058332D" w:rsidRPr="0058332D">
        <w:rPr>
          <w:lang w:val="el-GR"/>
        </w:rPr>
        <w:t>, διαχωρισμό των επιβατών</w:t>
      </w:r>
      <w:r w:rsidR="0058332D">
        <w:rPr>
          <w:lang w:val="el-GR"/>
        </w:rPr>
        <w:t xml:space="preserve"> </w:t>
      </w:r>
      <w:r w:rsidR="0058332D" w:rsidRPr="0058332D">
        <w:rPr>
          <w:lang w:val="el-GR"/>
        </w:rPr>
        <w:t>κατά την αποβίβασ</w:t>
      </w:r>
      <w:r w:rsidR="00183AF4">
        <w:rPr>
          <w:lang w:val="el-GR"/>
        </w:rPr>
        <w:t>ή</w:t>
      </w:r>
      <w:r w:rsidR="0058332D" w:rsidRPr="0058332D">
        <w:rPr>
          <w:lang w:val="el-GR"/>
        </w:rPr>
        <w:t xml:space="preserve"> </w:t>
      </w:r>
      <w:r w:rsidR="0058332D">
        <w:rPr>
          <w:lang w:val="el-GR"/>
        </w:rPr>
        <w:t>τους,</w:t>
      </w:r>
      <w:r w:rsidR="0058332D" w:rsidRPr="0058332D">
        <w:rPr>
          <w:lang w:val="el-GR"/>
        </w:rPr>
        <w:t xml:space="preserve"> καθώς και καθοδήγησ</w:t>
      </w:r>
      <w:r w:rsidR="0058332D">
        <w:rPr>
          <w:lang w:val="el-GR"/>
        </w:rPr>
        <w:t>ή</w:t>
      </w:r>
      <w:r w:rsidR="0058332D" w:rsidRPr="0058332D">
        <w:rPr>
          <w:lang w:val="el-GR"/>
        </w:rPr>
        <w:t xml:space="preserve"> τους στα εργαστήρια</w:t>
      </w:r>
      <w:r w:rsidR="0058332D">
        <w:rPr>
          <w:lang w:val="el-GR"/>
        </w:rPr>
        <w:t xml:space="preserve"> </w:t>
      </w:r>
      <w:r w:rsidR="0058332D" w:rsidRPr="0058332D">
        <w:rPr>
          <w:lang w:val="el-GR"/>
        </w:rPr>
        <w:t xml:space="preserve">διεξαγωγής εξετάσεων </w:t>
      </w:r>
      <w:r w:rsidR="003A1055">
        <w:t>COVID</w:t>
      </w:r>
      <w:r w:rsidR="003A1055" w:rsidRPr="003A1055">
        <w:rPr>
          <w:lang w:val="el-GR"/>
        </w:rPr>
        <w:t>-19</w:t>
      </w:r>
      <w:r w:rsidR="0058332D" w:rsidRPr="0058332D">
        <w:rPr>
          <w:lang w:val="el-GR"/>
        </w:rPr>
        <w:t xml:space="preserve"> (€700.000).</w:t>
      </w:r>
    </w:p>
    <w:p w14:paraId="34B5C7FA" w14:textId="64DB5464" w:rsidR="00405CEF" w:rsidRDefault="00405CEF" w:rsidP="00DF7D14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t>Καταβολή χορηγίας στις σχολικές εφορείες για δαπάνες</w:t>
      </w:r>
      <w:r w:rsidR="005E22B0">
        <w:rPr>
          <w:lang w:val="el-GR"/>
        </w:rPr>
        <w:t xml:space="preserve"> που αφορούν </w:t>
      </w:r>
      <w:r w:rsidR="0057176D">
        <w:rPr>
          <w:lang w:val="el-GR"/>
        </w:rPr>
        <w:t>σ</w:t>
      </w:r>
      <w:r w:rsidR="005E22B0">
        <w:rPr>
          <w:lang w:val="el-GR"/>
        </w:rPr>
        <w:t>την</w:t>
      </w:r>
      <w:r>
        <w:rPr>
          <w:lang w:val="el-GR"/>
        </w:rPr>
        <w:t xml:space="preserve"> απολύμανση σχολικών χώρων λόγω κρουσμάτων </w:t>
      </w:r>
      <w:r w:rsidR="003A1055">
        <w:t>COVID</w:t>
      </w:r>
      <w:r w:rsidR="003A1055" w:rsidRPr="003A1055">
        <w:rPr>
          <w:lang w:val="el-GR"/>
        </w:rPr>
        <w:t>-19</w:t>
      </w:r>
      <w:r>
        <w:rPr>
          <w:lang w:val="el-GR"/>
        </w:rPr>
        <w:t xml:space="preserve">, χρήση αιθουσών δημόσιων εκπαιδευτηρίων για διενέργεια </w:t>
      </w:r>
      <w:r w:rsidRPr="00B43AE3">
        <w:rPr>
          <w:lang w:val="el-GR"/>
        </w:rPr>
        <w:t>τεστ ταχείας ανίχνευσης</w:t>
      </w:r>
      <w:r>
        <w:rPr>
          <w:lang w:val="el-GR"/>
        </w:rPr>
        <w:t xml:space="preserve"> </w:t>
      </w:r>
      <w:r w:rsidRPr="00B43AE3">
        <w:rPr>
          <w:lang w:val="el-GR"/>
        </w:rPr>
        <w:t>αντιγόνου</w:t>
      </w:r>
      <w:r>
        <w:rPr>
          <w:lang w:val="el-GR"/>
        </w:rPr>
        <w:t>, λειτουργικά έξοδα και κατανάλωση ηλεκτρικού ρεύματος (€520.000)</w:t>
      </w:r>
      <w:r w:rsidR="00F84935" w:rsidRPr="00F84935">
        <w:rPr>
          <w:lang w:val="el-GR"/>
        </w:rPr>
        <w:t>.</w:t>
      </w:r>
    </w:p>
    <w:p w14:paraId="7D8BBE79" w14:textId="7D89A32D" w:rsidR="00405CEF" w:rsidRDefault="00405CEF" w:rsidP="00DF7D14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lastRenderedPageBreak/>
        <w:t>Αγορά υπηρεσιών</w:t>
      </w:r>
      <w:r w:rsidR="006D3451">
        <w:rPr>
          <w:lang w:val="el-GR"/>
        </w:rPr>
        <w:t xml:space="preserve"> </w:t>
      </w:r>
      <w:r>
        <w:rPr>
          <w:lang w:val="el-GR"/>
        </w:rPr>
        <w:t xml:space="preserve">για το κέντρο τηλεξυπηρέτησης του κοινού για παροχή πληροφοριών που αφορούν </w:t>
      </w:r>
      <w:r w:rsidR="005E22B0">
        <w:rPr>
          <w:lang w:val="el-GR"/>
        </w:rPr>
        <w:t>σ</w:t>
      </w:r>
      <w:r>
        <w:rPr>
          <w:lang w:val="el-GR"/>
        </w:rPr>
        <w:t xml:space="preserve">την πανδημία, </w:t>
      </w:r>
      <w:r w:rsidR="005E22B0">
        <w:rPr>
          <w:lang w:val="el-GR"/>
        </w:rPr>
        <w:t>σ</w:t>
      </w:r>
      <w:r w:rsidR="006D3451">
        <w:rPr>
          <w:lang w:val="el-GR"/>
        </w:rPr>
        <w:t xml:space="preserve">την </w:t>
      </w:r>
      <w:r>
        <w:rPr>
          <w:lang w:val="el-GR"/>
        </w:rPr>
        <w:t xml:space="preserve">υποστήριξη της </w:t>
      </w:r>
      <w:r w:rsidR="00292271">
        <w:rPr>
          <w:lang w:val="el-GR"/>
        </w:rPr>
        <w:t>πλατφόρμας</w:t>
      </w:r>
      <w:r>
        <w:rPr>
          <w:lang w:val="el-GR"/>
        </w:rPr>
        <w:t xml:space="preserve"> εμβολιασμού και </w:t>
      </w:r>
      <w:r w:rsidR="005E22B0">
        <w:rPr>
          <w:lang w:val="el-GR"/>
        </w:rPr>
        <w:t>σ</w:t>
      </w:r>
      <w:r w:rsidR="006D3451">
        <w:rPr>
          <w:lang w:val="el-GR"/>
        </w:rPr>
        <w:t xml:space="preserve">την </w:t>
      </w:r>
      <w:r>
        <w:rPr>
          <w:lang w:val="el-GR"/>
        </w:rPr>
        <w:t xml:space="preserve">παροχή πληροφοριών για το </w:t>
      </w:r>
      <w:r>
        <w:t>Cyprus</w:t>
      </w:r>
      <w:r w:rsidRPr="00405CEF">
        <w:rPr>
          <w:lang w:val="el-GR"/>
        </w:rPr>
        <w:t xml:space="preserve"> </w:t>
      </w:r>
      <w:r>
        <w:t>Flight</w:t>
      </w:r>
      <w:r w:rsidRPr="00405CEF">
        <w:rPr>
          <w:lang w:val="el-GR"/>
        </w:rPr>
        <w:t xml:space="preserve"> </w:t>
      </w:r>
      <w:r>
        <w:t>Pass</w:t>
      </w:r>
      <w:r w:rsidRPr="00405CEF">
        <w:rPr>
          <w:lang w:val="el-GR"/>
        </w:rPr>
        <w:t xml:space="preserve"> (€571.200)</w:t>
      </w:r>
      <w:r w:rsidR="00DF7904">
        <w:rPr>
          <w:lang w:val="el-GR"/>
        </w:rPr>
        <w:t>.</w:t>
      </w:r>
    </w:p>
    <w:p w14:paraId="05A5CF5F" w14:textId="6845F779" w:rsidR="00292271" w:rsidRDefault="00292271" w:rsidP="00DF7D14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t>Καταβολή αποζημίωσης στους τυροκόμους</w:t>
      </w:r>
      <w:r w:rsidR="005E22B0">
        <w:rPr>
          <w:lang w:val="el-GR"/>
        </w:rPr>
        <w:t>,</w:t>
      </w:r>
      <w:r>
        <w:rPr>
          <w:lang w:val="el-GR"/>
        </w:rPr>
        <w:t xml:space="preserve"> λόγω της επιβολής περιοριστικών μέτρων κατά τη διάρκεια της πανδημίας</w:t>
      </w:r>
      <w:r w:rsidR="005E22B0">
        <w:rPr>
          <w:lang w:val="el-GR"/>
        </w:rPr>
        <w:t xml:space="preserve"> στον επισιτιστικό τομέα</w:t>
      </w:r>
      <w:r>
        <w:rPr>
          <w:lang w:val="el-GR"/>
        </w:rPr>
        <w:t>, τα οποία επηρέασαν δυσμενώς την κατανάλωση τυροκομικών προϊόντων (€890.000).</w:t>
      </w:r>
    </w:p>
    <w:p w14:paraId="7F967DB9" w14:textId="104A67CE" w:rsidR="00292271" w:rsidRDefault="00292271" w:rsidP="00DF7D14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t xml:space="preserve">Στήριξη </w:t>
      </w:r>
      <w:r w:rsidR="005E22B0">
        <w:rPr>
          <w:lang w:val="el-GR"/>
        </w:rPr>
        <w:t>των</w:t>
      </w:r>
      <w:r>
        <w:rPr>
          <w:lang w:val="el-GR"/>
        </w:rPr>
        <w:t xml:space="preserve"> αεροπορικ</w:t>
      </w:r>
      <w:r w:rsidR="005E22B0">
        <w:rPr>
          <w:lang w:val="el-GR"/>
        </w:rPr>
        <w:t>ών</w:t>
      </w:r>
      <w:r>
        <w:rPr>
          <w:lang w:val="el-GR"/>
        </w:rPr>
        <w:t xml:space="preserve"> εταιρε</w:t>
      </w:r>
      <w:r w:rsidR="005E22B0">
        <w:rPr>
          <w:lang w:val="el-GR"/>
        </w:rPr>
        <w:t>ιών</w:t>
      </w:r>
      <w:r>
        <w:rPr>
          <w:lang w:val="el-GR"/>
        </w:rPr>
        <w:t xml:space="preserve"> για τη συνέχιση υλοποίησης του Σχεδίου Κινήτρων Συνδεσιμότητας και Ανάπτυξης Αερομεταφορών για την περίοδο Ιουλίου-Δεκεμβρίου 2021 (</w:t>
      </w:r>
      <w:r w:rsidR="00FA2754">
        <w:rPr>
          <w:lang w:val="el-GR"/>
        </w:rPr>
        <w:t>€5.784.615)</w:t>
      </w:r>
      <w:r>
        <w:rPr>
          <w:lang w:val="el-GR"/>
        </w:rPr>
        <w:t xml:space="preserve">. </w:t>
      </w:r>
    </w:p>
    <w:p w14:paraId="6773B530" w14:textId="643A7B18" w:rsidR="00FA2754" w:rsidRDefault="00FA2754" w:rsidP="00DF7D14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t>Έκτακτες δαπάνες που αναμένεται να προκύψουν κατά το δεύτερο τρίμηνο του 2022 λόγω της εξέλιξης της πανδημίας</w:t>
      </w:r>
      <w:r w:rsidR="00F84935" w:rsidRPr="00F84935">
        <w:rPr>
          <w:lang w:val="el-GR"/>
        </w:rPr>
        <w:t>,</w:t>
      </w:r>
      <w:r>
        <w:rPr>
          <w:lang w:val="el-GR"/>
        </w:rPr>
        <w:t xml:space="preserve"> περιλαμβανομένης της φιλοξενίας ασθενών</w:t>
      </w:r>
      <w:r w:rsidR="006D3451">
        <w:rPr>
          <w:lang w:val="el-GR"/>
        </w:rPr>
        <w:t xml:space="preserve"> </w:t>
      </w:r>
      <w:r>
        <w:rPr>
          <w:lang w:val="el-GR"/>
        </w:rPr>
        <w:t xml:space="preserve">θετικών στον </w:t>
      </w:r>
      <w:r w:rsidR="003A1055">
        <w:t>COVID</w:t>
      </w:r>
      <w:r w:rsidR="003A1055" w:rsidRPr="003A1055">
        <w:rPr>
          <w:lang w:val="el-GR"/>
        </w:rPr>
        <w:t>-19</w:t>
      </w:r>
      <w:r>
        <w:rPr>
          <w:lang w:val="el-GR"/>
        </w:rPr>
        <w:t>, καθώς και της εφαρμογή</w:t>
      </w:r>
      <w:r w:rsidR="006D3451">
        <w:rPr>
          <w:lang w:val="el-GR"/>
        </w:rPr>
        <w:t>ς</w:t>
      </w:r>
      <w:r>
        <w:rPr>
          <w:lang w:val="el-GR"/>
        </w:rPr>
        <w:t xml:space="preserve"> του </w:t>
      </w:r>
      <w:r w:rsidR="006D3451">
        <w:rPr>
          <w:lang w:val="el-GR"/>
        </w:rPr>
        <w:t>π</w:t>
      </w:r>
      <w:r>
        <w:rPr>
          <w:lang w:val="el-GR"/>
        </w:rPr>
        <w:t xml:space="preserve">ρογράμματος </w:t>
      </w:r>
      <w:r w:rsidR="006D3451">
        <w:rPr>
          <w:lang w:val="el-GR"/>
        </w:rPr>
        <w:t>ε</w:t>
      </w:r>
      <w:r>
        <w:rPr>
          <w:lang w:val="el-GR"/>
        </w:rPr>
        <w:t xml:space="preserve">πιχορηγημένων </w:t>
      </w:r>
      <w:r w:rsidR="006D3451">
        <w:rPr>
          <w:lang w:val="el-GR"/>
        </w:rPr>
        <w:t>δ</w:t>
      </w:r>
      <w:r>
        <w:rPr>
          <w:lang w:val="el-GR"/>
        </w:rPr>
        <w:t>ιακοπών (€10.000.000)</w:t>
      </w:r>
      <w:r w:rsidR="00405CEF" w:rsidRPr="00405CEF">
        <w:rPr>
          <w:lang w:val="el-GR"/>
        </w:rPr>
        <w:t xml:space="preserve">. </w:t>
      </w:r>
      <w:r w:rsidR="00405CEF">
        <w:rPr>
          <w:lang w:val="el-GR"/>
        </w:rPr>
        <w:t xml:space="preserve"> </w:t>
      </w:r>
    </w:p>
    <w:p w14:paraId="10DC5D40" w14:textId="1B23E4F5" w:rsidR="00211032" w:rsidRDefault="00FA2754" w:rsidP="00DF7D14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t>Α</w:t>
      </w:r>
      <w:r w:rsidR="00775ECD">
        <w:rPr>
          <w:lang w:val="el-GR"/>
        </w:rPr>
        <w:t>γορά</w:t>
      </w:r>
      <w:r w:rsidR="00B05020" w:rsidRPr="00B05020">
        <w:rPr>
          <w:lang w:val="el-GR"/>
        </w:rPr>
        <w:t xml:space="preserve"> </w:t>
      </w:r>
      <w:r w:rsidR="00B05020">
        <w:rPr>
          <w:lang w:val="el-GR"/>
        </w:rPr>
        <w:t>και διαχείριση</w:t>
      </w:r>
      <w:r w:rsidR="00775ECD">
        <w:rPr>
          <w:lang w:val="el-GR"/>
        </w:rPr>
        <w:t xml:space="preserve"> σιτηρών </w:t>
      </w:r>
      <w:r w:rsidR="00B05020">
        <w:rPr>
          <w:lang w:val="el-GR"/>
        </w:rPr>
        <w:t>για περίοδο ενός έτους για σκοπούς διατήρησης αποθέματος, λόγω των επιπτώσεων του πολέμου στην Ουκρανία</w:t>
      </w:r>
      <w:r w:rsidR="00211032">
        <w:rPr>
          <w:lang w:val="el-GR"/>
        </w:rPr>
        <w:t xml:space="preserve"> (€</w:t>
      </w:r>
      <w:r w:rsidR="008D3AAA">
        <w:rPr>
          <w:lang w:val="el-GR"/>
        </w:rPr>
        <w:t>1</w:t>
      </w:r>
      <w:r w:rsidR="00B05020">
        <w:rPr>
          <w:lang w:val="el-GR"/>
        </w:rPr>
        <w:t>8</w:t>
      </w:r>
      <w:r w:rsidR="00211032">
        <w:rPr>
          <w:lang w:val="el-GR"/>
        </w:rPr>
        <w:t>.</w:t>
      </w:r>
      <w:r w:rsidR="00B05020">
        <w:rPr>
          <w:lang w:val="el-GR"/>
        </w:rPr>
        <w:t>000</w:t>
      </w:r>
      <w:r w:rsidR="00211032">
        <w:rPr>
          <w:lang w:val="el-GR"/>
        </w:rPr>
        <w:t>.000).</w:t>
      </w:r>
    </w:p>
    <w:p w14:paraId="5A3C6A36" w14:textId="5A60EC90" w:rsidR="00FA2754" w:rsidRDefault="00FA2754" w:rsidP="00B05020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t>Σ</w:t>
      </w:r>
      <w:r w:rsidR="00B05020" w:rsidRPr="00B05020">
        <w:rPr>
          <w:lang w:val="el-GR"/>
        </w:rPr>
        <w:t xml:space="preserve">τήριξη και </w:t>
      </w:r>
      <w:r>
        <w:rPr>
          <w:lang w:val="el-GR"/>
        </w:rPr>
        <w:t xml:space="preserve">φιλοξενία </w:t>
      </w:r>
      <w:r w:rsidR="00B05020" w:rsidRPr="00B05020">
        <w:rPr>
          <w:lang w:val="el-GR"/>
        </w:rPr>
        <w:t>εκτοπισθέντων προσφύγων από την Ουκρανία</w:t>
      </w:r>
      <w:r>
        <w:rPr>
          <w:lang w:val="el-GR"/>
        </w:rPr>
        <w:t xml:space="preserve"> (€5.000.000).</w:t>
      </w:r>
    </w:p>
    <w:p w14:paraId="6B298CCA" w14:textId="36A6E4A2" w:rsidR="00B05020" w:rsidRDefault="004846AD" w:rsidP="00B05020">
      <w:pPr>
        <w:pStyle w:val="ListParagraph"/>
        <w:numPr>
          <w:ilvl w:val="0"/>
          <w:numId w:val="1"/>
        </w:numPr>
        <w:ind w:left="567" w:hanging="567"/>
        <w:rPr>
          <w:lang w:val="el-GR"/>
        </w:rPr>
      </w:pPr>
      <w:r>
        <w:rPr>
          <w:lang w:val="el-GR"/>
        </w:rPr>
        <w:t>Στήριξη</w:t>
      </w:r>
      <w:r w:rsidR="00B05020" w:rsidRPr="00B05020">
        <w:rPr>
          <w:lang w:val="el-GR"/>
        </w:rPr>
        <w:t xml:space="preserve"> των αιγοπροβατοτρόφων, των αγελαδοτρόφων</w:t>
      </w:r>
      <w:r w:rsidR="00DF7904">
        <w:rPr>
          <w:lang w:val="el-GR"/>
        </w:rPr>
        <w:t xml:space="preserve"> και</w:t>
      </w:r>
      <w:r w:rsidR="00B05020" w:rsidRPr="00B05020">
        <w:rPr>
          <w:lang w:val="el-GR"/>
        </w:rPr>
        <w:t xml:space="preserve"> των χοιροτρόφων</w:t>
      </w:r>
      <w:r w:rsidR="00DF7904">
        <w:rPr>
          <w:lang w:val="el-GR"/>
        </w:rPr>
        <w:t>, καθώς</w:t>
      </w:r>
      <w:r w:rsidR="00B05020" w:rsidRPr="00B05020">
        <w:rPr>
          <w:lang w:val="el-GR"/>
        </w:rPr>
        <w:t xml:space="preserve"> και</w:t>
      </w:r>
      <w:r>
        <w:rPr>
          <w:lang w:val="el-GR"/>
        </w:rPr>
        <w:t xml:space="preserve"> δαπάνες για την</w:t>
      </w:r>
      <w:r w:rsidR="00B05020" w:rsidRPr="00B05020">
        <w:rPr>
          <w:lang w:val="el-GR"/>
        </w:rPr>
        <w:t xml:space="preserve"> αποθεματοποίηση χοίρειου κρέατος</w:t>
      </w:r>
      <w:r w:rsidR="00B05020">
        <w:rPr>
          <w:lang w:val="el-GR"/>
        </w:rPr>
        <w:t xml:space="preserve"> (€</w:t>
      </w:r>
      <w:r>
        <w:rPr>
          <w:lang w:val="el-GR"/>
        </w:rPr>
        <w:t>7</w:t>
      </w:r>
      <w:r w:rsidR="00B05020">
        <w:rPr>
          <w:lang w:val="el-GR"/>
        </w:rPr>
        <w:t>.6</w:t>
      </w:r>
      <w:r>
        <w:rPr>
          <w:lang w:val="el-GR"/>
        </w:rPr>
        <w:t>0</w:t>
      </w:r>
      <w:r w:rsidR="00B05020">
        <w:rPr>
          <w:lang w:val="el-GR"/>
        </w:rPr>
        <w:t>0.000)</w:t>
      </w:r>
      <w:r w:rsidR="00B05020" w:rsidRPr="00B05020">
        <w:rPr>
          <w:lang w:val="el-GR"/>
        </w:rPr>
        <w:t>.</w:t>
      </w:r>
    </w:p>
    <w:p w14:paraId="7CAF0704" w14:textId="2D458D08" w:rsidR="002F5442" w:rsidRDefault="002F5442" w:rsidP="00E357E1">
      <w:pPr>
        <w:pStyle w:val="ListParagraph"/>
        <w:tabs>
          <w:tab w:val="clear" w:pos="4961"/>
          <w:tab w:val="left" w:pos="0"/>
        </w:tabs>
        <w:ind w:left="0"/>
        <w:rPr>
          <w:lang w:val="el-GR"/>
        </w:rPr>
      </w:pPr>
      <w:r>
        <w:rPr>
          <w:lang w:val="el-GR"/>
        </w:rPr>
        <w:tab/>
      </w:r>
      <w:r w:rsidRPr="002D5687">
        <w:rPr>
          <w:lang w:val="el-GR"/>
        </w:rPr>
        <w:t>Στο πλαίσιο της συζήτησης του θέματος</w:t>
      </w:r>
      <w:r>
        <w:rPr>
          <w:lang w:val="el-GR"/>
        </w:rPr>
        <w:t>,</w:t>
      </w:r>
      <w:r w:rsidRPr="00935F0D">
        <w:rPr>
          <w:lang w:val="el-GR"/>
        </w:rPr>
        <w:t xml:space="preserve"> </w:t>
      </w:r>
      <w:r>
        <w:rPr>
          <w:lang w:val="el-GR"/>
        </w:rPr>
        <w:t>η εκπρόσωπος του Υπουργείου Οικονομικών</w:t>
      </w:r>
      <w:r w:rsidR="0057176D">
        <w:rPr>
          <w:lang w:val="el-GR"/>
        </w:rPr>
        <w:t>,</w:t>
      </w:r>
      <w:r>
        <w:rPr>
          <w:lang w:val="el-GR"/>
        </w:rPr>
        <w:t xml:space="preserve"> αφού ανέλυσε τα επιμέρους κονδύλια του προϋπολογισμού</w:t>
      </w:r>
      <w:r w:rsidR="0057176D">
        <w:rPr>
          <w:lang w:val="el-GR"/>
        </w:rPr>
        <w:t>,</w:t>
      </w:r>
      <w:r>
        <w:rPr>
          <w:lang w:val="el-GR"/>
        </w:rPr>
        <w:t xml:space="preserve"> δήλωσε ότι η υπολογιζόμενη επίπτωση στο δημοσιονομικό ισοζύγιο από την έγκριση του υπό αναφορά συμπληρωματικού προϋπολογισμού</w:t>
      </w:r>
      <w:r w:rsidR="0057176D">
        <w:rPr>
          <w:lang w:val="el-GR"/>
        </w:rPr>
        <w:t xml:space="preserve"> </w:t>
      </w:r>
      <w:r>
        <w:rPr>
          <w:lang w:val="el-GR"/>
        </w:rPr>
        <w:t>αναμένεται να ανέλθει στο 0</w:t>
      </w:r>
      <w:r w:rsidRPr="00FF1D5E">
        <w:rPr>
          <w:lang w:val="el-GR"/>
        </w:rPr>
        <w:t>,</w:t>
      </w:r>
      <w:r>
        <w:rPr>
          <w:lang w:val="el-GR"/>
        </w:rPr>
        <w:t xml:space="preserve">4% του </w:t>
      </w:r>
      <w:r w:rsidR="005F233E">
        <w:rPr>
          <w:lang w:val="el-GR"/>
        </w:rPr>
        <w:t>α</w:t>
      </w:r>
      <w:r w:rsidRPr="002E7A10">
        <w:rPr>
          <w:lang w:val="el-GR"/>
        </w:rPr>
        <w:t xml:space="preserve">καθάριστου </w:t>
      </w:r>
      <w:r w:rsidR="005F233E">
        <w:rPr>
          <w:lang w:val="el-GR"/>
        </w:rPr>
        <w:t>ε</w:t>
      </w:r>
      <w:r w:rsidRPr="002E7A10">
        <w:rPr>
          <w:lang w:val="el-GR"/>
        </w:rPr>
        <w:t xml:space="preserve">γχώριου </w:t>
      </w:r>
      <w:r w:rsidR="005F233E">
        <w:rPr>
          <w:lang w:val="el-GR"/>
        </w:rPr>
        <w:t>π</w:t>
      </w:r>
      <w:r w:rsidRPr="002E7A10">
        <w:rPr>
          <w:lang w:val="el-GR"/>
        </w:rPr>
        <w:t>ροϊόντος</w:t>
      </w:r>
      <w:r>
        <w:rPr>
          <w:lang w:val="el-GR"/>
        </w:rPr>
        <w:t xml:space="preserve"> (ΑΕΠ). </w:t>
      </w:r>
    </w:p>
    <w:p w14:paraId="61925C22" w14:textId="38860315" w:rsidR="00A71AA8" w:rsidRDefault="000156A1" w:rsidP="003B3F20">
      <w:pPr>
        <w:rPr>
          <w:lang w:val="el-GR"/>
        </w:rPr>
      </w:pPr>
      <w:r>
        <w:rPr>
          <w:lang w:val="el-GR"/>
        </w:rPr>
        <w:tab/>
      </w:r>
      <w:r w:rsidR="003B3F20">
        <w:rPr>
          <w:lang w:val="el-GR"/>
        </w:rPr>
        <w:t xml:space="preserve">Στο στάδιο της εξέτασης του προτεινόμενου προϋπολογισμού </w:t>
      </w:r>
      <w:r w:rsidR="00532EF0">
        <w:rPr>
          <w:lang w:val="el-GR"/>
        </w:rPr>
        <w:t xml:space="preserve">μέλη της επιτροπής </w:t>
      </w:r>
      <w:r w:rsidR="0089073D">
        <w:rPr>
          <w:lang w:val="el-GR"/>
        </w:rPr>
        <w:t xml:space="preserve">ζήτησαν </w:t>
      </w:r>
      <w:r w:rsidR="006E464E">
        <w:rPr>
          <w:lang w:val="el-GR"/>
        </w:rPr>
        <w:t>διευκρινήσει</w:t>
      </w:r>
      <w:r w:rsidR="0057176D">
        <w:rPr>
          <w:lang w:val="el-GR"/>
        </w:rPr>
        <w:t>ς</w:t>
      </w:r>
      <w:r w:rsidR="00A075BE">
        <w:rPr>
          <w:lang w:val="el-GR"/>
        </w:rPr>
        <w:t xml:space="preserve"> από τα αρμόδια υπουργεία</w:t>
      </w:r>
      <w:r w:rsidR="006E464E">
        <w:rPr>
          <w:lang w:val="el-GR"/>
        </w:rPr>
        <w:t xml:space="preserve"> </w:t>
      </w:r>
      <w:r w:rsidR="0057176D">
        <w:rPr>
          <w:lang w:val="el-GR"/>
        </w:rPr>
        <w:t>για τα</w:t>
      </w:r>
      <w:r w:rsidR="006E464E">
        <w:rPr>
          <w:lang w:val="el-GR"/>
        </w:rPr>
        <w:t xml:space="preserve"> επιμέρους </w:t>
      </w:r>
      <w:r w:rsidR="00CE2ACC">
        <w:rPr>
          <w:lang w:val="el-GR"/>
        </w:rPr>
        <w:t>κονδύλια</w:t>
      </w:r>
      <w:r w:rsidR="006E464E">
        <w:rPr>
          <w:lang w:val="el-GR"/>
        </w:rPr>
        <w:t xml:space="preserve"> του </w:t>
      </w:r>
      <w:r w:rsidR="006E464E">
        <w:rPr>
          <w:lang w:val="el-GR"/>
        </w:rPr>
        <w:lastRenderedPageBreak/>
        <w:t xml:space="preserve">προϋπολογισμού, καθώς και </w:t>
      </w:r>
      <w:r w:rsidR="0089073D">
        <w:rPr>
          <w:lang w:val="el-GR"/>
        </w:rPr>
        <w:t>την κατάθεση στοιχείων</w:t>
      </w:r>
      <w:r w:rsidR="00A71AA8">
        <w:rPr>
          <w:lang w:val="el-GR"/>
        </w:rPr>
        <w:t xml:space="preserve"> που αφορούν μεταξύ άλλων</w:t>
      </w:r>
      <w:r w:rsidR="0089073D">
        <w:rPr>
          <w:lang w:val="el-GR"/>
        </w:rPr>
        <w:t xml:space="preserve"> </w:t>
      </w:r>
      <w:r w:rsidR="00A71AA8">
        <w:rPr>
          <w:lang w:val="el-GR"/>
        </w:rPr>
        <w:t>σ</w:t>
      </w:r>
      <w:r w:rsidR="0089073D">
        <w:rPr>
          <w:lang w:val="el-GR"/>
        </w:rPr>
        <w:t xml:space="preserve">τις δαπάνες </w:t>
      </w:r>
      <w:r w:rsidR="000D5B29">
        <w:rPr>
          <w:lang w:val="el-GR"/>
        </w:rPr>
        <w:t xml:space="preserve">και στο πλάνο του Υπουργείου Υγείας σε σχέση </w:t>
      </w:r>
      <w:r w:rsidR="0089073D">
        <w:rPr>
          <w:lang w:val="el-GR"/>
        </w:rPr>
        <w:t xml:space="preserve">την πανδημία </w:t>
      </w:r>
      <w:r w:rsidR="003A1055">
        <w:t>COVID</w:t>
      </w:r>
      <w:r w:rsidR="003A1055" w:rsidRPr="003A1055">
        <w:rPr>
          <w:lang w:val="el-GR"/>
        </w:rPr>
        <w:t>-19</w:t>
      </w:r>
      <w:r w:rsidR="0089073D">
        <w:rPr>
          <w:lang w:val="el-GR"/>
        </w:rPr>
        <w:t xml:space="preserve">, </w:t>
      </w:r>
      <w:r w:rsidR="00CE2ACC">
        <w:rPr>
          <w:lang w:val="el-GR"/>
        </w:rPr>
        <w:t xml:space="preserve">στη λειτουργία του τηλεφωνικού κέντρου για παροχή πληροφόρησης </w:t>
      </w:r>
      <w:r w:rsidR="000D5B29">
        <w:rPr>
          <w:lang w:val="el-GR"/>
        </w:rPr>
        <w:t>ως προς</w:t>
      </w:r>
      <w:r w:rsidR="00CE2ACC">
        <w:rPr>
          <w:lang w:val="el-GR"/>
        </w:rPr>
        <w:t xml:space="preserve"> την πανδημία</w:t>
      </w:r>
      <w:r w:rsidR="00CE2ACC" w:rsidRPr="00CE2ACC">
        <w:rPr>
          <w:lang w:val="el-GR"/>
        </w:rPr>
        <w:t xml:space="preserve">, </w:t>
      </w:r>
      <w:r w:rsidR="00A71AA8">
        <w:rPr>
          <w:lang w:val="el-GR"/>
        </w:rPr>
        <w:t>σ</w:t>
      </w:r>
      <w:r w:rsidR="0089073D">
        <w:rPr>
          <w:lang w:val="el-GR"/>
        </w:rPr>
        <w:t xml:space="preserve">το Σχέδιο Κινήτρων Συνδεσιμότητας και Ανάπτυξης Αερομεταφορών, </w:t>
      </w:r>
      <w:r w:rsidR="00A71AA8">
        <w:rPr>
          <w:lang w:val="el-GR"/>
        </w:rPr>
        <w:t>σ</w:t>
      </w:r>
      <w:r w:rsidR="0089073D">
        <w:rPr>
          <w:lang w:val="el-GR"/>
        </w:rPr>
        <w:t xml:space="preserve">τη συμφωνία για αγορά υπηρεσιών αποθήκευσης, συντήρησης και διαχείρισης αποθεμάτων σιτηρών, </w:t>
      </w:r>
      <w:r w:rsidR="00A71AA8">
        <w:rPr>
          <w:lang w:val="el-GR"/>
        </w:rPr>
        <w:t>στο σχέδιο στήριξης των τυροκόμων, καθώς και στο σχέδιο στήριξης Ουκρανών προσφύγων.</w:t>
      </w:r>
      <w:r w:rsidR="0089073D">
        <w:rPr>
          <w:lang w:val="el-GR"/>
        </w:rPr>
        <w:t xml:space="preserve">   </w:t>
      </w:r>
    </w:p>
    <w:p w14:paraId="4EB27908" w14:textId="3BB973D8" w:rsidR="006E464E" w:rsidRPr="006E464E" w:rsidRDefault="00A71AA8" w:rsidP="003B3F20">
      <w:pPr>
        <w:rPr>
          <w:lang w:val="el-GR"/>
        </w:rPr>
      </w:pPr>
      <w:r>
        <w:rPr>
          <w:lang w:val="el-GR"/>
        </w:rPr>
        <w:tab/>
      </w:r>
      <w:r w:rsidR="006E464E">
        <w:rPr>
          <w:lang w:val="el-GR"/>
        </w:rPr>
        <w:t>Σε σχέση με τα τ</w:t>
      </w:r>
      <w:r w:rsidR="00275EE9">
        <w:rPr>
          <w:lang w:val="el-GR"/>
        </w:rPr>
        <w:t>ε</w:t>
      </w:r>
      <w:r w:rsidR="006E464E">
        <w:rPr>
          <w:lang w:val="el-GR"/>
        </w:rPr>
        <w:t>θέντ</w:t>
      </w:r>
      <w:r w:rsidR="00275EE9">
        <w:rPr>
          <w:lang w:val="el-GR"/>
        </w:rPr>
        <w:t>α</w:t>
      </w:r>
      <w:r w:rsidR="006E464E">
        <w:rPr>
          <w:lang w:val="el-GR"/>
        </w:rPr>
        <w:t xml:space="preserve"> ζητήματα ο</w:t>
      </w:r>
      <w:r>
        <w:rPr>
          <w:lang w:val="el-GR"/>
        </w:rPr>
        <w:t xml:space="preserve"> εκπρόσωπος του Υπουργείου Γεωργίας, Αγροτικής Ανάπτυξης και Περιβάλλοντος δήλωσε </w:t>
      </w:r>
      <w:r w:rsidR="006E464E">
        <w:rPr>
          <w:lang w:val="el-GR"/>
        </w:rPr>
        <w:t>τα ακόλουθα</w:t>
      </w:r>
      <w:r w:rsidR="006E464E" w:rsidRPr="006E464E">
        <w:rPr>
          <w:lang w:val="el-GR"/>
        </w:rPr>
        <w:t>:</w:t>
      </w:r>
    </w:p>
    <w:p w14:paraId="2E15B428" w14:textId="125D45F8" w:rsidR="006E464E" w:rsidRPr="00855257" w:rsidRDefault="00275EE9" w:rsidP="00855257">
      <w:pPr>
        <w:pStyle w:val="ListParagraph"/>
        <w:numPr>
          <w:ilvl w:val="0"/>
          <w:numId w:val="11"/>
        </w:numPr>
        <w:ind w:left="567" w:hanging="567"/>
        <w:rPr>
          <w:lang w:val="el-GR"/>
        </w:rPr>
      </w:pPr>
      <w:r>
        <w:rPr>
          <w:lang w:val="el-GR"/>
        </w:rPr>
        <w:t xml:space="preserve">Το </w:t>
      </w:r>
      <w:r w:rsidR="006E464E" w:rsidRPr="00855257">
        <w:rPr>
          <w:lang w:val="el-GR"/>
        </w:rPr>
        <w:t xml:space="preserve">Υπουργείο Γεωργίας, Αγροτικής Ανάπτυξης και Περιβάλλοντος </w:t>
      </w:r>
      <w:r w:rsidR="000D5B29">
        <w:rPr>
          <w:lang w:val="el-GR"/>
        </w:rPr>
        <w:t xml:space="preserve">λαμβάνει πληροφόρηση σε </w:t>
      </w:r>
      <w:r w:rsidR="00A71AA8" w:rsidRPr="00855257">
        <w:rPr>
          <w:lang w:val="el-GR"/>
        </w:rPr>
        <w:t>καθημεριν</w:t>
      </w:r>
      <w:r w:rsidR="000D5B29">
        <w:rPr>
          <w:lang w:val="el-GR"/>
        </w:rPr>
        <w:t>ή βάση από</w:t>
      </w:r>
      <w:r w:rsidR="00A71AA8" w:rsidRPr="00855257">
        <w:rPr>
          <w:lang w:val="el-GR"/>
        </w:rPr>
        <w:t xml:space="preserve"> τους εισαγωγείς σιτηρών</w:t>
      </w:r>
      <w:r w:rsidR="000D5B29">
        <w:rPr>
          <w:lang w:val="el-GR"/>
        </w:rPr>
        <w:t xml:space="preserve"> με σκοπό</w:t>
      </w:r>
      <w:r w:rsidR="00A71AA8" w:rsidRPr="00855257">
        <w:rPr>
          <w:lang w:val="el-GR"/>
        </w:rPr>
        <w:t xml:space="preserve"> την αποτελεσματικότερη παρακολούθηση των αποθεμάτων σιτηρών</w:t>
      </w:r>
      <w:r w:rsidR="000D5B29">
        <w:rPr>
          <w:lang w:val="el-GR"/>
        </w:rPr>
        <w:t>.</w:t>
      </w:r>
      <w:r w:rsidR="00A71AA8" w:rsidRPr="00855257">
        <w:rPr>
          <w:lang w:val="el-GR"/>
        </w:rPr>
        <w:t xml:space="preserve"> </w:t>
      </w:r>
      <w:r w:rsidR="000D5B29">
        <w:rPr>
          <w:lang w:val="el-GR"/>
        </w:rPr>
        <w:t>Σ</w:t>
      </w:r>
      <w:r w:rsidR="0057176D">
        <w:rPr>
          <w:lang w:val="el-GR"/>
        </w:rPr>
        <w:t xml:space="preserve">ε περίπτωση κατά την οποία </w:t>
      </w:r>
      <w:r w:rsidR="00A71AA8" w:rsidRPr="00855257">
        <w:rPr>
          <w:lang w:val="el-GR"/>
        </w:rPr>
        <w:t xml:space="preserve">προκύψει ανάγκη για </w:t>
      </w:r>
      <w:r w:rsidR="006E464E" w:rsidRPr="00855257">
        <w:rPr>
          <w:lang w:val="el-GR"/>
        </w:rPr>
        <w:t>πρόσθετ</w:t>
      </w:r>
      <w:r w:rsidR="0057176D">
        <w:rPr>
          <w:lang w:val="el-GR"/>
        </w:rPr>
        <w:t>α</w:t>
      </w:r>
      <w:r w:rsidR="00A71AA8" w:rsidRPr="00855257">
        <w:rPr>
          <w:lang w:val="el-GR"/>
        </w:rPr>
        <w:t xml:space="preserve"> </w:t>
      </w:r>
      <w:r w:rsidR="0057176D" w:rsidRPr="00855257">
        <w:rPr>
          <w:lang w:val="el-GR"/>
        </w:rPr>
        <w:t>αποθέματ</w:t>
      </w:r>
      <w:r w:rsidR="0057176D">
        <w:rPr>
          <w:lang w:val="el-GR"/>
        </w:rPr>
        <w:t>α</w:t>
      </w:r>
      <w:r w:rsidR="00985814">
        <w:rPr>
          <w:lang w:val="el-GR"/>
        </w:rPr>
        <w:t>,</w:t>
      </w:r>
      <w:r w:rsidR="000D5B29">
        <w:rPr>
          <w:lang w:val="el-GR"/>
        </w:rPr>
        <w:t xml:space="preserve"> το αρμόδιο υπουργείο</w:t>
      </w:r>
      <w:r w:rsidR="006E464E" w:rsidRPr="00855257">
        <w:rPr>
          <w:lang w:val="el-GR"/>
        </w:rPr>
        <w:t xml:space="preserve"> </w:t>
      </w:r>
      <w:r w:rsidR="00A71AA8" w:rsidRPr="00855257">
        <w:rPr>
          <w:lang w:val="el-GR"/>
        </w:rPr>
        <w:t>θα προβεί σε όλες τις απαραίτητες ενέργειες</w:t>
      </w:r>
      <w:r w:rsidR="000D5B29">
        <w:rPr>
          <w:lang w:val="el-GR"/>
        </w:rPr>
        <w:t xml:space="preserve"> για την αντιμετώπιση το</w:t>
      </w:r>
      <w:r w:rsidR="00985814">
        <w:rPr>
          <w:lang w:val="el-GR"/>
        </w:rPr>
        <w:t>υ</w:t>
      </w:r>
      <w:r w:rsidR="000D5B29">
        <w:rPr>
          <w:lang w:val="el-GR"/>
        </w:rPr>
        <w:t xml:space="preserve"> ζητήματος</w:t>
      </w:r>
      <w:r w:rsidR="00A71AA8" w:rsidRPr="00855257">
        <w:rPr>
          <w:lang w:val="el-GR"/>
        </w:rPr>
        <w:t>.</w:t>
      </w:r>
    </w:p>
    <w:p w14:paraId="64FEDFDB" w14:textId="650BF9A2" w:rsidR="006E464E" w:rsidRDefault="00A71AA8" w:rsidP="00855257">
      <w:pPr>
        <w:pStyle w:val="ListParagraph"/>
        <w:numPr>
          <w:ilvl w:val="0"/>
          <w:numId w:val="11"/>
        </w:numPr>
        <w:ind w:left="567" w:hanging="567"/>
        <w:rPr>
          <w:lang w:val="el-GR"/>
        </w:rPr>
      </w:pPr>
      <w:r w:rsidRPr="006E464E">
        <w:rPr>
          <w:lang w:val="el-GR"/>
        </w:rPr>
        <w:t xml:space="preserve">Τα αποθέματα σιτηρών αποθηκεύονται από τους </w:t>
      </w:r>
      <w:r w:rsidR="006E464E">
        <w:rPr>
          <w:lang w:val="el-GR"/>
        </w:rPr>
        <w:t xml:space="preserve">ιδιώτες </w:t>
      </w:r>
      <w:r w:rsidRPr="006E464E">
        <w:rPr>
          <w:lang w:val="el-GR"/>
        </w:rPr>
        <w:t>εισαγωγείς με ευθύνη του αρμόδιου υπουργείου και σε περίπτωση που παραστεί ανάγκη θα διατεθούν για κάλυψη των αναγκών της αγοράς.</w:t>
      </w:r>
      <w:r w:rsidR="006E464E" w:rsidRPr="006E464E">
        <w:rPr>
          <w:lang w:val="el-GR"/>
        </w:rPr>
        <w:t xml:space="preserve"> </w:t>
      </w:r>
    </w:p>
    <w:p w14:paraId="0C877034" w14:textId="17846D17" w:rsidR="006E464E" w:rsidRDefault="006E464E" w:rsidP="00855257">
      <w:pPr>
        <w:pStyle w:val="ListParagraph"/>
        <w:numPr>
          <w:ilvl w:val="0"/>
          <w:numId w:val="11"/>
        </w:numPr>
        <w:ind w:left="567" w:hanging="567"/>
        <w:rPr>
          <w:lang w:val="el-GR"/>
        </w:rPr>
      </w:pPr>
      <w:r>
        <w:rPr>
          <w:lang w:val="el-GR"/>
        </w:rPr>
        <w:t xml:space="preserve">Η αποζημίωση στους τυροκόμους αφορά στην κάλυψη του κόστους των αποθεμάτων τυριού που </w:t>
      </w:r>
      <w:r w:rsidR="000D5B29">
        <w:rPr>
          <w:lang w:val="el-GR"/>
        </w:rPr>
        <w:t>παράχθηκαν</w:t>
      </w:r>
      <w:r>
        <w:rPr>
          <w:lang w:val="el-GR"/>
        </w:rPr>
        <w:t xml:space="preserve"> πριν από την 30</w:t>
      </w:r>
      <w:r w:rsidR="0061034E">
        <w:rPr>
          <w:vertAlign w:val="superscript"/>
          <w:lang w:val="el-GR"/>
        </w:rPr>
        <w:t>ή</w:t>
      </w:r>
      <w:r>
        <w:rPr>
          <w:lang w:val="el-GR"/>
        </w:rPr>
        <w:t xml:space="preserve"> Σεπτεμβρίου 2022 και </w:t>
      </w:r>
      <w:r w:rsidR="0057176D">
        <w:rPr>
          <w:lang w:val="el-GR"/>
        </w:rPr>
        <w:t>πρόκειται να</w:t>
      </w:r>
      <w:r>
        <w:rPr>
          <w:lang w:val="el-GR"/>
        </w:rPr>
        <w:t xml:space="preserve"> καταβληθεί στους δικαιούχους που πληρούν τα </w:t>
      </w:r>
      <w:r w:rsidR="000D5B29">
        <w:rPr>
          <w:lang w:val="el-GR"/>
        </w:rPr>
        <w:t>κατάλληλα</w:t>
      </w:r>
      <w:r>
        <w:rPr>
          <w:lang w:val="el-GR"/>
        </w:rPr>
        <w:t xml:space="preserve"> πρότυπα</w:t>
      </w:r>
      <w:r w:rsidR="000D5B29">
        <w:rPr>
          <w:lang w:val="el-GR"/>
        </w:rPr>
        <w:t xml:space="preserve"> παραγωγής</w:t>
      </w:r>
      <w:r>
        <w:rPr>
          <w:lang w:val="el-GR"/>
        </w:rPr>
        <w:t xml:space="preserve">. </w:t>
      </w:r>
    </w:p>
    <w:p w14:paraId="2A424C44" w14:textId="514D7363" w:rsidR="006E464E" w:rsidRPr="006E464E" w:rsidRDefault="006E464E" w:rsidP="006E464E">
      <w:pPr>
        <w:rPr>
          <w:lang w:val="el-GR"/>
        </w:rPr>
      </w:pPr>
      <w:r>
        <w:rPr>
          <w:lang w:val="el-GR"/>
        </w:rPr>
        <w:tab/>
      </w:r>
      <w:r w:rsidR="00855257">
        <w:rPr>
          <w:lang w:val="el-GR"/>
        </w:rPr>
        <w:t>Οι</w:t>
      </w:r>
      <w:r>
        <w:rPr>
          <w:lang w:val="el-GR"/>
        </w:rPr>
        <w:t xml:space="preserve"> εκπρόσωπο</w:t>
      </w:r>
      <w:r w:rsidR="00855257">
        <w:rPr>
          <w:lang w:val="el-GR"/>
        </w:rPr>
        <w:t>ι</w:t>
      </w:r>
      <w:r>
        <w:rPr>
          <w:lang w:val="el-GR"/>
        </w:rPr>
        <w:t xml:space="preserve"> του Υπουργείου Υγείας δήλωσ</w:t>
      </w:r>
      <w:r w:rsidR="00855257">
        <w:rPr>
          <w:lang w:val="el-GR"/>
        </w:rPr>
        <w:t>αν μεταξύ άλλων</w:t>
      </w:r>
      <w:r>
        <w:rPr>
          <w:lang w:val="el-GR"/>
        </w:rPr>
        <w:t xml:space="preserve"> τα ακόλουθα</w:t>
      </w:r>
      <w:r w:rsidRPr="006E464E">
        <w:rPr>
          <w:lang w:val="el-GR"/>
        </w:rPr>
        <w:t>:</w:t>
      </w:r>
    </w:p>
    <w:p w14:paraId="6A2D75B7" w14:textId="3E218CCA" w:rsidR="00855257" w:rsidRDefault="006E464E" w:rsidP="00E357E1">
      <w:pPr>
        <w:pStyle w:val="ListParagraph"/>
        <w:numPr>
          <w:ilvl w:val="0"/>
          <w:numId w:val="12"/>
        </w:numPr>
        <w:ind w:left="567" w:hanging="495"/>
        <w:rPr>
          <w:lang w:val="el-GR"/>
        </w:rPr>
      </w:pPr>
      <w:r>
        <w:rPr>
          <w:lang w:val="el-GR"/>
        </w:rPr>
        <w:t>Σ</w:t>
      </w:r>
      <w:r w:rsidRPr="006E464E">
        <w:rPr>
          <w:lang w:val="el-GR"/>
        </w:rPr>
        <w:t>το παρόν στάδιο και σύμφωνα με τα</w:t>
      </w:r>
      <w:r w:rsidR="00855257">
        <w:rPr>
          <w:lang w:val="el-GR"/>
        </w:rPr>
        <w:t xml:space="preserve"> ισχύοντα</w:t>
      </w:r>
      <w:r w:rsidRPr="006E464E">
        <w:rPr>
          <w:lang w:val="el-GR"/>
        </w:rPr>
        <w:t xml:space="preserve"> επιδημιολογικά δεδομένα, η διενέργεια ελέγχων αναφορικά με την πανδημία </w:t>
      </w:r>
      <w:r w:rsidR="003A1055">
        <w:rPr>
          <w:lang w:val="el-GR"/>
        </w:rPr>
        <w:t>COVID-19</w:t>
      </w:r>
      <w:r w:rsidRPr="006E464E">
        <w:rPr>
          <w:lang w:val="el-GR"/>
        </w:rPr>
        <w:t xml:space="preserve"> έχει περιοριστεί σημαντικά. </w:t>
      </w:r>
    </w:p>
    <w:p w14:paraId="1D2AA15E" w14:textId="4E59C786" w:rsidR="00855257" w:rsidRDefault="000D5B29" w:rsidP="00E357E1">
      <w:pPr>
        <w:pStyle w:val="ListParagraph"/>
        <w:numPr>
          <w:ilvl w:val="0"/>
          <w:numId w:val="12"/>
        </w:numPr>
        <w:ind w:left="567" w:hanging="495"/>
        <w:rPr>
          <w:lang w:val="el-GR"/>
        </w:rPr>
      </w:pPr>
      <w:r>
        <w:rPr>
          <w:lang w:val="el-GR"/>
        </w:rPr>
        <w:lastRenderedPageBreak/>
        <w:t>Η</w:t>
      </w:r>
      <w:r w:rsidR="00855257">
        <w:rPr>
          <w:lang w:val="el-GR"/>
        </w:rPr>
        <w:t xml:space="preserve"> διενέργεια ελέγχων </w:t>
      </w:r>
      <w:r w:rsidR="003A1055">
        <w:t>COVID</w:t>
      </w:r>
      <w:r w:rsidR="003A1055" w:rsidRPr="003A1055">
        <w:rPr>
          <w:lang w:val="el-GR"/>
        </w:rPr>
        <w:t>-19</w:t>
      </w:r>
      <w:r w:rsidR="00275EE9">
        <w:rPr>
          <w:lang w:val="el-GR"/>
        </w:rPr>
        <w:t xml:space="preserve"> με τεστ ταχείας ανίχνευσης αντιγόνου</w:t>
      </w:r>
      <w:r w:rsidR="00275EE9" w:rsidRPr="00275EE9">
        <w:rPr>
          <w:lang w:val="el-GR"/>
        </w:rPr>
        <w:t xml:space="preserve"> </w:t>
      </w:r>
      <w:r w:rsidR="00855257">
        <w:rPr>
          <w:lang w:val="el-GR"/>
        </w:rPr>
        <w:t>θα πραγματοποιείται</w:t>
      </w:r>
      <w:r>
        <w:rPr>
          <w:lang w:val="el-GR"/>
        </w:rPr>
        <w:t>,</w:t>
      </w:r>
      <w:r w:rsidR="00855257">
        <w:rPr>
          <w:lang w:val="el-GR"/>
        </w:rPr>
        <w:t xml:space="preserve"> </w:t>
      </w:r>
      <w:r>
        <w:rPr>
          <w:lang w:val="el-GR"/>
        </w:rPr>
        <w:t xml:space="preserve">στο αμέσως επόμενο διάστημα, </w:t>
      </w:r>
      <w:r w:rsidR="00275EE9">
        <w:rPr>
          <w:lang w:val="el-GR"/>
        </w:rPr>
        <w:t xml:space="preserve">σε εβδομαδιαία βάση και θα περιοριστεί σε </w:t>
      </w:r>
      <w:r w:rsidR="00855257">
        <w:rPr>
          <w:lang w:val="el-GR"/>
        </w:rPr>
        <w:t>στ</w:t>
      </w:r>
      <w:r w:rsidR="00275EE9">
        <w:rPr>
          <w:lang w:val="el-GR"/>
        </w:rPr>
        <w:t>έ</w:t>
      </w:r>
      <w:r w:rsidR="00855257">
        <w:rPr>
          <w:lang w:val="el-GR"/>
        </w:rPr>
        <w:t>γες</w:t>
      </w:r>
      <w:r w:rsidR="00275EE9">
        <w:rPr>
          <w:lang w:val="el-GR"/>
        </w:rPr>
        <w:t xml:space="preserve"> ηλικιωμένων και κλειστές δομές, καθώς και σε δειγματοληπτικούς ελέγχους 5</w:t>
      </w:r>
      <w:r>
        <w:rPr>
          <w:lang w:val="el-GR"/>
        </w:rPr>
        <w:t xml:space="preserve"> </w:t>
      </w:r>
      <w:r w:rsidR="00275EE9">
        <w:rPr>
          <w:lang w:val="el-GR"/>
        </w:rPr>
        <w:t>000 πολιτών για σκοπούς επιδημιολογικής επιτήρησης.</w:t>
      </w:r>
    </w:p>
    <w:p w14:paraId="4FB20EA6" w14:textId="6872614C" w:rsidR="00275EE9" w:rsidRDefault="00855257" w:rsidP="00E357E1">
      <w:pPr>
        <w:pStyle w:val="ListParagraph"/>
        <w:numPr>
          <w:ilvl w:val="0"/>
          <w:numId w:val="12"/>
        </w:numPr>
        <w:ind w:left="567" w:hanging="495"/>
        <w:rPr>
          <w:lang w:val="el-GR"/>
        </w:rPr>
      </w:pPr>
      <w:r>
        <w:rPr>
          <w:lang w:val="el-GR"/>
        </w:rPr>
        <w:t xml:space="preserve">Το μεγαλύτερο μέρος των δαπανών που περιλαμβάνονται στον υπό αναφορά συμπληρωματικό προϋπολογισμό για τη διαχείριση της πανδημίας </w:t>
      </w:r>
      <w:r w:rsidR="003A1055">
        <w:t>COVID</w:t>
      </w:r>
      <w:r w:rsidR="003A1055" w:rsidRPr="003A1055">
        <w:rPr>
          <w:lang w:val="el-GR"/>
        </w:rPr>
        <w:t>-19</w:t>
      </w:r>
      <w:r>
        <w:rPr>
          <w:lang w:val="el-GR"/>
        </w:rPr>
        <w:t xml:space="preserve"> αφορούν δεδουλευμένα των προηγούμενων μηνών και ανειλημμένες υποχρεώσεις το</w:t>
      </w:r>
      <w:r w:rsidR="007336B6">
        <w:rPr>
          <w:lang w:val="el-GR"/>
        </w:rPr>
        <w:t>υ</w:t>
      </w:r>
      <w:r>
        <w:rPr>
          <w:lang w:val="el-GR"/>
        </w:rPr>
        <w:t xml:space="preserve"> Υπουργείο</w:t>
      </w:r>
      <w:r w:rsidR="007336B6">
        <w:rPr>
          <w:lang w:val="el-GR"/>
        </w:rPr>
        <w:t>υ</w:t>
      </w:r>
      <w:r>
        <w:rPr>
          <w:lang w:val="el-GR"/>
        </w:rPr>
        <w:t xml:space="preserve"> Υγείας και</w:t>
      </w:r>
      <w:r w:rsidR="007336B6">
        <w:rPr>
          <w:lang w:val="el-GR"/>
        </w:rPr>
        <w:t xml:space="preserve"> αφορούν </w:t>
      </w:r>
      <w:r>
        <w:rPr>
          <w:lang w:val="el-GR"/>
        </w:rPr>
        <w:t>μέχρι τον Ιούνιο του 2022.</w:t>
      </w:r>
      <w:r w:rsidR="006E464E" w:rsidRPr="006E464E">
        <w:rPr>
          <w:lang w:val="el-GR"/>
        </w:rPr>
        <w:t xml:space="preserve"> </w:t>
      </w:r>
    </w:p>
    <w:p w14:paraId="652EB5F6" w14:textId="213BE9FB" w:rsidR="0057176D" w:rsidRDefault="00814E0A" w:rsidP="00814E0A">
      <w:pPr>
        <w:rPr>
          <w:lang w:val="el-GR"/>
        </w:rPr>
      </w:pPr>
      <w:r>
        <w:rPr>
          <w:lang w:val="el-GR"/>
        </w:rPr>
        <w:tab/>
      </w:r>
      <w:r w:rsidR="00350CDB">
        <w:rPr>
          <w:lang w:val="el-GR"/>
        </w:rPr>
        <w:t>Οι</w:t>
      </w:r>
      <w:r w:rsidR="00275EE9">
        <w:rPr>
          <w:lang w:val="el-GR"/>
        </w:rPr>
        <w:t xml:space="preserve"> εκπρόσωπο</w:t>
      </w:r>
      <w:r w:rsidR="00350CDB">
        <w:rPr>
          <w:lang w:val="el-GR"/>
        </w:rPr>
        <w:t>ι</w:t>
      </w:r>
      <w:r w:rsidR="00275EE9">
        <w:rPr>
          <w:lang w:val="el-GR"/>
        </w:rPr>
        <w:t xml:space="preserve"> </w:t>
      </w:r>
      <w:r>
        <w:rPr>
          <w:lang w:val="el-GR"/>
        </w:rPr>
        <w:t>τ</w:t>
      </w:r>
      <w:r w:rsidR="00275EE9">
        <w:rPr>
          <w:lang w:val="el-GR"/>
        </w:rPr>
        <w:t xml:space="preserve">ου Υφυπουργείου Τουρισμού </w:t>
      </w:r>
      <w:r>
        <w:rPr>
          <w:lang w:val="el-GR"/>
        </w:rPr>
        <w:t>δήλωσ</w:t>
      </w:r>
      <w:r w:rsidR="00350CDB">
        <w:rPr>
          <w:lang w:val="el-GR"/>
        </w:rPr>
        <w:t>αν</w:t>
      </w:r>
      <w:r w:rsidR="00275EE9">
        <w:rPr>
          <w:lang w:val="el-GR"/>
        </w:rPr>
        <w:t xml:space="preserve"> ότι</w:t>
      </w:r>
      <w:r>
        <w:rPr>
          <w:lang w:val="el-GR"/>
        </w:rPr>
        <w:t xml:space="preserve"> η κυβέρνηση, αναγνωρίζοντας τις δυσμενείς συνθήκες </w:t>
      </w:r>
      <w:r w:rsidR="007336B6">
        <w:rPr>
          <w:lang w:val="el-GR"/>
        </w:rPr>
        <w:t>που επικρατούν στη</w:t>
      </w:r>
      <w:r>
        <w:rPr>
          <w:lang w:val="el-GR"/>
        </w:rPr>
        <w:t xml:space="preserve"> ξενοδοχειακή βιομηχανία</w:t>
      </w:r>
      <w:r w:rsidR="00A075BE">
        <w:rPr>
          <w:lang w:val="el-GR"/>
        </w:rPr>
        <w:t>,</w:t>
      </w:r>
      <w:r>
        <w:rPr>
          <w:lang w:val="el-GR"/>
        </w:rPr>
        <w:t xml:space="preserve"> συνεπεία του πολέμου στην Ουκρανία, έχει προχωρήσει στην επέκταση του προγράμματος επιχορηγημένων διακοπών μέχρι τον Ιούλιο του</w:t>
      </w:r>
      <w:r w:rsidR="007336B6">
        <w:rPr>
          <w:lang w:val="el-GR"/>
        </w:rPr>
        <w:t xml:space="preserve"> έτους</w:t>
      </w:r>
      <w:r>
        <w:rPr>
          <w:lang w:val="el-GR"/>
        </w:rPr>
        <w:t xml:space="preserve"> 2022. Επιπροσθέτως,</w:t>
      </w:r>
      <w:r w:rsidR="00350CDB">
        <w:rPr>
          <w:lang w:val="el-GR"/>
        </w:rPr>
        <w:t xml:space="preserve"> </w:t>
      </w:r>
      <w:r>
        <w:rPr>
          <w:lang w:val="el-GR"/>
        </w:rPr>
        <w:t xml:space="preserve">αρκετές ξενοδοχειακές μονάδες έχουν ενταχθεί στο σχέδιο φιλοξενίας Ουκρανών προσφύγων. </w:t>
      </w:r>
      <w:r w:rsidR="00275EE9">
        <w:rPr>
          <w:lang w:val="el-GR"/>
        </w:rPr>
        <w:t xml:space="preserve"> </w:t>
      </w:r>
    </w:p>
    <w:p w14:paraId="5BF61069" w14:textId="0D478546" w:rsidR="00350CDB" w:rsidRDefault="00350CDB" w:rsidP="00814E0A">
      <w:pPr>
        <w:rPr>
          <w:lang w:val="el-GR"/>
        </w:rPr>
      </w:pPr>
      <w:r>
        <w:rPr>
          <w:lang w:val="el-GR"/>
        </w:rPr>
        <w:tab/>
        <w:t xml:space="preserve">Η εκπρόσωπος του Υφυπουργείου Έρευνας, Καινοτομίας και Ψηφιακής Πολιτικής δήλωσε ότι το τηλεφωνικό κέντρο για παροχή πληροφόρησης για την πανδημία </w:t>
      </w:r>
      <w:r w:rsidR="003A1055">
        <w:t>COVID</w:t>
      </w:r>
      <w:r w:rsidR="003A1055" w:rsidRPr="003A1055">
        <w:rPr>
          <w:lang w:val="el-GR"/>
        </w:rPr>
        <w:t>-19</w:t>
      </w:r>
      <w:r>
        <w:rPr>
          <w:lang w:val="el-GR"/>
        </w:rPr>
        <w:t xml:space="preserve"> συνεχίζει τη λειτουργία του, καθότι εξακολουθούν να εφαρμόζονται μέτρα για τον περιορισμό της πανδημίας</w:t>
      </w:r>
      <w:r w:rsidR="007336B6">
        <w:rPr>
          <w:lang w:val="el-GR"/>
        </w:rPr>
        <w:t>, διασαφηνίζοντας ότι οι δαπάνες διενεργούνται στη βάση</w:t>
      </w:r>
      <w:r>
        <w:rPr>
          <w:lang w:val="el-GR"/>
        </w:rPr>
        <w:t xml:space="preserve"> το</w:t>
      </w:r>
      <w:r w:rsidR="007336B6">
        <w:rPr>
          <w:lang w:val="el-GR"/>
        </w:rPr>
        <w:t>υ</w:t>
      </w:r>
      <w:r>
        <w:rPr>
          <w:lang w:val="el-GR"/>
        </w:rPr>
        <w:t xml:space="preserve"> αριθμ</w:t>
      </w:r>
      <w:r w:rsidR="007336B6">
        <w:rPr>
          <w:lang w:val="el-GR"/>
        </w:rPr>
        <w:t>ού</w:t>
      </w:r>
      <w:r>
        <w:rPr>
          <w:lang w:val="el-GR"/>
        </w:rPr>
        <w:t xml:space="preserve"> των κλήσεων που πραγματοποιούνται. </w:t>
      </w:r>
    </w:p>
    <w:p w14:paraId="6015EFD1" w14:textId="0281FAF5" w:rsidR="00AF491A" w:rsidRDefault="00AF491A" w:rsidP="00814E0A">
      <w:pPr>
        <w:rPr>
          <w:lang w:val="el-GR"/>
        </w:rPr>
      </w:pPr>
      <w:r>
        <w:rPr>
          <w:lang w:val="el-GR"/>
        </w:rPr>
        <w:tab/>
        <w:t xml:space="preserve">Σημειώνεται ότι </w:t>
      </w:r>
      <w:r w:rsidR="004C4037">
        <w:rPr>
          <w:lang w:val="el-GR"/>
        </w:rPr>
        <w:t>το Υπουργείο Υγείας, το Υπουργείο Γεωργίας, Αγροτικής Ανάπτυξης και Περιβάλλοντος,</w:t>
      </w:r>
      <w:r w:rsidR="00DE1492">
        <w:rPr>
          <w:lang w:val="el-GR"/>
        </w:rPr>
        <w:t xml:space="preserve"> το Υπουργείο Μεταφορών, Επικοινωνιών και Έργων,</w:t>
      </w:r>
      <w:r w:rsidR="004C4037">
        <w:rPr>
          <w:lang w:val="el-GR"/>
        </w:rPr>
        <w:t xml:space="preserve"> καθώς και το Υφυπουργείο Έρευνας, Καινοτομίας και Ψηφιακής Πολιτικής με σχετικές επιστολές τους κατέθεσαν στην επιτροπή τα</w:t>
      </w:r>
      <w:r w:rsidR="007336B6">
        <w:rPr>
          <w:lang w:val="el-GR"/>
        </w:rPr>
        <w:t xml:space="preserve"> ζητηθέντα</w:t>
      </w:r>
      <w:r w:rsidR="004C4037">
        <w:rPr>
          <w:lang w:val="el-GR"/>
        </w:rPr>
        <w:t xml:space="preserve"> στοιχεία. </w:t>
      </w:r>
    </w:p>
    <w:p w14:paraId="6F4F2019" w14:textId="047138C5" w:rsidR="0090018D" w:rsidRDefault="0057176D" w:rsidP="00814E0A">
      <w:pPr>
        <w:rPr>
          <w:lang w:val="el-GR"/>
        </w:rPr>
      </w:pPr>
      <w:r>
        <w:rPr>
          <w:lang w:val="el-GR"/>
        </w:rPr>
        <w:lastRenderedPageBreak/>
        <w:tab/>
        <w:t>Στο στάδιο της κατ’</w:t>
      </w:r>
      <w:r w:rsidR="00F528D2">
        <w:rPr>
          <w:lang w:val="el-GR"/>
        </w:rPr>
        <w:t xml:space="preserve"> </w:t>
      </w:r>
      <w:r>
        <w:rPr>
          <w:lang w:val="el-GR"/>
        </w:rPr>
        <w:t>άρθρον συζήτησης</w:t>
      </w:r>
      <w:r w:rsidR="00F528D2">
        <w:rPr>
          <w:lang w:val="el-GR"/>
        </w:rPr>
        <w:t xml:space="preserve"> μέλη της επιτροπής ζήτησαν περαιτέρω </w:t>
      </w:r>
      <w:r w:rsidR="003E69FB">
        <w:rPr>
          <w:lang w:val="el-GR"/>
        </w:rPr>
        <w:t>διευκρινήσεις</w:t>
      </w:r>
      <w:r w:rsidR="00F528D2">
        <w:rPr>
          <w:lang w:val="el-GR"/>
        </w:rPr>
        <w:t xml:space="preserve"> αναφορικά με την καταβολή οικονομικής στήριξης προς τις επιχειρήσεις των οποίων η λειτουργία επηρεάστηκε από την πανδημία </w:t>
      </w:r>
      <w:r w:rsidR="003A1055">
        <w:t>COVID</w:t>
      </w:r>
      <w:r w:rsidR="003A1055" w:rsidRPr="003A1055">
        <w:rPr>
          <w:lang w:val="el-GR"/>
        </w:rPr>
        <w:t>-19</w:t>
      </w:r>
      <w:r w:rsidR="00F528D2">
        <w:rPr>
          <w:lang w:val="el-GR"/>
        </w:rPr>
        <w:t xml:space="preserve"> και ειδικότερα </w:t>
      </w:r>
      <w:r w:rsidR="003E69FB">
        <w:rPr>
          <w:lang w:val="el-GR"/>
        </w:rPr>
        <w:t>σε ό,τι αφορά</w:t>
      </w:r>
      <w:r w:rsidR="00F528D2">
        <w:rPr>
          <w:lang w:val="el-GR"/>
        </w:rPr>
        <w:t xml:space="preserve"> στα κέντρα διασκέδασης.</w:t>
      </w:r>
    </w:p>
    <w:p w14:paraId="10F1A79C" w14:textId="1042F9F7" w:rsidR="00D85C6C" w:rsidRDefault="0090018D" w:rsidP="00814E0A">
      <w:pPr>
        <w:rPr>
          <w:lang w:val="el-GR"/>
        </w:rPr>
      </w:pPr>
      <w:r>
        <w:rPr>
          <w:lang w:val="el-GR"/>
        </w:rPr>
        <w:tab/>
        <w:t>Συναφώς, ο εκπρόσωπος του Υπουργείου Οικονομικών</w:t>
      </w:r>
      <w:r w:rsidR="00B97DCD">
        <w:rPr>
          <w:lang w:val="el-GR"/>
        </w:rPr>
        <w:t>,</w:t>
      </w:r>
      <w:r>
        <w:rPr>
          <w:lang w:val="el-GR"/>
        </w:rPr>
        <w:t xml:space="preserve"> </w:t>
      </w:r>
      <w:r w:rsidR="007336B6">
        <w:rPr>
          <w:lang w:val="el-GR"/>
        </w:rPr>
        <w:t xml:space="preserve">αφού </w:t>
      </w:r>
      <w:r>
        <w:rPr>
          <w:lang w:val="el-GR"/>
        </w:rPr>
        <w:t xml:space="preserve">δήλωσε ότι </w:t>
      </w:r>
      <w:r w:rsidR="007336B6">
        <w:rPr>
          <w:lang w:val="el-GR"/>
        </w:rPr>
        <w:t xml:space="preserve">στον προτεινόμενο προϋπολογισμό δεν περιλαμβάνονται οποιαδήποτε κονδύλια που αφορούν το πιο πάνω θέμα, ενημέρωσε την επιτροπή ότι </w:t>
      </w:r>
      <w:r>
        <w:rPr>
          <w:lang w:val="el-GR"/>
        </w:rPr>
        <w:t xml:space="preserve">σύμφωνα με σχετική πληροφόρηση του Υπουργείου Εργασίας, Πρόνοιας και Κοινωνικών Ασφαλίσεων τα σχέδια επιχορήγησης επιχειρήσεων για αντιμετώπιση των επιπτώσεων της πανδημίας </w:t>
      </w:r>
      <w:r w:rsidR="003A1055">
        <w:t>COVID</w:t>
      </w:r>
      <w:r w:rsidR="003A1055" w:rsidRPr="003A1055">
        <w:rPr>
          <w:lang w:val="el-GR"/>
        </w:rPr>
        <w:t>-19</w:t>
      </w:r>
      <w:r>
        <w:rPr>
          <w:lang w:val="el-GR"/>
        </w:rPr>
        <w:t xml:space="preserve"> έχουν </w:t>
      </w:r>
      <w:r w:rsidR="007336B6">
        <w:rPr>
          <w:lang w:val="el-GR"/>
        </w:rPr>
        <w:t>τερματιστ</w:t>
      </w:r>
      <w:r>
        <w:rPr>
          <w:lang w:val="el-GR"/>
        </w:rPr>
        <w:t>εί.</w:t>
      </w:r>
      <w:r w:rsidR="007336B6">
        <w:rPr>
          <w:lang w:val="el-GR"/>
        </w:rPr>
        <w:t xml:space="preserve"> </w:t>
      </w:r>
      <w:r w:rsidR="00C340D9">
        <w:rPr>
          <w:lang w:val="el-GR"/>
        </w:rPr>
        <w:t xml:space="preserve"> </w:t>
      </w:r>
      <w:r w:rsidR="007336B6">
        <w:rPr>
          <w:lang w:val="el-GR"/>
        </w:rPr>
        <w:t>Στο παρόν στάδιο εκκρεμούν</w:t>
      </w:r>
      <w:r>
        <w:rPr>
          <w:lang w:val="el-GR"/>
        </w:rPr>
        <w:t xml:space="preserve"> περίπου 500 </w:t>
      </w:r>
      <w:r w:rsidR="007336B6">
        <w:rPr>
          <w:lang w:val="el-GR"/>
        </w:rPr>
        <w:t xml:space="preserve">περιπτώσεις </w:t>
      </w:r>
      <w:r>
        <w:rPr>
          <w:lang w:val="el-GR"/>
        </w:rPr>
        <w:t>επιχειρήσε</w:t>
      </w:r>
      <w:r w:rsidR="007336B6">
        <w:rPr>
          <w:lang w:val="el-GR"/>
        </w:rPr>
        <w:t>ων</w:t>
      </w:r>
      <w:r>
        <w:rPr>
          <w:lang w:val="el-GR"/>
        </w:rPr>
        <w:t xml:space="preserve"> στις οποίες δεν έχει καταβληθεί</w:t>
      </w:r>
      <w:r w:rsidR="007336B6">
        <w:rPr>
          <w:lang w:val="el-GR"/>
        </w:rPr>
        <w:t xml:space="preserve"> </w:t>
      </w:r>
      <w:r>
        <w:rPr>
          <w:lang w:val="el-GR"/>
        </w:rPr>
        <w:t>οικονομική στήριξη, καθότι αφορούν κατά βάση περιπτώσεις για τις οποίες παρουσιάστηκαν λάθη ή παραλείψεις κατά τη διαδικασία της συμπλήρωσης των σχετικών αιτήσεων.</w:t>
      </w:r>
    </w:p>
    <w:p w14:paraId="5877B9C7" w14:textId="51586494" w:rsidR="005552F3" w:rsidRPr="00FD221D" w:rsidRDefault="00D85C6C" w:rsidP="00A075BE">
      <w:pPr>
        <w:rPr>
          <w:lang w:val="el-GR"/>
        </w:rPr>
      </w:pPr>
      <w:r>
        <w:rPr>
          <w:lang w:val="el-GR"/>
        </w:rPr>
        <w:tab/>
        <w:t xml:space="preserve">Αναφορικά με το θέμα στήριξης των κέντρων διασκέδασης, ο ίδιος αρμόδιος ανέφερε </w:t>
      </w:r>
      <w:r w:rsidR="00564FA8">
        <w:rPr>
          <w:lang w:val="el-GR"/>
        </w:rPr>
        <w:t>ότι</w:t>
      </w:r>
      <w:r>
        <w:rPr>
          <w:lang w:val="el-GR"/>
        </w:rPr>
        <w:t xml:space="preserve"> η οικονομική δραστηριότητα των νυκτερινών κέντρων διασκέδασης και δισκοθηκών περιλαμβάνεται στις επιλέξιμες δραστηριότητες του Σχεδίου</w:t>
      </w:r>
      <w:r w:rsidR="00640117">
        <w:rPr>
          <w:lang w:val="el-GR"/>
        </w:rPr>
        <w:t xml:space="preserve"> </w:t>
      </w:r>
      <w:r>
        <w:rPr>
          <w:lang w:val="el-GR"/>
        </w:rPr>
        <w:t xml:space="preserve">Κρατικής Χορηγίας Ορισμένων Κατηγοριών Επιχειρήσεων και Αυτοτελώς Εργαζομένων, το οποίο </w:t>
      </w:r>
      <w:r w:rsidR="00564FA8">
        <w:rPr>
          <w:lang w:val="el-GR"/>
        </w:rPr>
        <w:t>προωθήθηκε</w:t>
      </w:r>
      <w:r>
        <w:rPr>
          <w:lang w:val="el-GR"/>
        </w:rPr>
        <w:t xml:space="preserve"> σύμφωνα με το </w:t>
      </w:r>
      <w:r w:rsidR="00C340D9">
        <w:rPr>
          <w:lang w:val="el-GR"/>
        </w:rPr>
        <w:t>π</w:t>
      </w:r>
      <w:r>
        <w:rPr>
          <w:lang w:val="el-GR"/>
        </w:rPr>
        <w:t xml:space="preserve">ροσωρινό </w:t>
      </w:r>
      <w:r w:rsidR="00C340D9">
        <w:rPr>
          <w:lang w:val="el-GR"/>
        </w:rPr>
        <w:t>π</w:t>
      </w:r>
      <w:r>
        <w:rPr>
          <w:lang w:val="el-GR"/>
        </w:rPr>
        <w:t xml:space="preserve">λαίσιο της Ευρωπαϊκής Επιτροπής για τη λήψη μέτρων κρατικής ενίσχυσης με σκοπό τη στήριξη της οικονομίας κατά τη διάρκεια της πανδημίας </w:t>
      </w:r>
      <w:r w:rsidR="003A1055">
        <w:t>COVID</w:t>
      </w:r>
      <w:r w:rsidR="003A1055" w:rsidRPr="003A1055">
        <w:rPr>
          <w:lang w:val="el-GR"/>
        </w:rPr>
        <w:t>-19</w:t>
      </w:r>
      <w:r w:rsidR="00640117">
        <w:rPr>
          <w:lang w:val="el-GR"/>
        </w:rPr>
        <w:t>.</w:t>
      </w:r>
      <w:r w:rsidRPr="00D85C6C">
        <w:rPr>
          <w:lang w:val="el-GR"/>
        </w:rPr>
        <w:t xml:space="preserve"> </w:t>
      </w:r>
      <w:r w:rsidR="00640117">
        <w:rPr>
          <w:lang w:val="el-GR"/>
        </w:rPr>
        <w:t>Σ</w:t>
      </w:r>
      <w:r>
        <w:rPr>
          <w:lang w:val="el-GR"/>
        </w:rPr>
        <w:t>ύμφωνα με το</w:t>
      </w:r>
      <w:r w:rsidR="00640117">
        <w:rPr>
          <w:lang w:val="el-GR"/>
        </w:rPr>
        <w:t xml:space="preserve"> εν λόγω σχέδιο, ως </w:t>
      </w:r>
      <w:r w:rsidR="00564FA8">
        <w:rPr>
          <w:lang w:val="el-GR"/>
        </w:rPr>
        <w:t xml:space="preserve">βάση υπολογισμού του </w:t>
      </w:r>
      <w:r w:rsidR="00640117">
        <w:rPr>
          <w:lang w:val="el-GR"/>
        </w:rPr>
        <w:t xml:space="preserve">ύψους της </w:t>
      </w:r>
      <w:r w:rsidR="00564FA8">
        <w:rPr>
          <w:lang w:val="el-GR"/>
        </w:rPr>
        <w:t>στήριξης των επιλέξιμων περιπτώσεων αποτελ</w:t>
      </w:r>
      <w:r w:rsidR="00640117">
        <w:rPr>
          <w:lang w:val="el-GR"/>
        </w:rPr>
        <w:t>ούσε</w:t>
      </w:r>
      <w:r w:rsidR="00564FA8">
        <w:rPr>
          <w:lang w:val="el-GR"/>
        </w:rPr>
        <w:t xml:space="preserve"> ο τριμηνιαίος κύκλος εργασιών </w:t>
      </w:r>
      <w:r w:rsidR="00640117">
        <w:rPr>
          <w:lang w:val="el-GR"/>
        </w:rPr>
        <w:t>κατά το τέλος το</w:t>
      </w:r>
      <w:r w:rsidR="00564FA8">
        <w:rPr>
          <w:lang w:val="el-GR"/>
        </w:rPr>
        <w:t xml:space="preserve">υ έτους 2019, </w:t>
      </w:r>
      <w:r w:rsidR="00640117">
        <w:rPr>
          <w:lang w:val="el-GR"/>
        </w:rPr>
        <w:t xml:space="preserve">στη βάση </w:t>
      </w:r>
      <w:r w:rsidR="00564FA8">
        <w:rPr>
          <w:lang w:val="el-GR"/>
        </w:rPr>
        <w:t>των υποβληθέντων φορολογικών δηλώσεων</w:t>
      </w:r>
      <w:r w:rsidR="00640117">
        <w:rPr>
          <w:lang w:val="el-GR"/>
        </w:rPr>
        <w:t xml:space="preserve"> και ως εκ τούτου η</w:t>
      </w:r>
      <w:r w:rsidR="00564FA8">
        <w:rPr>
          <w:lang w:val="el-GR"/>
        </w:rPr>
        <w:t xml:space="preserve"> κρατική στήριξη καταβλήθηκε </w:t>
      </w:r>
      <w:r w:rsidR="00640117">
        <w:rPr>
          <w:lang w:val="el-GR"/>
        </w:rPr>
        <w:t>στη βάση</w:t>
      </w:r>
      <w:r w:rsidR="00564FA8">
        <w:rPr>
          <w:lang w:val="el-GR"/>
        </w:rPr>
        <w:t xml:space="preserve"> των όρων και προϋποθέσεων του εν λόγω σχεδίου.   </w:t>
      </w:r>
      <w:r>
        <w:rPr>
          <w:lang w:val="el-GR"/>
        </w:rPr>
        <w:t xml:space="preserve"> </w:t>
      </w:r>
      <w:r w:rsidR="00F528D2">
        <w:rPr>
          <w:lang w:val="el-GR"/>
        </w:rPr>
        <w:t xml:space="preserve">  </w:t>
      </w:r>
      <w:r w:rsidR="00CE2ACC" w:rsidRPr="00CE2ACC">
        <w:rPr>
          <w:lang w:val="el-GR"/>
        </w:rPr>
        <w:t xml:space="preserve"> </w:t>
      </w:r>
      <w:r w:rsidR="0057176D">
        <w:rPr>
          <w:lang w:val="el-GR"/>
        </w:rPr>
        <w:t xml:space="preserve"> </w:t>
      </w:r>
      <w:r w:rsidR="00A71AA8" w:rsidRPr="00275EE9">
        <w:rPr>
          <w:lang w:val="el-GR"/>
        </w:rPr>
        <w:t xml:space="preserve"> </w:t>
      </w:r>
    </w:p>
    <w:p w14:paraId="45814158" w14:textId="13C688C8" w:rsidR="004B45F2" w:rsidRPr="00532EF0" w:rsidRDefault="00276904" w:rsidP="00532EF0">
      <w:pPr>
        <w:rPr>
          <w:lang w:val="el-GR"/>
        </w:rPr>
      </w:pPr>
      <w:r w:rsidRPr="00532EF0">
        <w:rPr>
          <w:lang w:val="el-GR"/>
        </w:rPr>
        <w:lastRenderedPageBreak/>
        <w:tab/>
        <w:t xml:space="preserve">Η Κοινοβουλευτική Επιτροπή Οικονομικών και Προϋπολογισμού, αφού έλαβε υπόψη όλα όσα τέθηκαν ενώπιόν </w:t>
      </w:r>
      <w:r w:rsidR="004A042F">
        <w:rPr>
          <w:lang w:val="el-GR"/>
        </w:rPr>
        <w:t>της,</w:t>
      </w:r>
      <w:r w:rsidR="00532EF0" w:rsidRPr="00532EF0">
        <w:rPr>
          <w:lang w:val="el-GR"/>
        </w:rPr>
        <w:t xml:space="preserve"> </w:t>
      </w:r>
      <w:r w:rsidR="004B45F2" w:rsidRPr="00532EF0">
        <w:rPr>
          <w:lang w:val="el-GR"/>
        </w:rPr>
        <w:t>επιφυλάχθηκ</w:t>
      </w:r>
      <w:r w:rsidR="00532EF0" w:rsidRPr="00532EF0">
        <w:rPr>
          <w:lang w:val="el-GR"/>
        </w:rPr>
        <w:t>ε</w:t>
      </w:r>
      <w:r w:rsidR="004B45F2" w:rsidRPr="00532EF0">
        <w:rPr>
          <w:lang w:val="el-GR"/>
        </w:rPr>
        <w:t xml:space="preserve"> να τοποθετηθ</w:t>
      </w:r>
      <w:r w:rsidR="00532EF0" w:rsidRPr="00532EF0">
        <w:rPr>
          <w:lang w:val="el-GR"/>
        </w:rPr>
        <w:t>εί</w:t>
      </w:r>
      <w:r w:rsidR="005E2BE2">
        <w:rPr>
          <w:lang w:val="el-GR"/>
        </w:rPr>
        <w:t xml:space="preserve"> επί των προνοιών του νομοσχεδίου</w:t>
      </w:r>
      <w:r w:rsidR="004B45F2" w:rsidRPr="00532EF0">
        <w:rPr>
          <w:lang w:val="el-GR"/>
        </w:rPr>
        <w:t xml:space="preserve"> κατά τη συζήτησ</w:t>
      </w:r>
      <w:r w:rsidR="005E2BE2">
        <w:rPr>
          <w:lang w:val="el-GR"/>
        </w:rPr>
        <w:t>ή</w:t>
      </w:r>
      <w:r w:rsidR="004B45F2" w:rsidRPr="00532EF0">
        <w:rPr>
          <w:lang w:val="el-GR"/>
        </w:rPr>
        <w:t xml:space="preserve"> του στην ολομέλεια του σώματος.</w:t>
      </w:r>
    </w:p>
    <w:p w14:paraId="1D75F83C" w14:textId="4F04E4B9" w:rsidR="00E97667" w:rsidRPr="00532EF0" w:rsidRDefault="00E97667" w:rsidP="00532EF0">
      <w:pPr>
        <w:rPr>
          <w:lang w:val="el-GR"/>
        </w:rPr>
      </w:pPr>
    </w:p>
    <w:p w14:paraId="21C95255" w14:textId="2AC4B88F" w:rsidR="005E2BE2" w:rsidRDefault="005E2BE2" w:rsidP="00532EF0">
      <w:pPr>
        <w:rPr>
          <w:lang w:val="el-GR"/>
        </w:rPr>
      </w:pPr>
    </w:p>
    <w:p w14:paraId="57E91991" w14:textId="2486C4CA" w:rsidR="00E357E1" w:rsidRDefault="00E357E1" w:rsidP="00532EF0">
      <w:pPr>
        <w:rPr>
          <w:lang w:val="el-GR"/>
        </w:rPr>
      </w:pPr>
    </w:p>
    <w:p w14:paraId="61384F8C" w14:textId="4850A9B7" w:rsidR="00E357E1" w:rsidRDefault="00E357E1" w:rsidP="00532EF0">
      <w:pPr>
        <w:rPr>
          <w:lang w:val="el-GR"/>
        </w:rPr>
      </w:pPr>
    </w:p>
    <w:p w14:paraId="598BB4FC" w14:textId="5FAB09C7" w:rsidR="00E357E1" w:rsidRDefault="00E357E1" w:rsidP="00532EF0">
      <w:pPr>
        <w:rPr>
          <w:lang w:val="el-GR"/>
        </w:rPr>
      </w:pPr>
    </w:p>
    <w:p w14:paraId="3FA2F627" w14:textId="77777777" w:rsidR="00E357E1" w:rsidRPr="00532EF0" w:rsidRDefault="00E357E1" w:rsidP="00532EF0">
      <w:pPr>
        <w:rPr>
          <w:lang w:val="el-GR"/>
        </w:rPr>
      </w:pPr>
    </w:p>
    <w:p w14:paraId="4E0D8D1D" w14:textId="02D1B50C" w:rsidR="00276904" w:rsidRPr="00532EF0" w:rsidRDefault="00564FA8" w:rsidP="00532EF0">
      <w:pPr>
        <w:rPr>
          <w:lang w:val="el-GR"/>
        </w:rPr>
      </w:pPr>
      <w:r>
        <w:rPr>
          <w:lang w:val="el-GR"/>
        </w:rPr>
        <w:t>31</w:t>
      </w:r>
      <w:r w:rsidR="00E357E1" w:rsidRPr="00E357E1">
        <w:rPr>
          <w:vertAlign w:val="superscript"/>
          <w:lang w:val="el-GR"/>
        </w:rPr>
        <w:t>η</w:t>
      </w:r>
      <w:r w:rsidR="00E357E1">
        <w:rPr>
          <w:lang w:val="el-GR"/>
        </w:rPr>
        <w:t xml:space="preserve"> </w:t>
      </w:r>
      <w:r w:rsidR="00A075BE">
        <w:rPr>
          <w:lang w:val="el-GR"/>
        </w:rPr>
        <w:t xml:space="preserve"> </w:t>
      </w:r>
      <w:r>
        <w:rPr>
          <w:lang w:val="el-GR"/>
        </w:rPr>
        <w:t xml:space="preserve">Μαΐου </w:t>
      </w:r>
      <w:r w:rsidR="00276904" w:rsidRPr="00532EF0">
        <w:rPr>
          <w:lang w:val="el-GR"/>
        </w:rPr>
        <w:t>202</w:t>
      </w:r>
      <w:r w:rsidR="00A075BE">
        <w:rPr>
          <w:lang w:val="el-GR"/>
        </w:rPr>
        <w:t>2</w:t>
      </w:r>
    </w:p>
    <w:p w14:paraId="7A9732A3" w14:textId="68D56F89" w:rsidR="00276904" w:rsidRPr="00532EF0" w:rsidRDefault="00276904" w:rsidP="00532EF0">
      <w:pPr>
        <w:rPr>
          <w:lang w:val="el-GR"/>
        </w:rPr>
      </w:pPr>
      <w:r w:rsidRPr="00532EF0">
        <w:rPr>
          <w:lang w:val="el-GR"/>
        </w:rPr>
        <w:t>Αρ.  Φακ.:  23.01.06</w:t>
      </w:r>
      <w:r w:rsidR="00A075BE">
        <w:rPr>
          <w:lang w:val="el-GR"/>
        </w:rPr>
        <w:t>3</w:t>
      </w:r>
      <w:r w:rsidRPr="00532EF0">
        <w:rPr>
          <w:lang w:val="el-GR"/>
        </w:rPr>
        <w:t>.</w:t>
      </w:r>
      <w:r w:rsidR="00A075BE">
        <w:rPr>
          <w:lang w:val="el-GR"/>
        </w:rPr>
        <w:t>083</w:t>
      </w:r>
      <w:r w:rsidRPr="00532EF0">
        <w:rPr>
          <w:lang w:val="el-GR"/>
        </w:rPr>
        <w:t>-202</w:t>
      </w:r>
      <w:r w:rsidR="00A075BE">
        <w:rPr>
          <w:lang w:val="el-GR"/>
        </w:rPr>
        <w:t>2</w:t>
      </w:r>
    </w:p>
    <w:p w14:paraId="0D0BDDFB" w14:textId="430E9015" w:rsidR="00532EF0" w:rsidRPr="00532EF0" w:rsidRDefault="00AC0FF1" w:rsidP="00532EF0">
      <w:pPr>
        <w:rPr>
          <w:sz w:val="18"/>
          <w:szCs w:val="18"/>
          <w:lang w:val="el-GR"/>
        </w:rPr>
      </w:pPr>
      <w:r w:rsidRPr="00532EF0">
        <w:rPr>
          <w:sz w:val="18"/>
          <w:szCs w:val="18"/>
          <w:lang w:val="el-GR"/>
        </w:rPr>
        <w:t>Α</w:t>
      </w:r>
      <w:r w:rsidR="00276904" w:rsidRPr="00532EF0">
        <w:rPr>
          <w:sz w:val="18"/>
          <w:szCs w:val="18"/>
          <w:lang w:val="el-GR"/>
        </w:rPr>
        <w:t>Κ/</w:t>
      </w:r>
      <w:r w:rsidR="00C340D9">
        <w:rPr>
          <w:sz w:val="18"/>
          <w:szCs w:val="18"/>
          <w:lang w:val="el-GR"/>
        </w:rPr>
        <w:t>ΠΧ/</w:t>
      </w:r>
      <w:r w:rsidR="00E357E1">
        <w:rPr>
          <w:sz w:val="18"/>
          <w:szCs w:val="18"/>
          <w:lang w:val="el-GR"/>
        </w:rPr>
        <w:t>ΓΧ</w:t>
      </w:r>
    </w:p>
    <w:sectPr w:rsidR="00532EF0" w:rsidRPr="00532EF0" w:rsidSect="002229C9">
      <w:head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3648A" w14:textId="77777777" w:rsidR="00950023" w:rsidRDefault="00950023" w:rsidP="00276904">
      <w:pPr>
        <w:spacing w:line="240" w:lineRule="auto"/>
      </w:pPr>
      <w:r>
        <w:separator/>
      </w:r>
    </w:p>
  </w:endnote>
  <w:endnote w:type="continuationSeparator" w:id="0">
    <w:p w14:paraId="2722EA26" w14:textId="77777777" w:rsidR="00950023" w:rsidRDefault="00950023" w:rsidP="00276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 (Founder Extended)">
    <w:altName w:val="SimSun"/>
    <w:charset w:val="86"/>
    <w:family w:val="script"/>
    <w:pitch w:val="fixed"/>
    <w:sig w:usb0="00000000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58E51" w14:textId="77777777" w:rsidR="00950023" w:rsidRDefault="00950023" w:rsidP="00276904">
      <w:pPr>
        <w:spacing w:line="240" w:lineRule="auto"/>
      </w:pPr>
      <w:r>
        <w:separator/>
      </w:r>
    </w:p>
  </w:footnote>
  <w:footnote w:type="continuationSeparator" w:id="0">
    <w:p w14:paraId="0A1F24E2" w14:textId="77777777" w:rsidR="00950023" w:rsidRDefault="00950023" w:rsidP="002769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81850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5EE266" w14:textId="77777777" w:rsidR="00276904" w:rsidRDefault="0027690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FA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2205EEA" w14:textId="77777777" w:rsidR="00276904" w:rsidRDefault="002769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D096F"/>
    <w:multiLevelType w:val="hybridMultilevel"/>
    <w:tmpl w:val="941C6780"/>
    <w:lvl w:ilvl="0" w:tplc="040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F644E"/>
    <w:multiLevelType w:val="hybridMultilevel"/>
    <w:tmpl w:val="F88CC342"/>
    <w:lvl w:ilvl="0" w:tplc="4B6C07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739CD"/>
    <w:multiLevelType w:val="hybridMultilevel"/>
    <w:tmpl w:val="6D9EBC88"/>
    <w:lvl w:ilvl="0" w:tplc="2C2858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C0246B0"/>
    <w:multiLevelType w:val="hybridMultilevel"/>
    <w:tmpl w:val="942005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3500F"/>
    <w:multiLevelType w:val="hybridMultilevel"/>
    <w:tmpl w:val="3E1654D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16E592C"/>
    <w:multiLevelType w:val="hybridMultilevel"/>
    <w:tmpl w:val="F88CC342"/>
    <w:lvl w:ilvl="0" w:tplc="4B6C07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20C22"/>
    <w:multiLevelType w:val="hybridMultilevel"/>
    <w:tmpl w:val="A6E2A3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CB9"/>
    <w:multiLevelType w:val="hybridMultilevel"/>
    <w:tmpl w:val="93F214F4"/>
    <w:lvl w:ilvl="0" w:tplc="5712E00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 w15:restartNumberingAfterBreak="0">
    <w:nsid w:val="58B60F91"/>
    <w:multiLevelType w:val="hybridMultilevel"/>
    <w:tmpl w:val="F88CC342"/>
    <w:lvl w:ilvl="0" w:tplc="4B6C07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F47C2E"/>
    <w:multiLevelType w:val="hybridMultilevel"/>
    <w:tmpl w:val="F88CC342"/>
    <w:lvl w:ilvl="0" w:tplc="4B6C07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F24F9"/>
    <w:multiLevelType w:val="hybridMultilevel"/>
    <w:tmpl w:val="00389D98"/>
    <w:lvl w:ilvl="0" w:tplc="6C4E7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24FC2"/>
    <w:multiLevelType w:val="hybridMultilevel"/>
    <w:tmpl w:val="B93CD1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961F9"/>
    <w:multiLevelType w:val="hybridMultilevel"/>
    <w:tmpl w:val="F88CC342"/>
    <w:lvl w:ilvl="0" w:tplc="4B6C0786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4136B"/>
    <w:multiLevelType w:val="hybridMultilevel"/>
    <w:tmpl w:val="1D36E3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7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77"/>
    <w:rsid w:val="000156A1"/>
    <w:rsid w:val="00016355"/>
    <w:rsid w:val="000173B3"/>
    <w:rsid w:val="0002225B"/>
    <w:rsid w:val="00030E46"/>
    <w:rsid w:val="0004300B"/>
    <w:rsid w:val="00045449"/>
    <w:rsid w:val="00055FBE"/>
    <w:rsid w:val="0007141D"/>
    <w:rsid w:val="00073A7D"/>
    <w:rsid w:val="000A05E5"/>
    <w:rsid w:val="000A6AFF"/>
    <w:rsid w:val="000A74CB"/>
    <w:rsid w:val="000A7929"/>
    <w:rsid w:val="000A7D6A"/>
    <w:rsid w:val="000C02CC"/>
    <w:rsid w:val="000D5B29"/>
    <w:rsid w:val="000E0027"/>
    <w:rsid w:val="000E40A8"/>
    <w:rsid w:val="000E533D"/>
    <w:rsid w:val="00101BE6"/>
    <w:rsid w:val="00104442"/>
    <w:rsid w:val="00107C78"/>
    <w:rsid w:val="0011565C"/>
    <w:rsid w:val="00121D65"/>
    <w:rsid w:val="001264BE"/>
    <w:rsid w:val="00146413"/>
    <w:rsid w:val="00155AA3"/>
    <w:rsid w:val="0016222F"/>
    <w:rsid w:val="00163353"/>
    <w:rsid w:val="00165675"/>
    <w:rsid w:val="00183AF4"/>
    <w:rsid w:val="00186DF8"/>
    <w:rsid w:val="00190DE3"/>
    <w:rsid w:val="001B1032"/>
    <w:rsid w:val="001C3EF5"/>
    <w:rsid w:val="001C509D"/>
    <w:rsid w:val="001C62D6"/>
    <w:rsid w:val="001D06B5"/>
    <w:rsid w:val="001F2524"/>
    <w:rsid w:val="00207525"/>
    <w:rsid w:val="00211032"/>
    <w:rsid w:val="00215067"/>
    <w:rsid w:val="002229C9"/>
    <w:rsid w:val="00234795"/>
    <w:rsid w:val="00245498"/>
    <w:rsid w:val="00260378"/>
    <w:rsid w:val="00275EE9"/>
    <w:rsid w:val="00276904"/>
    <w:rsid w:val="00292271"/>
    <w:rsid w:val="002A2E4E"/>
    <w:rsid w:val="002B3FFE"/>
    <w:rsid w:val="002B56C6"/>
    <w:rsid w:val="002C4954"/>
    <w:rsid w:val="002D5687"/>
    <w:rsid w:val="002E538B"/>
    <w:rsid w:val="002E7A10"/>
    <w:rsid w:val="002F5442"/>
    <w:rsid w:val="002F72CC"/>
    <w:rsid w:val="00303618"/>
    <w:rsid w:val="0030560C"/>
    <w:rsid w:val="003270C0"/>
    <w:rsid w:val="00336953"/>
    <w:rsid w:val="00341910"/>
    <w:rsid w:val="00350CDB"/>
    <w:rsid w:val="0036737B"/>
    <w:rsid w:val="003A1055"/>
    <w:rsid w:val="003B3F20"/>
    <w:rsid w:val="003E69FB"/>
    <w:rsid w:val="003F3224"/>
    <w:rsid w:val="003F56A8"/>
    <w:rsid w:val="003F5980"/>
    <w:rsid w:val="00405CEF"/>
    <w:rsid w:val="0041034F"/>
    <w:rsid w:val="004138CB"/>
    <w:rsid w:val="00425FAF"/>
    <w:rsid w:val="00427CB5"/>
    <w:rsid w:val="004323F2"/>
    <w:rsid w:val="00442788"/>
    <w:rsid w:val="00450C62"/>
    <w:rsid w:val="004541D9"/>
    <w:rsid w:val="00457408"/>
    <w:rsid w:val="004575CD"/>
    <w:rsid w:val="00463354"/>
    <w:rsid w:val="004669D2"/>
    <w:rsid w:val="00475535"/>
    <w:rsid w:val="004846AD"/>
    <w:rsid w:val="004A042F"/>
    <w:rsid w:val="004B1A86"/>
    <w:rsid w:val="004B45F2"/>
    <w:rsid w:val="004B50A5"/>
    <w:rsid w:val="004C4037"/>
    <w:rsid w:val="004C7F5A"/>
    <w:rsid w:val="004E7EA3"/>
    <w:rsid w:val="004F3A6A"/>
    <w:rsid w:val="00532EF0"/>
    <w:rsid w:val="00535AA8"/>
    <w:rsid w:val="005371C7"/>
    <w:rsid w:val="00540B43"/>
    <w:rsid w:val="00543BC4"/>
    <w:rsid w:val="005552F3"/>
    <w:rsid w:val="00564FA8"/>
    <w:rsid w:val="0057176D"/>
    <w:rsid w:val="00572143"/>
    <w:rsid w:val="00575BA9"/>
    <w:rsid w:val="0058332D"/>
    <w:rsid w:val="00586FB2"/>
    <w:rsid w:val="0059255D"/>
    <w:rsid w:val="00595086"/>
    <w:rsid w:val="005A05FF"/>
    <w:rsid w:val="005A106F"/>
    <w:rsid w:val="005A3332"/>
    <w:rsid w:val="005A5A71"/>
    <w:rsid w:val="005E22B0"/>
    <w:rsid w:val="005E2BE2"/>
    <w:rsid w:val="005F233E"/>
    <w:rsid w:val="005F7D82"/>
    <w:rsid w:val="0061034E"/>
    <w:rsid w:val="0062120D"/>
    <w:rsid w:val="00621241"/>
    <w:rsid w:val="00621DF8"/>
    <w:rsid w:val="00631C3C"/>
    <w:rsid w:val="00640117"/>
    <w:rsid w:val="00640795"/>
    <w:rsid w:val="00645355"/>
    <w:rsid w:val="00646233"/>
    <w:rsid w:val="00670067"/>
    <w:rsid w:val="00676C0B"/>
    <w:rsid w:val="00680478"/>
    <w:rsid w:val="006818B6"/>
    <w:rsid w:val="00695C51"/>
    <w:rsid w:val="006C034B"/>
    <w:rsid w:val="006C5B56"/>
    <w:rsid w:val="006D3451"/>
    <w:rsid w:val="006D58A0"/>
    <w:rsid w:val="006E464E"/>
    <w:rsid w:val="006F7498"/>
    <w:rsid w:val="00713FC9"/>
    <w:rsid w:val="007336B6"/>
    <w:rsid w:val="00744CC5"/>
    <w:rsid w:val="00754FE8"/>
    <w:rsid w:val="00765EAF"/>
    <w:rsid w:val="00775ECD"/>
    <w:rsid w:val="00784CDD"/>
    <w:rsid w:val="007A5007"/>
    <w:rsid w:val="007A5FAA"/>
    <w:rsid w:val="007A66BF"/>
    <w:rsid w:val="007B0ABA"/>
    <w:rsid w:val="007C0EC5"/>
    <w:rsid w:val="007C1DBC"/>
    <w:rsid w:val="007D021C"/>
    <w:rsid w:val="007D7EF5"/>
    <w:rsid w:val="007E7151"/>
    <w:rsid w:val="007F1569"/>
    <w:rsid w:val="007F5EE8"/>
    <w:rsid w:val="00814E0A"/>
    <w:rsid w:val="00827F07"/>
    <w:rsid w:val="00840D37"/>
    <w:rsid w:val="008425CC"/>
    <w:rsid w:val="00851AF6"/>
    <w:rsid w:val="00855257"/>
    <w:rsid w:val="00877FBA"/>
    <w:rsid w:val="00880C8F"/>
    <w:rsid w:val="0088615A"/>
    <w:rsid w:val="0089073D"/>
    <w:rsid w:val="008A6A92"/>
    <w:rsid w:val="008B5166"/>
    <w:rsid w:val="008B62B9"/>
    <w:rsid w:val="008C6ADB"/>
    <w:rsid w:val="008C743E"/>
    <w:rsid w:val="008D3AAA"/>
    <w:rsid w:val="008D557E"/>
    <w:rsid w:val="008F275C"/>
    <w:rsid w:val="0090018D"/>
    <w:rsid w:val="00901B29"/>
    <w:rsid w:val="00901E13"/>
    <w:rsid w:val="00912E3D"/>
    <w:rsid w:val="00935291"/>
    <w:rsid w:val="00950023"/>
    <w:rsid w:val="009501BC"/>
    <w:rsid w:val="0096428A"/>
    <w:rsid w:val="0097407B"/>
    <w:rsid w:val="0098139C"/>
    <w:rsid w:val="00985814"/>
    <w:rsid w:val="00990C77"/>
    <w:rsid w:val="00994AB7"/>
    <w:rsid w:val="00994FE9"/>
    <w:rsid w:val="009A3418"/>
    <w:rsid w:val="009B097C"/>
    <w:rsid w:val="009B6C14"/>
    <w:rsid w:val="009C7737"/>
    <w:rsid w:val="009C7B3C"/>
    <w:rsid w:val="009D213E"/>
    <w:rsid w:val="00A01752"/>
    <w:rsid w:val="00A05047"/>
    <w:rsid w:val="00A075BE"/>
    <w:rsid w:val="00A23FD1"/>
    <w:rsid w:val="00A5366E"/>
    <w:rsid w:val="00A62398"/>
    <w:rsid w:val="00A71AA8"/>
    <w:rsid w:val="00A73893"/>
    <w:rsid w:val="00A81A98"/>
    <w:rsid w:val="00AA5785"/>
    <w:rsid w:val="00AA5D6B"/>
    <w:rsid w:val="00AB3AFA"/>
    <w:rsid w:val="00AB419D"/>
    <w:rsid w:val="00AC0FF1"/>
    <w:rsid w:val="00AC22BC"/>
    <w:rsid w:val="00AC3745"/>
    <w:rsid w:val="00AD45AC"/>
    <w:rsid w:val="00AE2550"/>
    <w:rsid w:val="00AE2E7E"/>
    <w:rsid w:val="00AF491A"/>
    <w:rsid w:val="00B01046"/>
    <w:rsid w:val="00B03F04"/>
    <w:rsid w:val="00B05020"/>
    <w:rsid w:val="00B12780"/>
    <w:rsid w:val="00B20598"/>
    <w:rsid w:val="00B37793"/>
    <w:rsid w:val="00B41782"/>
    <w:rsid w:val="00B43AE3"/>
    <w:rsid w:val="00B520F5"/>
    <w:rsid w:val="00B5494C"/>
    <w:rsid w:val="00B55A37"/>
    <w:rsid w:val="00B73314"/>
    <w:rsid w:val="00B7603E"/>
    <w:rsid w:val="00B767C5"/>
    <w:rsid w:val="00B970F4"/>
    <w:rsid w:val="00B97DCD"/>
    <w:rsid w:val="00BA25D9"/>
    <w:rsid w:val="00BA5CF8"/>
    <w:rsid w:val="00BB706F"/>
    <w:rsid w:val="00BC4C67"/>
    <w:rsid w:val="00BF4229"/>
    <w:rsid w:val="00BF5CED"/>
    <w:rsid w:val="00C340D9"/>
    <w:rsid w:val="00C36D89"/>
    <w:rsid w:val="00C407D5"/>
    <w:rsid w:val="00C52680"/>
    <w:rsid w:val="00C62CB9"/>
    <w:rsid w:val="00C7330E"/>
    <w:rsid w:val="00C813F2"/>
    <w:rsid w:val="00C868BA"/>
    <w:rsid w:val="00C9053A"/>
    <w:rsid w:val="00C9240E"/>
    <w:rsid w:val="00CA4AD6"/>
    <w:rsid w:val="00CA4BA1"/>
    <w:rsid w:val="00CA5301"/>
    <w:rsid w:val="00CB325E"/>
    <w:rsid w:val="00CB6E3F"/>
    <w:rsid w:val="00CC63FE"/>
    <w:rsid w:val="00CD172B"/>
    <w:rsid w:val="00CD6D19"/>
    <w:rsid w:val="00CE2ACC"/>
    <w:rsid w:val="00CE61CB"/>
    <w:rsid w:val="00D0539C"/>
    <w:rsid w:val="00D22E96"/>
    <w:rsid w:val="00D339A7"/>
    <w:rsid w:val="00D56AFC"/>
    <w:rsid w:val="00D666D4"/>
    <w:rsid w:val="00D85C6C"/>
    <w:rsid w:val="00DA5949"/>
    <w:rsid w:val="00DB1EBF"/>
    <w:rsid w:val="00DC1B56"/>
    <w:rsid w:val="00DD1FA6"/>
    <w:rsid w:val="00DD4965"/>
    <w:rsid w:val="00DE1492"/>
    <w:rsid w:val="00DF7904"/>
    <w:rsid w:val="00DF7D14"/>
    <w:rsid w:val="00E04488"/>
    <w:rsid w:val="00E160AD"/>
    <w:rsid w:val="00E21B03"/>
    <w:rsid w:val="00E25FDC"/>
    <w:rsid w:val="00E26250"/>
    <w:rsid w:val="00E357E1"/>
    <w:rsid w:val="00E620A9"/>
    <w:rsid w:val="00E63769"/>
    <w:rsid w:val="00E74A39"/>
    <w:rsid w:val="00E75F3D"/>
    <w:rsid w:val="00E84A5B"/>
    <w:rsid w:val="00E94ACD"/>
    <w:rsid w:val="00E95A4C"/>
    <w:rsid w:val="00E97667"/>
    <w:rsid w:val="00EB164B"/>
    <w:rsid w:val="00EB19BE"/>
    <w:rsid w:val="00EB23F2"/>
    <w:rsid w:val="00EC29DE"/>
    <w:rsid w:val="00EC5206"/>
    <w:rsid w:val="00EC5A28"/>
    <w:rsid w:val="00EC6A4D"/>
    <w:rsid w:val="00ED4FDF"/>
    <w:rsid w:val="00EE1F65"/>
    <w:rsid w:val="00EE7255"/>
    <w:rsid w:val="00F05AA2"/>
    <w:rsid w:val="00F117E5"/>
    <w:rsid w:val="00F12C78"/>
    <w:rsid w:val="00F23350"/>
    <w:rsid w:val="00F44D6A"/>
    <w:rsid w:val="00F528D2"/>
    <w:rsid w:val="00F5452F"/>
    <w:rsid w:val="00F5645D"/>
    <w:rsid w:val="00F56889"/>
    <w:rsid w:val="00F61DF3"/>
    <w:rsid w:val="00F66FAD"/>
    <w:rsid w:val="00F71AAE"/>
    <w:rsid w:val="00F84935"/>
    <w:rsid w:val="00FA2754"/>
    <w:rsid w:val="00FA7F17"/>
    <w:rsid w:val="00FB0107"/>
    <w:rsid w:val="00FB6233"/>
    <w:rsid w:val="00FC1EC5"/>
    <w:rsid w:val="00FC72F5"/>
    <w:rsid w:val="00FD1909"/>
    <w:rsid w:val="00FD221D"/>
    <w:rsid w:val="00FD3C2E"/>
    <w:rsid w:val="00FF1D5E"/>
    <w:rsid w:val="00FF4810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E2AE"/>
  <w15:chartTrackingRefBased/>
  <w15:docId w15:val="{1CBC6E15-B379-4F5B-9BC4-0280A4F94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7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Simsun (Founder Extended)" w:hAnsi="Arial" w:cs="Arial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90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904"/>
    <w:rPr>
      <w:rFonts w:ascii="Arial" w:eastAsia="Simsun (Founder Extended)" w:hAnsi="Arial" w:cs="Arial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27690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904"/>
    <w:rPr>
      <w:rFonts w:ascii="Arial" w:eastAsia="Simsun (Founder Extended)" w:hAnsi="Arial" w:cs="Arial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0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032"/>
    <w:rPr>
      <w:rFonts w:ascii="Segoe UI" w:eastAsia="Simsun (Founder Extended)" w:hAnsi="Segoe UI" w:cs="Segoe UI"/>
      <w:sz w:val="18"/>
      <w:szCs w:val="18"/>
      <w:lang w:val="en-US" w:eastAsia="zh-CN"/>
    </w:rPr>
  </w:style>
  <w:style w:type="paragraph" w:styleId="BodyText">
    <w:name w:val="Body Text"/>
    <w:basedOn w:val="Normal"/>
    <w:link w:val="BodyTextChar"/>
    <w:rsid w:val="00ED4FDF"/>
    <w:pPr>
      <w:tabs>
        <w:tab w:val="clear" w:pos="567"/>
        <w:tab w:val="clear" w:pos="4961"/>
      </w:tabs>
      <w:spacing w:line="240" w:lineRule="auto"/>
      <w:jc w:val="left"/>
    </w:pPr>
    <w:rPr>
      <w:rFonts w:ascii="Tahoma" w:eastAsia="Times New Roman" w:hAnsi="Tahoma" w:cs="Tahoma"/>
      <w:sz w:val="22"/>
      <w:lang w:val="el-GR" w:eastAsia="en-US"/>
    </w:rPr>
  </w:style>
  <w:style w:type="character" w:customStyle="1" w:styleId="BodyTextChar">
    <w:name w:val="Body Text Char"/>
    <w:basedOn w:val="DefaultParagraphFont"/>
    <w:link w:val="BodyText"/>
    <w:rsid w:val="00ED4FDF"/>
    <w:rPr>
      <w:rFonts w:ascii="Tahoma" w:eastAsia="Times New Roman" w:hAnsi="Tahoma" w:cs="Tahom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3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7</Pages>
  <Words>1556</Words>
  <Characters>8403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Hamatsou</dc:creator>
  <cp:keywords/>
  <dc:description/>
  <cp:lastModifiedBy>order 1813253</cp:lastModifiedBy>
  <cp:revision>36</cp:revision>
  <cp:lastPrinted>2022-05-31T13:10:00Z</cp:lastPrinted>
  <dcterms:created xsi:type="dcterms:W3CDTF">2022-05-20T10:10:00Z</dcterms:created>
  <dcterms:modified xsi:type="dcterms:W3CDTF">2022-05-31T14:03:00Z</dcterms:modified>
</cp:coreProperties>
</file>