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D208" w14:textId="6907E10A" w:rsidR="00EB6DC1" w:rsidRDefault="00EB6DC1" w:rsidP="00EB6DC1">
      <w:pPr>
        <w:jc w:val="center"/>
      </w:pPr>
      <w:r w:rsidRPr="006D2AA9">
        <w:rPr>
          <w:rFonts w:ascii="Arial" w:hAnsi="Arial" w:cs="Arial"/>
          <w:caps/>
          <w:sz w:val="24"/>
          <w:szCs w:val="24"/>
        </w:rPr>
        <w:t>Νόμος που Τροποποιεί τους περί Συσκευασιών και Αποβλήτων Συσκευασιών Νόμους του 2002 έως του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645"/>
      </w:tblGrid>
      <w:tr w:rsidR="003644B5" w:rsidRPr="00AC3FF8" w14:paraId="2EF95945" w14:textId="77777777" w:rsidTr="00CC67A4">
        <w:trPr>
          <w:trHeight w:val="308"/>
        </w:trPr>
        <w:tc>
          <w:tcPr>
            <w:tcW w:w="1034" w:type="pct"/>
          </w:tcPr>
          <w:p w14:paraId="65F29B43" w14:textId="77777777" w:rsidR="003644B5" w:rsidRDefault="003644B5" w:rsidP="00DB141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3FF8">
              <w:rPr>
                <w:rFonts w:ascii="Arial" w:hAnsi="Arial" w:cs="Arial"/>
                <w:sz w:val="24"/>
                <w:szCs w:val="24"/>
              </w:rPr>
              <w:t>Προοίμιο.</w:t>
            </w:r>
          </w:p>
          <w:p w14:paraId="544B1CC4" w14:textId="3A0FC5B6" w:rsidR="003E6392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Επίσημη</w:t>
            </w:r>
          </w:p>
          <w:p w14:paraId="609B7261" w14:textId="77777777" w:rsidR="003E6392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 xml:space="preserve">Εφημερίδα της </w:t>
            </w:r>
          </w:p>
          <w:p w14:paraId="467FD1A6" w14:textId="36C3D03D" w:rsidR="003E6392" w:rsidRPr="006D2AA9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Ε.Ε.: L</w:t>
            </w:r>
            <w:r w:rsidR="00166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AA9">
              <w:rPr>
                <w:rFonts w:ascii="Arial" w:hAnsi="Arial" w:cs="Arial"/>
                <w:sz w:val="24"/>
                <w:szCs w:val="24"/>
              </w:rPr>
              <w:t>155,</w:t>
            </w:r>
          </w:p>
          <w:p w14:paraId="309AA20D" w14:textId="77777777" w:rsidR="003E6392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 xml:space="preserve">12.6.2019, </w:t>
            </w:r>
          </w:p>
          <w:p w14:paraId="612FD150" w14:textId="374790E9" w:rsidR="007967C5" w:rsidRPr="00AC3FF8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σ. 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6" w:type="pct"/>
          </w:tcPr>
          <w:p w14:paraId="027DCBA0" w14:textId="488A971F" w:rsidR="003644B5" w:rsidRPr="00AC3FF8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 xml:space="preserve">Για σκοπούς εναρμόνισης με </w:t>
            </w:r>
            <w:r>
              <w:rPr>
                <w:rFonts w:ascii="Arial" w:hAnsi="Arial" w:cs="Arial"/>
                <w:sz w:val="24"/>
                <w:szCs w:val="24"/>
              </w:rPr>
              <w:t>την παράγραφο 2 του άρθρου 2</w:t>
            </w:r>
            <w:r w:rsidR="00D841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AA9">
              <w:rPr>
                <w:rFonts w:ascii="Arial" w:hAnsi="Arial" w:cs="Arial"/>
                <w:sz w:val="24"/>
                <w:szCs w:val="24"/>
              </w:rPr>
              <w:t>της πράξης της Ευρωπαϊκής Ένωσης με τίτλο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AA9">
              <w:rPr>
                <w:rFonts w:ascii="Arial" w:eastAsia="Calibri" w:hAnsi="Arial" w:cs="Arial"/>
                <w:sz w:val="24"/>
                <w:szCs w:val="24"/>
              </w:rPr>
              <w:t>«Οδηγία (ΕΕ) 2019/904 του Ευρωπαϊκού Κοινοβουλίου και του Συμβουλίου της 5ης Ιουνίου 2019 σχετικά με τη μείωση των επιπτώσεων ορισμένων πλαστικών προϊόντων στο περιβάλλον»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</w:tr>
      <w:tr w:rsidR="003E6392" w:rsidRPr="00AC3FF8" w14:paraId="415C6FEE" w14:textId="77777777" w:rsidTr="00CC67A4">
        <w:trPr>
          <w:trHeight w:val="308"/>
        </w:trPr>
        <w:tc>
          <w:tcPr>
            <w:tcW w:w="1034" w:type="pct"/>
          </w:tcPr>
          <w:p w14:paraId="372F2856" w14:textId="77777777" w:rsidR="003E6392" w:rsidRPr="00AC3FF8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pct"/>
          </w:tcPr>
          <w:p w14:paraId="272B40AA" w14:textId="77777777" w:rsidR="003E6392" w:rsidRPr="006D2AA9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92" w:rsidRPr="00AC3FF8" w14:paraId="70DCE054" w14:textId="77777777" w:rsidTr="00CC67A4">
        <w:tc>
          <w:tcPr>
            <w:tcW w:w="1034" w:type="pct"/>
          </w:tcPr>
          <w:p w14:paraId="02ECDF5C" w14:textId="77777777" w:rsidR="003E6392" w:rsidRPr="00AC3FF8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pct"/>
          </w:tcPr>
          <w:p w14:paraId="544186CA" w14:textId="4D56D92F" w:rsidR="003E6392" w:rsidRPr="00AC3FF8" w:rsidRDefault="003E6392" w:rsidP="00DB1411">
            <w:pPr>
              <w:tabs>
                <w:tab w:val="left" w:pos="101"/>
                <w:tab w:val="left" w:pos="38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C3FF8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3E6392" w:rsidRPr="00AC3FF8" w14:paraId="3A927258" w14:textId="77777777" w:rsidTr="00CC67A4">
        <w:tc>
          <w:tcPr>
            <w:tcW w:w="1034" w:type="pct"/>
          </w:tcPr>
          <w:p w14:paraId="005FAA07" w14:textId="77777777" w:rsidR="003E6392" w:rsidRPr="00AC3FF8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pct"/>
          </w:tcPr>
          <w:p w14:paraId="710A7E0B" w14:textId="77777777" w:rsidR="003E6392" w:rsidRPr="00AC3FF8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40" w:rsidRPr="00AC3FF8" w14:paraId="382EC621" w14:textId="77777777" w:rsidTr="00CC67A4">
        <w:tc>
          <w:tcPr>
            <w:tcW w:w="1034" w:type="pct"/>
          </w:tcPr>
          <w:p w14:paraId="3425A2C6" w14:textId="3F8803E7" w:rsidR="00386F40" w:rsidRPr="00386F40" w:rsidRDefault="00386F40" w:rsidP="00DB1411">
            <w:pPr>
              <w:keepNext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86F40">
              <w:rPr>
                <w:rFonts w:ascii="Arial" w:hAnsi="Arial" w:cs="Arial"/>
                <w:sz w:val="24"/>
                <w:szCs w:val="24"/>
              </w:rPr>
              <w:t>Συνοπτικός τίτλος.</w:t>
            </w:r>
          </w:p>
          <w:p w14:paraId="1EEEE122" w14:textId="77777777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32(Ι) του 2002</w:t>
            </w:r>
          </w:p>
          <w:p w14:paraId="4D3F9FC1" w14:textId="77777777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133(Ι) του 2003</w:t>
            </w:r>
          </w:p>
          <w:p w14:paraId="1CE0971E" w14:textId="77777777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159(Ι) του 2005</w:t>
            </w:r>
          </w:p>
          <w:p w14:paraId="6F1211DE" w14:textId="3E890AEA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48(Ι) του 2006</w:t>
            </w:r>
          </w:p>
          <w:p w14:paraId="234465CA" w14:textId="2A7475EC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58(Ι) του 2012</w:t>
            </w:r>
          </w:p>
          <w:p w14:paraId="1201BED7" w14:textId="50DC9A14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59(Ι) του 2012</w:t>
            </w:r>
          </w:p>
          <w:p w14:paraId="68030A61" w14:textId="77777777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125(Ι) του 2012</w:t>
            </w:r>
          </w:p>
          <w:p w14:paraId="57B227FE" w14:textId="77777777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163(Ι) του 2017</w:t>
            </w:r>
          </w:p>
          <w:p w14:paraId="68B525AB" w14:textId="77777777" w:rsidR="00386F40" w:rsidRPr="006D2AA9" w:rsidRDefault="00386F40" w:rsidP="00DB1411">
            <w:pPr>
              <w:keepNext/>
              <w:widowControl w:val="0"/>
              <w:spacing w:line="360" w:lineRule="auto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171(Ι) του 2019</w:t>
            </w:r>
          </w:p>
          <w:p w14:paraId="2487625F" w14:textId="102A3C98" w:rsidR="00386F40" w:rsidRPr="00AC3FF8" w:rsidRDefault="00386F40" w:rsidP="00DB1411">
            <w:pPr>
              <w:keepNext/>
              <w:widowControl w:val="0"/>
              <w:spacing w:line="360" w:lineRule="auto"/>
              <w:ind w:right="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105(Ι) του 2021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6" w:type="pct"/>
          </w:tcPr>
          <w:p w14:paraId="78D5ABDA" w14:textId="05CF844B" w:rsidR="00386F40" w:rsidRPr="00AC3FF8" w:rsidRDefault="00386F40" w:rsidP="00DB141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>1.</w:t>
            </w:r>
            <w:r w:rsidR="00C44DD8">
              <w:rPr>
                <w:rFonts w:ascii="Arial" w:hAnsi="Arial" w:cs="Arial"/>
                <w:sz w:val="24"/>
                <w:szCs w:val="24"/>
              </w:rPr>
              <w:tab/>
            </w:r>
            <w:r w:rsidRPr="006D2AA9"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περί Συσκευασιών και Αποβλήτων Συσκευασιών (Τροποποιητικός) Νόμος του 2022 και θα διαβάζεται μαζί με τους περί Συσκευασιών και Αποβλήτων Συσκευασιών Νόμους του 2002 έως </w:t>
            </w:r>
            <w:r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6D2AA9">
              <w:rPr>
                <w:rFonts w:ascii="Arial" w:hAnsi="Arial" w:cs="Arial"/>
                <w:sz w:val="24"/>
                <w:szCs w:val="24"/>
              </w:rPr>
              <w:t xml:space="preserve">(που στο εξής θα αναφέρονται ως «ο βασικός </w:t>
            </w:r>
            <w:r w:rsidR="00F41D86">
              <w:rPr>
                <w:rFonts w:ascii="Arial" w:hAnsi="Arial" w:cs="Arial"/>
                <w:sz w:val="24"/>
                <w:szCs w:val="24"/>
              </w:rPr>
              <w:t>ν</w:t>
            </w:r>
            <w:r w:rsidRPr="006D2AA9">
              <w:rPr>
                <w:rFonts w:ascii="Arial" w:hAnsi="Arial" w:cs="Arial"/>
                <w:sz w:val="24"/>
                <w:szCs w:val="24"/>
              </w:rPr>
              <w:t>όμος») και ο βασικός νόμος και ο παρών Νόμος θα αναφέρονται μαζί ως οι περί Συσκευασιών και Αποβλήτων Συσκευασιών Νόμοι του 2002 έως του 2022.</w:t>
            </w:r>
          </w:p>
        </w:tc>
      </w:tr>
      <w:tr w:rsidR="003E6392" w:rsidRPr="00AC3FF8" w14:paraId="37D7D7F7" w14:textId="77777777" w:rsidTr="00CC67A4">
        <w:tc>
          <w:tcPr>
            <w:tcW w:w="1034" w:type="pct"/>
          </w:tcPr>
          <w:p w14:paraId="7573A43F" w14:textId="77777777" w:rsidR="003E6392" w:rsidRPr="00AC3FF8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pct"/>
          </w:tcPr>
          <w:p w14:paraId="7070F0EE" w14:textId="77777777" w:rsidR="003E6392" w:rsidRPr="00AC3FF8" w:rsidRDefault="003E6392" w:rsidP="00DB141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156" w:rsidRPr="00AC3FF8" w14:paraId="5D1BAD4E" w14:textId="77777777" w:rsidTr="00CC67A4">
        <w:tc>
          <w:tcPr>
            <w:tcW w:w="1034" w:type="pct"/>
          </w:tcPr>
          <w:p w14:paraId="0F91BDC4" w14:textId="77777777" w:rsidR="006F7156" w:rsidRDefault="006F7156" w:rsidP="00DB1411">
            <w:pPr>
              <w:keepNext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Τροποποίηση του άρθρου 3 </w:t>
            </w:r>
          </w:p>
          <w:p w14:paraId="70F70C58" w14:textId="4EC79117" w:rsidR="006F7156" w:rsidRPr="00AC3FF8" w:rsidRDefault="006F7156" w:rsidP="00DB1411">
            <w:pPr>
              <w:keepNext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βασικού νόμου.</w:t>
            </w:r>
          </w:p>
        </w:tc>
        <w:tc>
          <w:tcPr>
            <w:tcW w:w="3966" w:type="pct"/>
          </w:tcPr>
          <w:p w14:paraId="50A1753E" w14:textId="2160A402" w:rsidR="006F7156" w:rsidRPr="00AC3FF8" w:rsidRDefault="006F7156" w:rsidP="00DB141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B6DC1">
              <w:rPr>
                <w:rFonts w:ascii="Arial" w:hAnsi="Arial" w:cs="Arial"/>
                <w:sz w:val="24"/>
                <w:szCs w:val="24"/>
              </w:rPr>
              <w:tab/>
            </w:r>
            <w:r w:rsidRPr="006D2AA9">
              <w:rPr>
                <w:rFonts w:ascii="Arial" w:hAnsi="Arial" w:cs="Arial"/>
                <w:sz w:val="24"/>
                <w:szCs w:val="24"/>
              </w:rPr>
              <w:t>Το άρθρο 3 του βασικού νόμου τροποποιείται με την προσθήκη, αμέσως μετά το εδάφιο (2), του ακόλουθου νέου εδαφίου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F7156" w:rsidRPr="00AC3FF8" w14:paraId="59F20C2F" w14:textId="77777777" w:rsidTr="00CC67A4">
        <w:tc>
          <w:tcPr>
            <w:tcW w:w="1034" w:type="pct"/>
          </w:tcPr>
          <w:p w14:paraId="462853E9" w14:textId="77777777" w:rsidR="006F7156" w:rsidRPr="006F7156" w:rsidRDefault="006F7156" w:rsidP="00DB141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6" w:type="pct"/>
          </w:tcPr>
          <w:p w14:paraId="1427E7BD" w14:textId="77777777" w:rsidR="006F7156" w:rsidRPr="00AC3FF8" w:rsidRDefault="006F7156" w:rsidP="00DB141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156" w:rsidRPr="00AC3FF8" w14:paraId="306C3FA2" w14:textId="77777777" w:rsidTr="00CC67A4">
        <w:tc>
          <w:tcPr>
            <w:tcW w:w="1034" w:type="pct"/>
          </w:tcPr>
          <w:p w14:paraId="26C0627C" w14:textId="77777777" w:rsidR="006F7156" w:rsidRPr="00AC3FF8" w:rsidRDefault="006F7156" w:rsidP="00DB1411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pct"/>
          </w:tcPr>
          <w:p w14:paraId="3D8EF57B" w14:textId="600A7DD2" w:rsidR="006F7156" w:rsidRPr="00AC3FF8" w:rsidRDefault="006F7156" w:rsidP="00DB1411">
            <w:pPr>
              <w:tabs>
                <w:tab w:val="left" w:pos="284"/>
                <w:tab w:val="left" w:pos="567"/>
              </w:tabs>
              <w:spacing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AA9">
              <w:rPr>
                <w:rFonts w:ascii="Arial" w:hAnsi="Arial" w:cs="Arial"/>
                <w:sz w:val="24"/>
                <w:szCs w:val="24"/>
              </w:rPr>
              <w:t xml:space="preserve">«(3) </w:t>
            </w:r>
            <w:r w:rsidR="00DB1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AA9">
              <w:rPr>
                <w:rFonts w:ascii="Arial" w:hAnsi="Arial" w:cs="Arial"/>
                <w:sz w:val="24"/>
                <w:szCs w:val="24"/>
              </w:rPr>
              <w:t xml:space="preserve">Σε περίπτωση σύγκρουσης των διατάξεων του παρόντος Νόμου με τις διατάξεις του Μέρους VIΑ </w:t>
            </w:r>
            <w:r>
              <w:rPr>
                <w:rFonts w:ascii="Arial" w:hAnsi="Arial" w:cs="Arial"/>
                <w:sz w:val="24"/>
                <w:szCs w:val="24"/>
              </w:rPr>
              <w:t xml:space="preserve">του </w:t>
            </w:r>
            <w:r w:rsidRPr="006D2AA9">
              <w:rPr>
                <w:rFonts w:ascii="Arial" w:hAnsi="Arial" w:cs="Arial"/>
                <w:sz w:val="24"/>
                <w:szCs w:val="24"/>
              </w:rPr>
              <w:t>περί Αποβλήτων Νόμ</w:t>
            </w:r>
            <w:r>
              <w:rPr>
                <w:rFonts w:ascii="Arial" w:hAnsi="Arial" w:cs="Arial"/>
                <w:sz w:val="24"/>
                <w:szCs w:val="24"/>
              </w:rPr>
              <w:t>ου</w:t>
            </w:r>
            <w:r w:rsidRPr="006D2AA9">
              <w:rPr>
                <w:rFonts w:ascii="Arial" w:hAnsi="Arial" w:cs="Arial"/>
                <w:sz w:val="24"/>
                <w:szCs w:val="24"/>
              </w:rPr>
              <w:t xml:space="preserve">, υπερισχύουν οι διατάξεις του Μέρους VIA </w:t>
            </w:r>
            <w:r>
              <w:rPr>
                <w:rFonts w:ascii="Arial" w:hAnsi="Arial" w:cs="Arial"/>
                <w:sz w:val="24"/>
                <w:szCs w:val="24"/>
              </w:rPr>
              <w:t>του</w:t>
            </w:r>
            <w:r w:rsidRPr="006D2AA9">
              <w:rPr>
                <w:rFonts w:ascii="Arial" w:hAnsi="Arial" w:cs="Arial"/>
                <w:sz w:val="24"/>
                <w:szCs w:val="24"/>
              </w:rPr>
              <w:t xml:space="preserve"> περί Αποβλήτων Νόμ</w:t>
            </w:r>
            <w:r>
              <w:rPr>
                <w:rFonts w:ascii="Arial" w:hAnsi="Arial" w:cs="Arial"/>
                <w:sz w:val="24"/>
                <w:szCs w:val="24"/>
              </w:rPr>
              <w:t>ου</w:t>
            </w:r>
            <w:r w:rsidRPr="006D2AA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</w:tc>
      </w:tr>
    </w:tbl>
    <w:p w14:paraId="4EE8A8B7" w14:textId="77777777" w:rsidR="006F7156" w:rsidRDefault="006F7156" w:rsidP="00DB1411">
      <w:pPr>
        <w:tabs>
          <w:tab w:val="left" w:pos="284"/>
          <w:tab w:val="left" w:pos="567"/>
        </w:tabs>
        <w:spacing w:after="0" w:line="360" w:lineRule="auto"/>
        <w:ind w:left="-709" w:firstLine="709"/>
        <w:rPr>
          <w:rFonts w:ascii="Arial" w:hAnsi="Arial" w:cs="Arial"/>
          <w:sz w:val="20"/>
          <w:szCs w:val="20"/>
        </w:rPr>
      </w:pPr>
    </w:p>
    <w:p w14:paraId="7454A659" w14:textId="7985BDD4" w:rsidR="006F7156" w:rsidRPr="006C5DAF" w:rsidRDefault="006F7156" w:rsidP="006F7156">
      <w:pPr>
        <w:tabs>
          <w:tab w:val="left" w:pos="284"/>
          <w:tab w:val="left" w:pos="567"/>
        </w:tabs>
        <w:spacing w:after="0" w:line="240" w:lineRule="auto"/>
        <w:ind w:left="-709" w:firstLine="70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Αρ. Φακ.: </w:t>
      </w:r>
      <w:r w:rsidR="00386F40">
        <w:rPr>
          <w:rFonts w:ascii="Arial" w:hAnsi="Arial" w:cs="Arial"/>
          <w:sz w:val="20"/>
          <w:szCs w:val="20"/>
        </w:rPr>
        <w:t>23.01.06</w:t>
      </w:r>
      <w:r w:rsidR="006C5DAF">
        <w:rPr>
          <w:rFonts w:ascii="Arial" w:hAnsi="Arial" w:cs="Arial"/>
          <w:sz w:val="20"/>
          <w:szCs w:val="20"/>
          <w:lang w:val="en-US"/>
        </w:rPr>
        <w:t>3</w:t>
      </w:r>
      <w:r w:rsidR="00386F40">
        <w:rPr>
          <w:rFonts w:ascii="Arial" w:hAnsi="Arial" w:cs="Arial"/>
          <w:sz w:val="20"/>
          <w:szCs w:val="20"/>
        </w:rPr>
        <w:t>.</w:t>
      </w:r>
      <w:r w:rsidR="006C5DAF">
        <w:rPr>
          <w:rFonts w:ascii="Arial" w:hAnsi="Arial" w:cs="Arial"/>
          <w:sz w:val="20"/>
          <w:szCs w:val="20"/>
          <w:lang w:val="en-US"/>
        </w:rPr>
        <w:t>075</w:t>
      </w:r>
      <w:r w:rsidR="00386F40">
        <w:rPr>
          <w:rFonts w:ascii="Arial" w:hAnsi="Arial" w:cs="Arial"/>
          <w:sz w:val="20"/>
          <w:szCs w:val="20"/>
        </w:rPr>
        <w:t>-202</w:t>
      </w:r>
      <w:r w:rsidR="006C5DAF">
        <w:rPr>
          <w:rFonts w:ascii="Arial" w:hAnsi="Arial" w:cs="Arial"/>
          <w:sz w:val="20"/>
          <w:szCs w:val="20"/>
          <w:lang w:val="en-US"/>
        </w:rPr>
        <w:t>2</w:t>
      </w:r>
    </w:p>
    <w:p w14:paraId="16B7F82F" w14:textId="4B23BD4B" w:rsidR="00386F40" w:rsidRPr="00C27A3B" w:rsidRDefault="00386F40" w:rsidP="006F7156">
      <w:pPr>
        <w:tabs>
          <w:tab w:val="left" w:pos="284"/>
          <w:tab w:val="left" w:pos="567"/>
        </w:tabs>
        <w:spacing w:after="0" w:line="240" w:lineRule="auto"/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ΑΦ</w:t>
      </w:r>
      <w:r w:rsidR="00166D0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ΑΒ/</w:t>
      </w:r>
      <w:r w:rsidR="00EB6DC1">
        <w:rPr>
          <w:rFonts w:ascii="Arial" w:hAnsi="Arial" w:cs="Arial"/>
          <w:sz w:val="20"/>
          <w:szCs w:val="20"/>
        </w:rPr>
        <w:t>ΧΧΡ</w:t>
      </w:r>
    </w:p>
    <w:sectPr w:rsidR="00386F40" w:rsidRPr="00C27A3B" w:rsidSect="00CC67A4">
      <w:headerReference w:type="default" r:id="rId6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C407" w14:textId="77777777" w:rsidR="003A1BA5" w:rsidRDefault="003A1BA5" w:rsidP="002D7749">
      <w:pPr>
        <w:spacing w:after="0" w:line="240" w:lineRule="auto"/>
      </w:pPr>
      <w:r>
        <w:separator/>
      </w:r>
    </w:p>
  </w:endnote>
  <w:endnote w:type="continuationSeparator" w:id="0">
    <w:p w14:paraId="08E072A6" w14:textId="77777777" w:rsidR="003A1BA5" w:rsidRDefault="003A1BA5" w:rsidP="002D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8F36" w14:textId="77777777" w:rsidR="003A1BA5" w:rsidRDefault="003A1BA5" w:rsidP="002D7749">
      <w:pPr>
        <w:spacing w:after="0" w:line="240" w:lineRule="auto"/>
      </w:pPr>
      <w:r>
        <w:separator/>
      </w:r>
    </w:p>
  </w:footnote>
  <w:footnote w:type="continuationSeparator" w:id="0">
    <w:p w14:paraId="4084E7B6" w14:textId="77777777" w:rsidR="003A1BA5" w:rsidRDefault="003A1BA5" w:rsidP="002D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71243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40FBC6C" w14:textId="720DBA21" w:rsidR="00C27A3B" w:rsidRPr="00C27A3B" w:rsidRDefault="00C27A3B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27A3B">
          <w:rPr>
            <w:rFonts w:ascii="Arial" w:hAnsi="Arial" w:cs="Arial"/>
            <w:sz w:val="24"/>
            <w:szCs w:val="24"/>
          </w:rPr>
          <w:fldChar w:fldCharType="begin"/>
        </w:r>
        <w:r w:rsidRPr="00C27A3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27A3B">
          <w:rPr>
            <w:rFonts w:ascii="Arial" w:hAnsi="Arial" w:cs="Arial"/>
            <w:sz w:val="24"/>
            <w:szCs w:val="24"/>
          </w:rPr>
          <w:fldChar w:fldCharType="separate"/>
        </w:r>
        <w:r w:rsidRPr="00C27A3B">
          <w:rPr>
            <w:rFonts w:ascii="Arial" w:hAnsi="Arial" w:cs="Arial"/>
            <w:noProof/>
            <w:sz w:val="24"/>
            <w:szCs w:val="24"/>
          </w:rPr>
          <w:t>2</w:t>
        </w:r>
        <w:r w:rsidRPr="00C27A3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4A96EF" w14:textId="77777777" w:rsidR="00C27A3B" w:rsidRDefault="00C27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B5"/>
    <w:rsid w:val="0005734A"/>
    <w:rsid w:val="00072E8E"/>
    <w:rsid w:val="00166D0C"/>
    <w:rsid w:val="001832B5"/>
    <w:rsid w:val="001D1A3A"/>
    <w:rsid w:val="002009FD"/>
    <w:rsid w:val="002D7749"/>
    <w:rsid w:val="003018FB"/>
    <w:rsid w:val="00302F38"/>
    <w:rsid w:val="003642E1"/>
    <w:rsid w:val="003644B5"/>
    <w:rsid w:val="00386F40"/>
    <w:rsid w:val="003A1BA5"/>
    <w:rsid w:val="003E2F45"/>
    <w:rsid w:val="003E6392"/>
    <w:rsid w:val="003F1D2F"/>
    <w:rsid w:val="004B2AFA"/>
    <w:rsid w:val="00552EEA"/>
    <w:rsid w:val="006048BB"/>
    <w:rsid w:val="0062450F"/>
    <w:rsid w:val="006A6BE1"/>
    <w:rsid w:val="006C5DAF"/>
    <w:rsid w:val="006F7156"/>
    <w:rsid w:val="00771BB2"/>
    <w:rsid w:val="00793812"/>
    <w:rsid w:val="007967C5"/>
    <w:rsid w:val="007A2EEB"/>
    <w:rsid w:val="00806C9B"/>
    <w:rsid w:val="00836B0E"/>
    <w:rsid w:val="008416EE"/>
    <w:rsid w:val="00841BC9"/>
    <w:rsid w:val="009217DD"/>
    <w:rsid w:val="00936CE2"/>
    <w:rsid w:val="009A1A6E"/>
    <w:rsid w:val="009A1D23"/>
    <w:rsid w:val="009D3399"/>
    <w:rsid w:val="00A548C6"/>
    <w:rsid w:val="00AC3FF8"/>
    <w:rsid w:val="00B04647"/>
    <w:rsid w:val="00B20AAC"/>
    <w:rsid w:val="00BC16BB"/>
    <w:rsid w:val="00BE3B7E"/>
    <w:rsid w:val="00C260FC"/>
    <w:rsid w:val="00C27A3B"/>
    <w:rsid w:val="00C44DD8"/>
    <w:rsid w:val="00CC67A4"/>
    <w:rsid w:val="00CD4359"/>
    <w:rsid w:val="00D841E2"/>
    <w:rsid w:val="00DB1411"/>
    <w:rsid w:val="00DE1C72"/>
    <w:rsid w:val="00E530C6"/>
    <w:rsid w:val="00EB6DC1"/>
    <w:rsid w:val="00EC09F2"/>
    <w:rsid w:val="00EC51CE"/>
    <w:rsid w:val="00EE5F8A"/>
    <w:rsid w:val="00F41D86"/>
    <w:rsid w:val="00F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A441"/>
  <w15:docId w15:val="{D097272A-BDE0-4E75-A232-E3A2F281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49"/>
  </w:style>
  <w:style w:type="paragraph" w:styleId="Footer">
    <w:name w:val="footer"/>
    <w:basedOn w:val="Normal"/>
    <w:link w:val="FooterChar"/>
    <w:uiPriority w:val="99"/>
    <w:unhideWhenUsed/>
    <w:rsid w:val="002D7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49"/>
  </w:style>
  <w:style w:type="paragraph" w:styleId="BalloonText">
    <w:name w:val="Balloon Text"/>
    <w:basedOn w:val="Normal"/>
    <w:link w:val="BalloonTextChar"/>
    <w:uiPriority w:val="99"/>
    <w:semiHidden/>
    <w:unhideWhenUsed/>
    <w:rsid w:val="00B0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Hadjigeorgiou  Maria</dc:creator>
  <cp:lastModifiedBy>Chariklia Christodoulou</cp:lastModifiedBy>
  <cp:revision>8</cp:revision>
  <cp:lastPrinted>2022-05-02T10:39:00Z</cp:lastPrinted>
  <dcterms:created xsi:type="dcterms:W3CDTF">2022-05-26T09:19:00Z</dcterms:created>
  <dcterms:modified xsi:type="dcterms:W3CDTF">2022-06-22T06:46:00Z</dcterms:modified>
</cp:coreProperties>
</file>