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3"/>
        <w:gridCol w:w="567"/>
        <w:gridCol w:w="8330"/>
      </w:tblGrid>
      <w:tr w:rsidR="00FD6352" w:rsidRPr="00FD6352" w14:paraId="16A9C350" w14:textId="77777777" w:rsidTr="002C152B">
        <w:tc>
          <w:tcPr>
            <w:tcW w:w="9640" w:type="dxa"/>
            <w:gridSpan w:val="3"/>
          </w:tcPr>
          <w:p w14:paraId="3D7D1057" w14:textId="0265E2F9" w:rsidR="0034413F" w:rsidRPr="005C2DA7" w:rsidRDefault="00CF72BB" w:rsidP="007A42BB">
            <w:pPr>
              <w:spacing w:line="360" w:lineRule="auto"/>
              <w:ind w:left="214" w:right="144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</w:t>
            </w:r>
            <w:r w:rsidRPr="00CF72BB">
              <w:rPr>
                <w:rFonts w:ascii="Arial" w:hAnsi="Arial" w:cs="Arial"/>
                <w:b/>
                <w:u w:val="single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5C2DA7" w:rsidRPr="005C2DA7">
              <w:rPr>
                <w:rFonts w:ascii="Arial" w:hAnsi="Arial" w:cs="Arial"/>
                <w:b/>
                <w:u w:val="single"/>
              </w:rPr>
              <w:t>ΑΝΑΘΕΩΡΗΜΕΝΗ</w:t>
            </w:r>
          </w:p>
          <w:p w14:paraId="450CC9E2" w14:textId="5E660B61" w:rsidR="00FD6352" w:rsidRPr="00AC607F" w:rsidRDefault="0034413F" w:rsidP="007A42BB">
            <w:pPr>
              <w:spacing w:line="360" w:lineRule="auto"/>
              <w:ind w:left="21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Π</w:t>
            </w:r>
            <w:r w:rsidR="00FD6352" w:rsidRPr="00AC607F">
              <w:rPr>
                <w:rFonts w:ascii="Arial" w:hAnsi="Arial" w:cs="Arial"/>
                <w:b/>
              </w:rPr>
              <w:t>ροτεινόμεν</w:t>
            </w:r>
            <w:r w:rsidR="00EE72F8">
              <w:rPr>
                <w:rFonts w:ascii="Arial" w:hAnsi="Arial" w:cs="Arial"/>
                <w:b/>
              </w:rPr>
              <w:t>η</w:t>
            </w:r>
            <w:r w:rsidR="00FD6352" w:rsidRPr="00AC607F">
              <w:rPr>
                <w:rFonts w:ascii="Arial" w:hAnsi="Arial" w:cs="Arial"/>
                <w:b/>
              </w:rPr>
              <w:t xml:space="preserve"> τροπολογί</w:t>
            </w:r>
            <w:r w:rsidR="00EE72F8">
              <w:rPr>
                <w:rFonts w:ascii="Arial" w:hAnsi="Arial" w:cs="Arial"/>
                <w:b/>
              </w:rPr>
              <w:t>α</w:t>
            </w:r>
            <w:r w:rsidR="00FD6352" w:rsidRPr="00AC607F">
              <w:rPr>
                <w:rFonts w:ascii="Arial" w:hAnsi="Arial" w:cs="Arial"/>
                <w:b/>
              </w:rPr>
              <w:t xml:space="preserve"> του βουλευτή κ. </w:t>
            </w:r>
            <w:proofErr w:type="spellStart"/>
            <w:r w:rsidR="00925D84">
              <w:rPr>
                <w:rFonts w:ascii="Arial" w:hAnsi="Arial" w:cs="Arial"/>
                <w:b/>
              </w:rPr>
              <w:t>Πανίκου</w:t>
            </w:r>
            <w:proofErr w:type="spellEnd"/>
            <w:r w:rsidR="00925D8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25D84">
              <w:rPr>
                <w:rFonts w:ascii="Arial" w:hAnsi="Arial" w:cs="Arial"/>
                <w:b/>
              </w:rPr>
              <w:t>Λεωνίδου</w:t>
            </w:r>
            <w:proofErr w:type="spellEnd"/>
            <w:r w:rsidR="00925D84">
              <w:rPr>
                <w:rFonts w:ascii="Arial" w:hAnsi="Arial" w:cs="Arial"/>
                <w:b/>
              </w:rPr>
              <w:t xml:space="preserve"> </w:t>
            </w:r>
            <w:r w:rsidR="00A947B8">
              <w:rPr>
                <w:rFonts w:ascii="Arial" w:hAnsi="Arial" w:cs="Arial"/>
                <w:b/>
              </w:rPr>
              <w:t xml:space="preserve"> </w:t>
            </w:r>
            <w:r w:rsidR="00FD6352" w:rsidRPr="00AC607F">
              <w:rPr>
                <w:rFonts w:ascii="Arial" w:hAnsi="Arial" w:cs="Arial"/>
                <w:b/>
              </w:rPr>
              <w:t xml:space="preserve">εκ μέρους της </w:t>
            </w:r>
            <w:r w:rsidR="004E13B1">
              <w:rPr>
                <w:rFonts w:ascii="Arial" w:hAnsi="Arial" w:cs="Arial"/>
                <w:b/>
              </w:rPr>
              <w:t>κ</w:t>
            </w:r>
            <w:r w:rsidR="00FD6352" w:rsidRPr="00AC607F">
              <w:rPr>
                <w:rFonts w:ascii="Arial" w:hAnsi="Arial" w:cs="Arial"/>
                <w:b/>
              </w:rPr>
              <w:t xml:space="preserve">οινοβουλευτικής </w:t>
            </w:r>
            <w:r w:rsidR="004E13B1">
              <w:rPr>
                <w:rFonts w:ascii="Arial" w:hAnsi="Arial" w:cs="Arial"/>
                <w:b/>
              </w:rPr>
              <w:t>ο</w:t>
            </w:r>
            <w:r w:rsidR="00FD6352" w:rsidRPr="00AC607F">
              <w:rPr>
                <w:rFonts w:ascii="Arial" w:hAnsi="Arial" w:cs="Arial"/>
                <w:b/>
              </w:rPr>
              <w:t xml:space="preserve">μάδας </w:t>
            </w:r>
            <w:r w:rsidR="00925D84">
              <w:rPr>
                <w:rFonts w:ascii="Arial" w:hAnsi="Arial" w:cs="Arial"/>
                <w:b/>
              </w:rPr>
              <w:t>Δημοκρατικού Κόμματος</w:t>
            </w:r>
            <w:r w:rsidR="00ED40B3">
              <w:rPr>
                <w:rFonts w:ascii="Arial" w:hAnsi="Arial" w:cs="Arial"/>
                <w:b/>
              </w:rPr>
              <w:t>,</w:t>
            </w:r>
            <w:r w:rsidR="00925D84">
              <w:rPr>
                <w:rFonts w:ascii="Arial" w:hAnsi="Arial" w:cs="Arial"/>
                <w:b/>
              </w:rPr>
              <w:t xml:space="preserve"> του βουλευτή κ. Κωστή Ευσταθίου</w:t>
            </w:r>
            <w:r w:rsidR="001B098F" w:rsidRPr="001B098F">
              <w:rPr>
                <w:rFonts w:ascii="Arial" w:hAnsi="Arial" w:cs="Arial"/>
                <w:b/>
              </w:rPr>
              <w:t xml:space="preserve"> </w:t>
            </w:r>
            <w:r w:rsidR="004E2C48">
              <w:rPr>
                <w:rFonts w:ascii="Arial" w:hAnsi="Arial" w:cs="Arial"/>
                <w:b/>
              </w:rPr>
              <w:t xml:space="preserve">εκ μέρους του </w:t>
            </w:r>
            <w:r w:rsidR="004E2C48" w:rsidRPr="004E2C48">
              <w:rPr>
                <w:rFonts w:ascii="Arial" w:hAnsi="Arial" w:cs="Arial"/>
                <w:b/>
              </w:rPr>
              <w:t>Κινήμα</w:t>
            </w:r>
            <w:r w:rsidR="004E2C48">
              <w:rPr>
                <w:rFonts w:ascii="Arial" w:hAnsi="Arial" w:cs="Arial"/>
                <w:b/>
              </w:rPr>
              <w:t>τος</w:t>
            </w:r>
            <w:r w:rsidR="004E2C48" w:rsidRPr="004E2C48">
              <w:rPr>
                <w:rFonts w:ascii="Arial" w:hAnsi="Arial" w:cs="Arial"/>
                <w:b/>
              </w:rPr>
              <w:t xml:space="preserve"> Σοσιαλδημοκρατών ΕΔΕΚ</w:t>
            </w:r>
            <w:r w:rsidR="004E2C48">
              <w:rPr>
                <w:rFonts w:ascii="Arial" w:hAnsi="Arial" w:cs="Arial"/>
                <w:b/>
              </w:rPr>
              <w:t>,</w:t>
            </w:r>
            <w:r w:rsidR="00ED40B3">
              <w:rPr>
                <w:rFonts w:ascii="Arial" w:hAnsi="Arial" w:cs="Arial"/>
                <w:b/>
              </w:rPr>
              <w:t xml:space="preserve"> του βουλευτή κ. Νίκου </w:t>
            </w:r>
            <w:proofErr w:type="spellStart"/>
            <w:r w:rsidR="00ED40B3">
              <w:rPr>
                <w:rFonts w:ascii="Arial" w:hAnsi="Arial" w:cs="Arial"/>
                <w:b/>
              </w:rPr>
              <w:t>Τορναρίτη</w:t>
            </w:r>
            <w:proofErr w:type="spellEnd"/>
            <w:r w:rsidR="00ED40B3">
              <w:rPr>
                <w:rFonts w:ascii="Arial" w:hAnsi="Arial" w:cs="Arial"/>
                <w:b/>
              </w:rPr>
              <w:t xml:space="preserve"> εκ μέρους </w:t>
            </w:r>
            <w:r w:rsidR="00ED40B3" w:rsidRPr="00ED40B3">
              <w:rPr>
                <w:rFonts w:ascii="Arial" w:hAnsi="Arial" w:cs="Arial"/>
                <w:b/>
              </w:rPr>
              <w:t xml:space="preserve">της </w:t>
            </w:r>
            <w:r w:rsidR="004E13B1">
              <w:rPr>
                <w:rFonts w:ascii="Arial" w:hAnsi="Arial" w:cs="Arial"/>
                <w:b/>
              </w:rPr>
              <w:t>κ</w:t>
            </w:r>
            <w:r w:rsidR="00ED40B3" w:rsidRPr="00ED40B3">
              <w:rPr>
                <w:rFonts w:ascii="Arial" w:hAnsi="Arial" w:cs="Arial"/>
                <w:b/>
              </w:rPr>
              <w:t xml:space="preserve">οινοβουλευτικής </w:t>
            </w:r>
            <w:r w:rsidR="004E13B1">
              <w:rPr>
                <w:rFonts w:ascii="Arial" w:hAnsi="Arial" w:cs="Arial"/>
                <w:b/>
              </w:rPr>
              <w:t>ο</w:t>
            </w:r>
            <w:r w:rsidR="00ED40B3" w:rsidRPr="00ED40B3">
              <w:rPr>
                <w:rFonts w:ascii="Arial" w:hAnsi="Arial" w:cs="Arial"/>
                <w:b/>
              </w:rPr>
              <w:t xml:space="preserve">μάδας Δημοκρατικού </w:t>
            </w:r>
            <w:r w:rsidR="004E13B1">
              <w:rPr>
                <w:rFonts w:ascii="Arial" w:hAnsi="Arial" w:cs="Arial"/>
                <w:b/>
              </w:rPr>
              <w:t>Συναγερμού</w:t>
            </w:r>
            <w:r w:rsidR="004E2C48">
              <w:rPr>
                <w:rFonts w:ascii="Arial" w:hAnsi="Arial" w:cs="Arial"/>
                <w:b/>
              </w:rPr>
              <w:t xml:space="preserve"> και του βουλευτή κ. Άριστου Δαμιανού εκ μέρους </w:t>
            </w:r>
            <w:r w:rsidR="001B098F">
              <w:rPr>
                <w:rFonts w:ascii="Arial" w:hAnsi="Arial" w:cs="Arial"/>
                <w:b/>
              </w:rPr>
              <w:t xml:space="preserve"> </w:t>
            </w:r>
            <w:r w:rsidR="004E2C48" w:rsidRPr="00ED40B3">
              <w:rPr>
                <w:rFonts w:ascii="Arial" w:hAnsi="Arial" w:cs="Arial"/>
                <w:b/>
              </w:rPr>
              <w:t xml:space="preserve">της </w:t>
            </w:r>
            <w:r w:rsidR="004E2C48">
              <w:rPr>
                <w:rFonts w:ascii="Arial" w:hAnsi="Arial" w:cs="Arial"/>
                <w:b/>
              </w:rPr>
              <w:t>κ</w:t>
            </w:r>
            <w:r w:rsidR="004E2C48" w:rsidRPr="00ED40B3">
              <w:rPr>
                <w:rFonts w:ascii="Arial" w:hAnsi="Arial" w:cs="Arial"/>
                <w:b/>
              </w:rPr>
              <w:t xml:space="preserve">οινοβουλευτικής </w:t>
            </w:r>
            <w:r w:rsidR="004E2C48">
              <w:rPr>
                <w:rFonts w:ascii="Arial" w:hAnsi="Arial" w:cs="Arial"/>
                <w:b/>
              </w:rPr>
              <w:t>ο</w:t>
            </w:r>
            <w:r w:rsidR="004E2C48" w:rsidRPr="00ED40B3">
              <w:rPr>
                <w:rFonts w:ascii="Arial" w:hAnsi="Arial" w:cs="Arial"/>
                <w:b/>
              </w:rPr>
              <w:t xml:space="preserve">μάδας </w:t>
            </w:r>
            <w:r w:rsidR="004E2C48" w:rsidRPr="00AC607F">
              <w:rPr>
                <w:rFonts w:ascii="Arial" w:hAnsi="Arial" w:cs="Arial"/>
                <w:b/>
              </w:rPr>
              <w:t xml:space="preserve">ΑΚΕΛ-Αριστερά-Νέες Δυνάμεις </w:t>
            </w:r>
            <w:r>
              <w:rPr>
                <w:rFonts w:ascii="Arial" w:hAnsi="Arial" w:cs="Arial"/>
                <w:b/>
              </w:rPr>
              <w:t xml:space="preserve">για </w:t>
            </w:r>
            <w:r w:rsidR="00FD6352" w:rsidRPr="00AC607F">
              <w:rPr>
                <w:rFonts w:ascii="Arial" w:hAnsi="Arial" w:cs="Arial"/>
                <w:b/>
              </w:rPr>
              <w:t xml:space="preserve">το νομοσχέδιο </w:t>
            </w:r>
            <w:r w:rsidR="00060D41">
              <w:rPr>
                <w:rFonts w:ascii="Arial" w:hAnsi="Arial" w:cs="Arial"/>
                <w:b/>
              </w:rPr>
              <w:t>«</w:t>
            </w:r>
            <w:r w:rsidR="004C6CC8">
              <w:rPr>
                <w:rFonts w:ascii="Arial" w:hAnsi="Arial" w:cs="Arial"/>
                <w:b/>
                <w:bCs/>
                <w:lang w:val="en-US"/>
              </w:rPr>
              <w:t>o</w:t>
            </w:r>
            <w:r w:rsidR="004C6CC8" w:rsidRPr="004C6CC8">
              <w:rPr>
                <w:rFonts w:ascii="Arial" w:hAnsi="Arial" w:cs="Arial"/>
                <w:b/>
                <w:bCs/>
              </w:rPr>
              <w:t xml:space="preserve"> περί</w:t>
            </w:r>
            <w:r w:rsidR="00A947B8">
              <w:rPr>
                <w:rFonts w:ascii="Arial" w:hAnsi="Arial" w:cs="Arial"/>
                <w:b/>
                <w:bCs/>
              </w:rPr>
              <w:t xml:space="preserve"> </w:t>
            </w:r>
            <w:r w:rsidR="0069541E">
              <w:rPr>
                <w:rFonts w:ascii="Arial" w:hAnsi="Arial" w:cs="Arial"/>
                <w:b/>
                <w:bCs/>
              </w:rPr>
              <w:t xml:space="preserve">της Εικοστής Δεύτερης Τροποποίησης του Συντάγματος </w:t>
            </w:r>
            <w:r w:rsidR="00A947B8">
              <w:rPr>
                <w:rFonts w:ascii="Arial" w:hAnsi="Arial" w:cs="Arial"/>
                <w:b/>
                <w:bCs/>
              </w:rPr>
              <w:t>Νόμος του 20</w:t>
            </w:r>
            <w:r w:rsidR="0069541E">
              <w:rPr>
                <w:rFonts w:ascii="Arial" w:hAnsi="Arial" w:cs="Arial"/>
                <w:b/>
                <w:bCs/>
              </w:rPr>
              <w:t>19</w:t>
            </w:r>
            <w:r w:rsidR="00FD6352" w:rsidRPr="00AC607F">
              <w:rPr>
                <w:rFonts w:ascii="Arial" w:hAnsi="Arial" w:cs="Arial"/>
                <w:b/>
              </w:rPr>
              <w:t>»</w:t>
            </w:r>
          </w:p>
        </w:tc>
      </w:tr>
      <w:tr w:rsidR="00FD6352" w:rsidRPr="00FD6352" w14:paraId="18182EC0" w14:textId="77777777" w:rsidTr="002C152B">
        <w:tc>
          <w:tcPr>
            <w:tcW w:w="9640" w:type="dxa"/>
            <w:gridSpan w:val="3"/>
          </w:tcPr>
          <w:p w14:paraId="776FD3AB" w14:textId="77777777" w:rsidR="00FD6352" w:rsidRPr="00FD6352" w:rsidRDefault="00FD6352" w:rsidP="00CE3B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2E19" w:rsidRPr="00FD6352" w14:paraId="50E75A95" w14:textId="77777777" w:rsidTr="00E716DF">
        <w:trPr>
          <w:trHeight w:val="20"/>
        </w:trPr>
        <w:tc>
          <w:tcPr>
            <w:tcW w:w="743" w:type="dxa"/>
          </w:tcPr>
          <w:p w14:paraId="28D87603" w14:textId="0A85057D" w:rsidR="002F2E19" w:rsidRDefault="002C152B" w:rsidP="00CE3BE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Α.</w:t>
            </w:r>
          </w:p>
        </w:tc>
        <w:tc>
          <w:tcPr>
            <w:tcW w:w="8897" w:type="dxa"/>
            <w:gridSpan w:val="2"/>
          </w:tcPr>
          <w:p w14:paraId="13341A73" w14:textId="3F664D08" w:rsidR="002F2E19" w:rsidRPr="00FD6352" w:rsidRDefault="002F2E19" w:rsidP="00CE3BE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Γίνεται εισήγηση για </w:t>
            </w:r>
            <w:r w:rsidR="002F476D">
              <w:rPr>
                <w:rFonts w:ascii="Arial" w:hAnsi="Arial" w:cs="Arial"/>
                <w:bCs/>
              </w:rPr>
              <w:t xml:space="preserve">τροποποίηση του άρθρου 4 του νομοσχεδίου, </w:t>
            </w:r>
            <w:r w:rsidR="009F51DE">
              <w:rPr>
                <w:rFonts w:ascii="Arial" w:hAnsi="Arial" w:cs="Arial"/>
                <w:bCs/>
              </w:rPr>
              <w:t>ώστε να προστεθεί</w:t>
            </w:r>
            <w:r w:rsidR="00767207">
              <w:rPr>
                <w:rFonts w:ascii="Arial" w:hAnsi="Arial" w:cs="Arial"/>
                <w:bCs/>
              </w:rPr>
              <w:t>,</w:t>
            </w:r>
            <w:r w:rsidR="009F51DE">
              <w:rPr>
                <w:rFonts w:ascii="Arial" w:hAnsi="Arial" w:cs="Arial"/>
                <w:bCs/>
              </w:rPr>
              <w:t xml:space="preserve"> αμέσως </w:t>
            </w:r>
            <w:r w:rsidR="004425FF">
              <w:rPr>
                <w:rFonts w:ascii="Arial" w:hAnsi="Arial" w:cs="Arial"/>
                <w:bCs/>
              </w:rPr>
              <w:t>μετά την παράγραφο (</w:t>
            </w:r>
            <w:r w:rsidR="009F51DE">
              <w:rPr>
                <w:rFonts w:ascii="Arial" w:hAnsi="Arial" w:cs="Arial"/>
                <w:bCs/>
              </w:rPr>
              <w:t>α</w:t>
            </w:r>
            <w:r w:rsidR="004425FF">
              <w:rPr>
                <w:rFonts w:ascii="Arial" w:hAnsi="Arial" w:cs="Arial"/>
                <w:bCs/>
              </w:rPr>
              <w:t xml:space="preserve">) αυτού, </w:t>
            </w:r>
            <w:r w:rsidR="009F51DE">
              <w:rPr>
                <w:rFonts w:ascii="Arial" w:hAnsi="Arial" w:cs="Arial"/>
                <w:bCs/>
              </w:rPr>
              <w:t>η</w:t>
            </w:r>
            <w:r w:rsidR="004425FF">
              <w:rPr>
                <w:rFonts w:ascii="Arial" w:hAnsi="Arial" w:cs="Arial"/>
                <w:bCs/>
              </w:rPr>
              <w:t xml:space="preserve"> ακόλουθη</w:t>
            </w:r>
            <w:r w:rsidR="002F476D">
              <w:rPr>
                <w:rFonts w:ascii="Arial" w:hAnsi="Arial" w:cs="Arial"/>
                <w:bCs/>
              </w:rPr>
              <w:t xml:space="preserve"> νέα </w:t>
            </w:r>
            <w:r w:rsidR="00280B9C">
              <w:rPr>
                <w:rFonts w:ascii="Arial" w:hAnsi="Arial" w:cs="Arial"/>
                <w:bCs/>
              </w:rPr>
              <w:t>παράγραφος και να αναριθμηθεί η υφιστάμενη παράγραφος (β) σε παράγραφο (γ)</w:t>
            </w:r>
            <w:r w:rsidR="002F476D">
              <w:rPr>
                <w:rFonts w:ascii="Arial" w:hAnsi="Arial" w:cs="Arial"/>
                <w:bCs/>
              </w:rPr>
              <w:t>:</w:t>
            </w:r>
          </w:p>
        </w:tc>
      </w:tr>
      <w:tr w:rsidR="00ED40B3" w:rsidRPr="00FD6352" w14:paraId="1771C9FA" w14:textId="77777777" w:rsidTr="00E716DF">
        <w:trPr>
          <w:trHeight w:val="20"/>
        </w:trPr>
        <w:tc>
          <w:tcPr>
            <w:tcW w:w="743" w:type="dxa"/>
          </w:tcPr>
          <w:p w14:paraId="52E8D4E3" w14:textId="77777777" w:rsidR="00ED40B3" w:rsidRDefault="00ED40B3" w:rsidP="00CE3BE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14:paraId="493BE108" w14:textId="77777777" w:rsidR="00ED40B3" w:rsidRDefault="00ED40B3" w:rsidP="007002F1">
            <w:pPr>
              <w:spacing w:line="360" w:lineRule="auto"/>
              <w:ind w:left="738" w:hanging="85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30" w:type="dxa"/>
          </w:tcPr>
          <w:p w14:paraId="1934BE36" w14:textId="77777777" w:rsidR="00ED40B3" w:rsidRPr="00ED40B3" w:rsidRDefault="00ED40B3" w:rsidP="00E66252">
            <w:pPr>
              <w:spacing w:line="360" w:lineRule="auto"/>
              <w:ind w:left="38"/>
              <w:jc w:val="both"/>
              <w:rPr>
                <w:rFonts w:ascii="Arial" w:hAnsi="Arial" w:cs="Arial"/>
                <w:bCs/>
              </w:rPr>
            </w:pPr>
          </w:p>
        </w:tc>
      </w:tr>
      <w:tr w:rsidR="00E716DF" w:rsidRPr="00FD6352" w14:paraId="35737AA5" w14:textId="77777777" w:rsidTr="00E716DF">
        <w:trPr>
          <w:trHeight w:val="20"/>
        </w:trPr>
        <w:tc>
          <w:tcPr>
            <w:tcW w:w="743" w:type="dxa"/>
          </w:tcPr>
          <w:p w14:paraId="21DF2815" w14:textId="77777777" w:rsidR="00E716DF" w:rsidRDefault="00E716DF" w:rsidP="00E716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14:paraId="09116425" w14:textId="694EB6C6" w:rsidR="00E716DF" w:rsidRDefault="00E716DF" w:rsidP="00E716DF">
            <w:pPr>
              <w:spacing w:line="360" w:lineRule="auto"/>
              <w:ind w:left="738" w:hanging="85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«(</w:t>
            </w:r>
            <w:r w:rsidR="00451264">
              <w:rPr>
                <w:rFonts w:ascii="Arial" w:hAnsi="Arial" w:cs="Arial"/>
                <w:bCs/>
              </w:rPr>
              <w:t>β</w:t>
            </w:r>
            <w:r>
              <w:rPr>
                <w:rFonts w:ascii="Arial" w:hAnsi="Arial" w:cs="Arial"/>
                <w:bCs/>
              </w:rPr>
              <w:t xml:space="preserve">)  </w:t>
            </w:r>
          </w:p>
        </w:tc>
        <w:tc>
          <w:tcPr>
            <w:tcW w:w="8330" w:type="dxa"/>
          </w:tcPr>
          <w:p w14:paraId="7B3B853D" w14:textId="75102667" w:rsidR="00E716DF" w:rsidRPr="00ED40B3" w:rsidRDefault="00E716DF" w:rsidP="00E716DF">
            <w:pPr>
              <w:spacing w:line="360" w:lineRule="auto"/>
              <w:ind w:left="38"/>
              <w:jc w:val="both"/>
              <w:rPr>
                <w:rFonts w:ascii="Arial" w:hAnsi="Arial" w:cs="Arial"/>
                <w:bCs/>
              </w:rPr>
            </w:pPr>
            <w:r w:rsidRPr="00ED40B3">
              <w:rPr>
                <w:rFonts w:ascii="Arial" w:hAnsi="Arial" w:cs="Arial"/>
                <w:bCs/>
              </w:rPr>
              <w:t>με την</w:t>
            </w:r>
            <w:r>
              <w:rPr>
                <w:rFonts w:ascii="Arial" w:hAnsi="Arial" w:cs="Arial"/>
                <w:bCs/>
              </w:rPr>
              <w:t xml:space="preserve"> αντικατάσταση</w:t>
            </w:r>
            <w:r w:rsidRPr="00ED40B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της </w:t>
            </w:r>
            <w:proofErr w:type="spellStart"/>
            <w:r>
              <w:rPr>
                <w:rFonts w:ascii="Arial" w:hAnsi="Arial" w:cs="Arial"/>
                <w:bCs/>
              </w:rPr>
              <w:t>υποπαραγράφου</w:t>
            </w:r>
            <w:proofErr w:type="spellEnd"/>
            <w:r>
              <w:rPr>
                <w:rFonts w:ascii="Arial" w:hAnsi="Arial" w:cs="Arial"/>
                <w:bCs/>
              </w:rPr>
              <w:t xml:space="preserve"> (δ) της παραγράφου 4 αυτού, με την ακόλουθη παράγραφο: </w:t>
            </w:r>
          </w:p>
        </w:tc>
      </w:tr>
      <w:tr w:rsidR="00E716DF" w:rsidRPr="00FD6352" w14:paraId="1A7C0058" w14:textId="77777777" w:rsidTr="00E716DF">
        <w:trPr>
          <w:trHeight w:val="20"/>
        </w:trPr>
        <w:tc>
          <w:tcPr>
            <w:tcW w:w="743" w:type="dxa"/>
          </w:tcPr>
          <w:p w14:paraId="5EE1023D" w14:textId="77777777" w:rsidR="00E716DF" w:rsidRDefault="00E716DF" w:rsidP="00E716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14:paraId="791FC0B0" w14:textId="77777777" w:rsidR="00E716DF" w:rsidRDefault="00E716DF" w:rsidP="00E716DF">
            <w:pPr>
              <w:spacing w:line="360" w:lineRule="auto"/>
              <w:ind w:left="738" w:hanging="85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30" w:type="dxa"/>
          </w:tcPr>
          <w:p w14:paraId="52301AAB" w14:textId="77777777" w:rsidR="00E716DF" w:rsidRPr="00ED40B3" w:rsidRDefault="00E716DF" w:rsidP="00E716DF">
            <w:pPr>
              <w:spacing w:line="360" w:lineRule="auto"/>
              <w:ind w:left="38"/>
              <w:jc w:val="both"/>
              <w:rPr>
                <w:rFonts w:ascii="Arial" w:hAnsi="Arial" w:cs="Arial"/>
                <w:bCs/>
              </w:rPr>
            </w:pPr>
          </w:p>
        </w:tc>
      </w:tr>
      <w:tr w:rsidR="00E716DF" w:rsidRPr="00FD6352" w14:paraId="3CF445CB" w14:textId="77777777" w:rsidTr="00E716DF">
        <w:trPr>
          <w:trHeight w:val="20"/>
        </w:trPr>
        <w:tc>
          <w:tcPr>
            <w:tcW w:w="743" w:type="dxa"/>
          </w:tcPr>
          <w:p w14:paraId="7DE7CF6F" w14:textId="77777777" w:rsidR="00E716DF" w:rsidRDefault="00E716DF" w:rsidP="00E716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14:paraId="410DC03F" w14:textId="77777777" w:rsidR="00E716DF" w:rsidRDefault="00E716DF" w:rsidP="00E716DF">
            <w:pPr>
              <w:spacing w:line="360" w:lineRule="auto"/>
              <w:ind w:left="738" w:hanging="85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30" w:type="dxa"/>
          </w:tcPr>
          <w:p w14:paraId="47951285" w14:textId="648EE12C" w:rsidR="00E716DF" w:rsidRPr="00ED40B3" w:rsidRDefault="00E716DF" w:rsidP="00E716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425FF">
              <w:rPr>
                <w:rFonts w:ascii="Arial" w:hAnsi="Arial" w:cs="Arial"/>
                <w:bCs/>
              </w:rPr>
              <w:t>“</w:t>
            </w:r>
            <w:r>
              <w:rPr>
                <w:rFonts w:ascii="Arial" w:hAnsi="Arial" w:cs="Arial"/>
                <w:bCs/>
              </w:rPr>
              <w:t xml:space="preserve">(δ) να τροποποιήσει εν </w:t>
            </w:r>
            <w:proofErr w:type="spellStart"/>
            <w:r>
              <w:rPr>
                <w:rFonts w:ascii="Arial" w:hAnsi="Arial" w:cs="Arial"/>
                <w:bCs/>
              </w:rPr>
              <w:t>όλω</w:t>
            </w:r>
            <w:proofErr w:type="spellEnd"/>
            <w:r>
              <w:rPr>
                <w:rFonts w:ascii="Arial" w:hAnsi="Arial" w:cs="Arial"/>
                <w:bCs/>
              </w:rPr>
              <w:t xml:space="preserve"> ή εν μέρει την απόφαση ή την πράξη, ως νόμος ήθελε ορίσει, νοουμένου ότι αυτή αφορά φορολογικό ζήτημα ή είναι απόφαση ή πράξη </w:t>
            </w:r>
            <w:proofErr w:type="spellStart"/>
            <w:r>
              <w:rPr>
                <w:rFonts w:ascii="Arial" w:hAnsi="Arial" w:cs="Arial"/>
                <w:bCs/>
              </w:rPr>
              <w:t>αφορώσα</w:t>
            </w:r>
            <w:proofErr w:type="spellEnd"/>
            <w:r>
              <w:rPr>
                <w:rFonts w:ascii="Arial" w:hAnsi="Arial" w:cs="Arial"/>
                <w:bCs/>
              </w:rPr>
              <w:t xml:space="preserve"> σε διαδικασία διεθνούς προστασίας κατά το δίκαιο της Ευρωπαϊκής Ένωσης ή </w:t>
            </w:r>
            <w:proofErr w:type="spellStart"/>
            <w:r>
              <w:rPr>
                <w:rFonts w:ascii="Arial" w:hAnsi="Arial" w:cs="Arial"/>
                <w:bCs/>
              </w:rPr>
              <w:t>αφορώσα</w:t>
            </w:r>
            <w:proofErr w:type="spellEnd"/>
            <w:r>
              <w:rPr>
                <w:rFonts w:ascii="Arial" w:hAnsi="Arial" w:cs="Arial"/>
                <w:bCs/>
              </w:rPr>
              <w:t xml:space="preserve">  σε οποιοδήποτε άλλο θέμα ως νόμος ήθελε ορίσει.</w:t>
            </w:r>
            <w:r w:rsidRPr="004425FF"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Cs/>
              </w:rPr>
              <w:t>»</w:t>
            </w:r>
            <w:r w:rsidRPr="004425FF">
              <w:rPr>
                <w:rFonts w:ascii="Arial" w:hAnsi="Arial" w:cs="Arial"/>
                <w:bCs/>
              </w:rPr>
              <w:t>.</w:t>
            </w:r>
          </w:p>
        </w:tc>
      </w:tr>
      <w:tr w:rsidR="00E716DF" w:rsidRPr="00FD6352" w14:paraId="4EBEFCA0" w14:textId="77777777" w:rsidTr="00E716DF">
        <w:trPr>
          <w:trHeight w:val="20"/>
        </w:trPr>
        <w:tc>
          <w:tcPr>
            <w:tcW w:w="743" w:type="dxa"/>
          </w:tcPr>
          <w:p w14:paraId="042EC07A" w14:textId="77777777" w:rsidR="00E716DF" w:rsidRDefault="00E716DF" w:rsidP="00E716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14:paraId="109ABCC6" w14:textId="77777777" w:rsidR="00E716DF" w:rsidRDefault="00E716DF" w:rsidP="00E716DF">
            <w:pPr>
              <w:spacing w:line="360" w:lineRule="auto"/>
              <w:ind w:left="738" w:hanging="85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30" w:type="dxa"/>
          </w:tcPr>
          <w:p w14:paraId="1B48B11A" w14:textId="77777777" w:rsidR="00E716DF" w:rsidRPr="00ED40B3" w:rsidRDefault="00E716DF" w:rsidP="00E716DF">
            <w:pPr>
              <w:spacing w:line="360" w:lineRule="auto"/>
              <w:ind w:left="38"/>
              <w:jc w:val="both"/>
              <w:rPr>
                <w:rFonts w:ascii="Arial" w:hAnsi="Arial" w:cs="Arial"/>
                <w:bCs/>
              </w:rPr>
            </w:pPr>
          </w:p>
        </w:tc>
      </w:tr>
      <w:tr w:rsidR="00E716DF" w:rsidRPr="00FD6352" w14:paraId="65FD981F" w14:textId="77777777" w:rsidTr="00E716DF">
        <w:trPr>
          <w:trHeight w:val="20"/>
        </w:trPr>
        <w:tc>
          <w:tcPr>
            <w:tcW w:w="743" w:type="dxa"/>
          </w:tcPr>
          <w:p w14:paraId="40535732" w14:textId="77777777" w:rsidR="00E716DF" w:rsidRDefault="00E716DF" w:rsidP="00E716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897" w:type="dxa"/>
            <w:gridSpan w:val="2"/>
          </w:tcPr>
          <w:p w14:paraId="36434D28" w14:textId="77777777" w:rsidR="00E716DF" w:rsidRDefault="00E716DF" w:rsidP="00E716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352">
              <w:rPr>
                <w:rFonts w:ascii="Arial" w:hAnsi="Arial" w:cs="Arial"/>
                <w:b/>
                <w:bCs/>
              </w:rPr>
              <w:t>Επεξήγηση</w:t>
            </w:r>
            <w:r w:rsidRPr="00FD635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5844E477" w14:textId="02A5EDA7" w:rsidR="00E716DF" w:rsidRDefault="00E716DF" w:rsidP="00E716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D6352">
              <w:rPr>
                <w:rFonts w:ascii="Arial" w:hAnsi="Arial" w:cs="Arial"/>
              </w:rPr>
              <w:t>Με την προτεινόμενη τροπολογία</w:t>
            </w:r>
            <w:r>
              <w:rPr>
                <w:rFonts w:ascii="Arial" w:hAnsi="Arial" w:cs="Arial"/>
              </w:rPr>
              <w:t xml:space="preserve"> εισάγεται συνταγματικά η δυνατότητα της άσκησης ελέγχου ουσίας από διοικητικό δικαστήριο επί πάσης προσφυγής </w:t>
            </w:r>
            <w:proofErr w:type="spellStart"/>
            <w:r>
              <w:rPr>
                <w:rFonts w:ascii="Arial" w:hAnsi="Arial" w:cs="Arial"/>
              </w:rPr>
              <w:t>ασκουμένης</w:t>
            </w:r>
            <w:proofErr w:type="spellEnd"/>
            <w:r>
              <w:rPr>
                <w:rFonts w:ascii="Arial" w:hAnsi="Arial" w:cs="Arial"/>
              </w:rPr>
              <w:t xml:space="preserve"> δυνάμει του Άρθρου 146 του Συντάγματος, ο οποίος ήδη ασκείται για φορολογικά ζητήματα και ζητήματα διεθνούς προστασίας κατά το δίκαιο της Ευρωπαϊκής Ένωσης.</w:t>
            </w:r>
          </w:p>
        </w:tc>
      </w:tr>
      <w:tr w:rsidR="00E716DF" w:rsidRPr="00FD6352" w14:paraId="22DECC04" w14:textId="77777777" w:rsidTr="00E716DF">
        <w:trPr>
          <w:trHeight w:val="20"/>
        </w:trPr>
        <w:tc>
          <w:tcPr>
            <w:tcW w:w="743" w:type="dxa"/>
          </w:tcPr>
          <w:p w14:paraId="397CF03D" w14:textId="77777777" w:rsidR="00E716DF" w:rsidRDefault="00E716DF" w:rsidP="00E716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897" w:type="dxa"/>
            <w:gridSpan w:val="2"/>
          </w:tcPr>
          <w:p w14:paraId="091918F3" w14:textId="77777777" w:rsidR="00E716DF" w:rsidRPr="00FD6352" w:rsidRDefault="00E716DF" w:rsidP="00E716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716DF" w:rsidRPr="00FD6352" w14:paraId="54F6F7B0" w14:textId="77777777" w:rsidTr="00E716DF">
        <w:tc>
          <w:tcPr>
            <w:tcW w:w="743" w:type="dxa"/>
          </w:tcPr>
          <w:p w14:paraId="477509D5" w14:textId="44E46F0C" w:rsidR="00E716DF" w:rsidRPr="00FD6352" w:rsidRDefault="00E716DF" w:rsidP="00E716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Β.</w:t>
            </w:r>
          </w:p>
        </w:tc>
        <w:tc>
          <w:tcPr>
            <w:tcW w:w="8897" w:type="dxa"/>
            <w:gridSpan w:val="2"/>
          </w:tcPr>
          <w:p w14:paraId="5A7BA85E" w14:textId="2E6D2B1D" w:rsidR="00E716DF" w:rsidRPr="00FD6352" w:rsidRDefault="00E716DF" w:rsidP="00E716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100C">
              <w:rPr>
                <w:rFonts w:ascii="Arial" w:hAnsi="Arial" w:cs="Arial"/>
              </w:rPr>
              <w:t>Να γίνουν οι συνακόλουθες νομοτεχνικές διορθώσεις.</w:t>
            </w:r>
          </w:p>
        </w:tc>
      </w:tr>
    </w:tbl>
    <w:p w14:paraId="5DDB1706" w14:textId="77777777" w:rsidR="00750270" w:rsidRDefault="00750270" w:rsidP="00CE3BE8">
      <w:pPr>
        <w:spacing w:line="360" w:lineRule="auto"/>
        <w:rPr>
          <w:rFonts w:ascii="Arial" w:hAnsi="Arial" w:cs="Arial"/>
          <w:sz w:val="16"/>
          <w:szCs w:val="16"/>
        </w:rPr>
      </w:pPr>
    </w:p>
    <w:p w14:paraId="636300AC" w14:textId="2357D254" w:rsidR="00617E10" w:rsidRDefault="009F5E0A" w:rsidP="00CE3BE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bookmarkStart w:id="0" w:name="_GoBack"/>
      <w:bookmarkEnd w:id="0"/>
    </w:p>
    <w:p w14:paraId="486910C7" w14:textId="77777777" w:rsidR="00617E10" w:rsidRDefault="00617E10" w:rsidP="00CE3BE8">
      <w:pPr>
        <w:spacing w:line="360" w:lineRule="auto"/>
        <w:rPr>
          <w:rFonts w:ascii="Arial" w:hAnsi="Arial" w:cs="Arial"/>
          <w:sz w:val="16"/>
          <w:szCs w:val="16"/>
        </w:rPr>
      </w:pPr>
    </w:p>
    <w:p w14:paraId="2CB53B83" w14:textId="1C1E5CD8" w:rsidR="00617E10" w:rsidRDefault="00D41D74" w:rsidP="00CE3BE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ΝΚ/</w:t>
      </w:r>
    </w:p>
    <w:p w14:paraId="55023636" w14:textId="1B76B197" w:rsidR="0084100C" w:rsidRPr="0084100C" w:rsidRDefault="0084100C" w:rsidP="00CE3BE8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84100C">
        <w:rPr>
          <w:rFonts w:ascii="Arial" w:hAnsi="Arial" w:cs="Arial"/>
          <w:sz w:val="16"/>
          <w:szCs w:val="16"/>
        </w:rPr>
        <w:t>Αρ</w:t>
      </w:r>
      <w:proofErr w:type="spellEnd"/>
      <w:r w:rsidRPr="0084100C">
        <w:rPr>
          <w:rFonts w:ascii="Arial" w:hAnsi="Arial" w:cs="Arial"/>
          <w:sz w:val="16"/>
          <w:szCs w:val="16"/>
        </w:rPr>
        <w:t>. Φακ.:23.01.</w:t>
      </w:r>
      <w:r w:rsidR="00E56C7B">
        <w:rPr>
          <w:rFonts w:ascii="Arial" w:hAnsi="Arial" w:cs="Arial"/>
          <w:sz w:val="16"/>
          <w:szCs w:val="16"/>
        </w:rPr>
        <w:t>060.1</w:t>
      </w:r>
      <w:r w:rsidR="002C152B">
        <w:rPr>
          <w:rFonts w:ascii="Arial" w:hAnsi="Arial" w:cs="Arial"/>
          <w:sz w:val="16"/>
          <w:szCs w:val="16"/>
        </w:rPr>
        <w:t>29</w:t>
      </w:r>
      <w:r w:rsidRPr="0084100C">
        <w:rPr>
          <w:rFonts w:ascii="Arial" w:hAnsi="Arial" w:cs="Arial"/>
          <w:sz w:val="16"/>
          <w:szCs w:val="16"/>
        </w:rPr>
        <w:t>-20</w:t>
      </w:r>
      <w:r w:rsidR="00E56C7B">
        <w:rPr>
          <w:rFonts w:ascii="Arial" w:hAnsi="Arial" w:cs="Arial"/>
          <w:sz w:val="16"/>
          <w:szCs w:val="16"/>
        </w:rPr>
        <w:t>19</w:t>
      </w:r>
    </w:p>
    <w:sectPr w:rsidR="0084100C" w:rsidRPr="0084100C" w:rsidSect="00C10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9395B" w14:textId="77777777" w:rsidR="006E7346" w:rsidRDefault="006E7346" w:rsidP="00FD6352">
      <w:r>
        <w:separator/>
      </w:r>
    </w:p>
  </w:endnote>
  <w:endnote w:type="continuationSeparator" w:id="0">
    <w:p w14:paraId="0AB33121" w14:textId="77777777" w:rsidR="006E7346" w:rsidRDefault="006E7346" w:rsidP="00FD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44DC5" w14:textId="77777777" w:rsidR="006E7346" w:rsidRDefault="006E7346" w:rsidP="00FD6352">
      <w:r>
        <w:separator/>
      </w:r>
    </w:p>
  </w:footnote>
  <w:footnote w:type="continuationSeparator" w:id="0">
    <w:p w14:paraId="3B8185BC" w14:textId="77777777" w:rsidR="006E7346" w:rsidRDefault="006E7346" w:rsidP="00FD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2D3"/>
    <w:multiLevelType w:val="hybridMultilevel"/>
    <w:tmpl w:val="CA887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10F2"/>
    <w:multiLevelType w:val="hybridMultilevel"/>
    <w:tmpl w:val="241460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32FD0"/>
    <w:multiLevelType w:val="hybridMultilevel"/>
    <w:tmpl w:val="7BFABE70"/>
    <w:lvl w:ilvl="0" w:tplc="14BE0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52"/>
    <w:rsid w:val="000031E0"/>
    <w:rsid w:val="000252F3"/>
    <w:rsid w:val="000435A5"/>
    <w:rsid w:val="00060D41"/>
    <w:rsid w:val="00086A9A"/>
    <w:rsid w:val="00151386"/>
    <w:rsid w:val="0016378F"/>
    <w:rsid w:val="0016483C"/>
    <w:rsid w:val="001730DE"/>
    <w:rsid w:val="001832D0"/>
    <w:rsid w:val="001906E4"/>
    <w:rsid w:val="001A7AE6"/>
    <w:rsid w:val="001B098F"/>
    <w:rsid w:val="00221D9C"/>
    <w:rsid w:val="00246D5C"/>
    <w:rsid w:val="002612AE"/>
    <w:rsid w:val="00280B9C"/>
    <w:rsid w:val="00286516"/>
    <w:rsid w:val="002C152B"/>
    <w:rsid w:val="002F2E19"/>
    <w:rsid w:val="002F476D"/>
    <w:rsid w:val="00323486"/>
    <w:rsid w:val="003246EA"/>
    <w:rsid w:val="00332A59"/>
    <w:rsid w:val="0034413F"/>
    <w:rsid w:val="003538C8"/>
    <w:rsid w:val="003A26EC"/>
    <w:rsid w:val="003B3A4D"/>
    <w:rsid w:val="003F4BBC"/>
    <w:rsid w:val="00400F30"/>
    <w:rsid w:val="00412314"/>
    <w:rsid w:val="00431150"/>
    <w:rsid w:val="004425FF"/>
    <w:rsid w:val="00445BEF"/>
    <w:rsid w:val="00451264"/>
    <w:rsid w:val="004C6CC8"/>
    <w:rsid w:val="004E13B1"/>
    <w:rsid w:val="004E2C48"/>
    <w:rsid w:val="00534439"/>
    <w:rsid w:val="005426EB"/>
    <w:rsid w:val="005525C6"/>
    <w:rsid w:val="005A577F"/>
    <w:rsid w:val="005B5129"/>
    <w:rsid w:val="005C2DA7"/>
    <w:rsid w:val="00603576"/>
    <w:rsid w:val="00617E10"/>
    <w:rsid w:val="00622062"/>
    <w:rsid w:val="00656C4B"/>
    <w:rsid w:val="0068358E"/>
    <w:rsid w:val="006866CA"/>
    <w:rsid w:val="0069541E"/>
    <w:rsid w:val="006B2D12"/>
    <w:rsid w:val="006E7346"/>
    <w:rsid w:val="006F7780"/>
    <w:rsid w:val="007002F1"/>
    <w:rsid w:val="00743C53"/>
    <w:rsid w:val="00750270"/>
    <w:rsid w:val="00767207"/>
    <w:rsid w:val="007A42BB"/>
    <w:rsid w:val="007F0850"/>
    <w:rsid w:val="007F2EE5"/>
    <w:rsid w:val="00803168"/>
    <w:rsid w:val="0084100C"/>
    <w:rsid w:val="00851B67"/>
    <w:rsid w:val="00870CDF"/>
    <w:rsid w:val="008A6BA0"/>
    <w:rsid w:val="008A799E"/>
    <w:rsid w:val="008B4482"/>
    <w:rsid w:val="008D7C7E"/>
    <w:rsid w:val="008E0553"/>
    <w:rsid w:val="00903985"/>
    <w:rsid w:val="009212C6"/>
    <w:rsid w:val="00925D84"/>
    <w:rsid w:val="00947157"/>
    <w:rsid w:val="009550A5"/>
    <w:rsid w:val="009A0ED0"/>
    <w:rsid w:val="009B7B30"/>
    <w:rsid w:val="009E20AF"/>
    <w:rsid w:val="009F51DE"/>
    <w:rsid w:val="009F5E0A"/>
    <w:rsid w:val="00A72346"/>
    <w:rsid w:val="00A752B9"/>
    <w:rsid w:val="00A83D65"/>
    <w:rsid w:val="00A9081B"/>
    <w:rsid w:val="00A947B8"/>
    <w:rsid w:val="00A94EE1"/>
    <w:rsid w:val="00AC367F"/>
    <w:rsid w:val="00AC607F"/>
    <w:rsid w:val="00AE69DE"/>
    <w:rsid w:val="00B24FB8"/>
    <w:rsid w:val="00B54229"/>
    <w:rsid w:val="00B601F9"/>
    <w:rsid w:val="00B64469"/>
    <w:rsid w:val="00BD6F0B"/>
    <w:rsid w:val="00BD78C8"/>
    <w:rsid w:val="00C1082B"/>
    <w:rsid w:val="00C25A69"/>
    <w:rsid w:val="00C30B2C"/>
    <w:rsid w:val="00C364D1"/>
    <w:rsid w:val="00C524F2"/>
    <w:rsid w:val="00C5653F"/>
    <w:rsid w:val="00C74DC4"/>
    <w:rsid w:val="00C941F2"/>
    <w:rsid w:val="00CA0C3D"/>
    <w:rsid w:val="00CD252C"/>
    <w:rsid w:val="00CE07D8"/>
    <w:rsid w:val="00CE3BE8"/>
    <w:rsid w:val="00CF72BB"/>
    <w:rsid w:val="00D30DC8"/>
    <w:rsid w:val="00D41D74"/>
    <w:rsid w:val="00D851C9"/>
    <w:rsid w:val="00DD4126"/>
    <w:rsid w:val="00E16738"/>
    <w:rsid w:val="00E4195F"/>
    <w:rsid w:val="00E56C7B"/>
    <w:rsid w:val="00E66252"/>
    <w:rsid w:val="00E716DF"/>
    <w:rsid w:val="00E76B08"/>
    <w:rsid w:val="00E92CE1"/>
    <w:rsid w:val="00EA098F"/>
    <w:rsid w:val="00EA4A01"/>
    <w:rsid w:val="00ED40B3"/>
    <w:rsid w:val="00EE6A8F"/>
    <w:rsid w:val="00EE72F8"/>
    <w:rsid w:val="00EF2D35"/>
    <w:rsid w:val="00F22E1C"/>
    <w:rsid w:val="00FD6352"/>
    <w:rsid w:val="00FE23F5"/>
    <w:rsid w:val="00FE4F1E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C9D0"/>
  <w15:chartTrackingRefBased/>
  <w15:docId w15:val="{323056CE-F2A9-4918-B961-88F62B8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352"/>
    <w:pPr>
      <w:spacing w:after="0" w:line="240" w:lineRule="auto"/>
    </w:pPr>
    <w:rPr>
      <w:rFonts w:eastAsia="Times New Roman" w:cs="Times New Roman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352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FD6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6352"/>
    <w:rPr>
      <w:rFonts w:eastAsia="Times New Roman" w:cs="Times New Roman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FD6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352"/>
    <w:rPr>
      <w:rFonts w:eastAsia="Times New Roman" w:cs="Times New Roman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FD6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352"/>
    <w:rPr>
      <w:rFonts w:eastAsia="Times New Roman" w:cs="Times New Roman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D8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indent1">
    <w:name w:val="indent1"/>
    <w:basedOn w:val="Normal"/>
    <w:rsid w:val="005A577F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A6BA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53F"/>
    <w:rPr>
      <w:rFonts w:eastAsia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5A51BCB7961B46A4247F3590583FF4" ma:contentTypeVersion="8" ma:contentTypeDescription="Δημιουργία νέου εγγράφου" ma:contentTypeScope="" ma:versionID="5f24e35ec10868cdb0f1743c16510c7f">
  <xsd:schema xmlns:xsd="http://www.w3.org/2001/XMLSchema" xmlns:xs="http://www.w3.org/2001/XMLSchema" xmlns:p="http://schemas.microsoft.com/office/2006/metadata/properties" xmlns:ns2="942b5ee4-1aaa-4de9-a9c3-9bb5dd66a51d" xmlns:ns3="4e7d1edd-4c3f-49ab-b568-1d39293129b9" targetNamespace="http://schemas.microsoft.com/office/2006/metadata/properties" ma:root="true" ma:fieldsID="982f393eaf6434f0934dc19374db8f5e" ns2:_="" ns3:_="">
    <xsd:import namespace="942b5ee4-1aaa-4de9-a9c3-9bb5dd66a51d"/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x0395__x03af__x03b4__x03bf__x03c2__x0020__x0395__x03b3__x03b3__x03c1__x03ac__x03c6__x03bf__x03c5_" minOccurs="0"/>
                <xsd:element ref="ns2:k474956a5fc44a7c9e238ac34882ef25" minOccurs="0"/>
                <xsd:element ref="ns2:p254aa9ca2144665a18611708fafaf4e" minOccurs="0"/>
                <xsd:element ref="ns2:_x0397__x03bc__x03b5__x03c1__x03ae__x03c3__x03b9__x03b1__x0020__x0394__x03b9__x03ac__x03c4__x03b1__x03be__x03b7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5ee4-1aaa-4de9-a9c3-9bb5dd66a51d" elementFormDefault="qualified">
    <xsd:import namespace="http://schemas.microsoft.com/office/2006/documentManagement/types"/>
    <xsd:import namespace="http://schemas.microsoft.com/office/infopath/2007/PartnerControls"/>
    <xsd:element name="_x0395__x03af__x03b4__x03bf__x03c2__x0020__x0395__x03b3__x03b3__x03c1__x03ac__x03c6__x03bf__x03c5_" ma:index="2" nillable="true" ma:displayName="Είδος Εγγράφου" ma:default="Παρακαλώ επιλέξτε" ma:format="Dropdown" ma:indexed="true" ma:internalName="_x0395__x03af__x03b4__x03bf__x03c2__x0020__x0395__x03b3__x03b3__x03c1__x03ac__x03c6__x03bf__x03c5_">
      <xsd:simpleType>
        <xsd:restriction base="dms:Choice">
          <xsd:enumeration value="Παρακαλώ επιλέξτε"/>
          <xsd:enumeration value="Πρόταση Νόμου"/>
          <xsd:enumeration value="Νομοσχέδιο"/>
          <xsd:enumeration value="Άλλα Έγγραφα"/>
          <xsd:enumeration value="Έκθεση"/>
          <xsd:enumeration value="Τροπολογία"/>
          <xsd:enumeration value="Ατζέντα"/>
          <xsd:enumeration value="Κατάθεση"/>
        </xsd:restriction>
      </xsd:simpleType>
    </xsd:element>
    <xsd:element name="k474956a5fc44a7c9e238ac34882ef25" ma:index="9" nillable="true" ma:taxonomy="true" ma:internalName="k474956a5fc44a7c9e238ac34882ef25" ma:taxonomyFieldName="_x039a__x03bf__x03b9__x03bd__x03bf__x03b2__x03bf__x03c5__x03bb__x03b5__x03c5__x03c4__x03b9__x03ba__x03ae__x0020__x0395__x03c0__x03b9__x03c4__x03c1__x03bf__x03c0__x03ae_" ma:displayName="Κοινοβουλευτική Επιτροπή" ma:indexed="true" ma:default="" ma:fieldId="{4474956a-5fc4-4a7c-9e23-8ac34882ef25}" ma:sspId="826fb243-af17-402d-8ee8-4e70c0557c5c" ma:termSetId="09dd3f33-328b-4c7d-b36b-043e0fa608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4aa9ca2144665a18611708fafaf4e" ma:index="11" nillable="true" ma:taxonomy="true" ma:internalName="p254aa9ca2144665a18611708fafaf4e" ma:taxonomyFieldName="_x039a__x03b1__x03c4__x03b1__x03c4__x03ad__x03b8__x03b7__x03ba__x03b5__x0020__x03b1__x03c0__x03cc_" ma:displayName="Κατατέθηκε από" ma:indexed="true" ma:default="" ma:fieldId="{9254aa9c-a214-4665-a186-11708fafaf4e}" ma:sspId="826fb243-af17-402d-8ee8-4e70c0557c5c" ma:termSetId="77f08459-806b-43e9-a411-b29812c6e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397__x03bc__x03b5__x03c1__x03ae__x03c3__x03b9__x03b1__x0020__x0394__x03b9__x03ac__x03c4__x03b1__x03be__x03b7_" ma:index="13" nillable="true" ma:displayName="Ημερήσια Διάταξη" ma:format="DateOnly" ma:internalName="_x0397__x03bc__x03b5__x03c1__x03ae__x03c3__x03b9__x03b1__x0020__x0394__x03b9__x03ac__x03c4__x03b1__x03be__x03b7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15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5__x03af__x03b4__x03bf__x03c2__x0020__x0395__x03b3__x03b3__x03c1__x03ac__x03c6__x03bf__x03c5_ xmlns="942b5ee4-1aaa-4de9-a9c3-9bb5dd66a51d">Παρακαλώ επιλέξτε</_x0395__x03af__x03b4__x03bf__x03c2__x0020__x0395__x03b3__x03b3__x03c1__x03ac__x03c6__x03bf__x03c5_>
    <k474956a5fc44a7c9e238ac34882ef25 xmlns="942b5ee4-1aaa-4de9-a9c3-9bb5dd66a51d">
      <Terms xmlns="http://schemas.microsoft.com/office/infopath/2007/PartnerControls"/>
    </k474956a5fc44a7c9e238ac34882ef25>
    <p254aa9ca2144665a18611708fafaf4e xmlns="942b5ee4-1aaa-4de9-a9c3-9bb5dd66a51d">
      <Terms xmlns="http://schemas.microsoft.com/office/infopath/2007/PartnerControls"/>
    </p254aa9ca2144665a18611708fafaf4e>
    <_x0397__x03bc__x03b5__x03c1__x03ae__x03c3__x03b9__x03b1__x0020__x0394__x03b9__x03ac__x03c4__x03b1__x03be__x03b7_ xmlns="942b5ee4-1aaa-4de9-a9c3-9bb5dd66a51d" xsi:nil="true"/>
    <_dlc_DocId xmlns="4e7d1edd-4c3f-49ab-b568-1d39293129b9">WTXWWF446S62-468652535-4769</_dlc_DocId>
    <_dlc_DocIdUrl xmlns="4e7d1edd-4c3f-49ab-b568-1d39293129b9">
      <Url>https://govcloud.gov.cy/independent/parliament/_layouts/15/DocIdRedir.aspx?ID=WTXWWF446S62-468652535-4769</Url>
      <Description>WTXWWF446S62-468652535-4769</Description>
    </_dlc_DocIdUrl>
  </documentManagement>
</p:properties>
</file>

<file path=customXml/itemProps1.xml><?xml version="1.0" encoding="utf-8"?>
<ds:datastoreItem xmlns:ds="http://schemas.openxmlformats.org/officeDocument/2006/customXml" ds:itemID="{5DC3862C-8C74-4479-AD90-226988B89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61BEF-9DCF-4017-9F74-A8EC763D50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53442A-62BE-4A9C-B79B-07E862233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5ee4-1aaa-4de9-a9c3-9bb5dd66a51d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FC5441-9E41-4261-BE7A-577D9613C9A4}">
  <ds:schemaRefs>
    <ds:schemaRef ds:uri="942b5ee4-1aaa-4de9-a9c3-9bb5dd66a51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e7d1edd-4c3f-49ab-b568-1d39293129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stephania georgiou</cp:lastModifiedBy>
  <cp:revision>3</cp:revision>
  <cp:lastPrinted>2022-07-07T09:49:00Z</cp:lastPrinted>
  <dcterms:created xsi:type="dcterms:W3CDTF">2022-07-07T09:50:00Z</dcterms:created>
  <dcterms:modified xsi:type="dcterms:W3CDTF">2022-07-07T10:02:00Z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0x010100325A51BCB7961B46A4247F3590583FF4</vt:lpwstr>
  </property>
  <property fmtid="{D5CDD505-2E9C-101B-9397-08002B2CF9AE}" pid="3" name="_dlc_DocIdItemGuid">
    <vt:lpwstr>173285e8-731a-4f5a-af5d-654c7e32e1c4</vt:lpwstr>
  </property>
</Properties>
</file>