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28" w:rsidRDefault="00DA164D" w:rsidP="00372EB2">
      <w:pPr>
        <w:spacing w:line="360" w:lineRule="auto"/>
        <w:jc w:val="center"/>
        <w:rPr>
          <w:rFonts w:ascii="Arial" w:hAnsi="Arial" w:cs="Arial"/>
          <w:caps/>
          <w:lang w:val="el-GR"/>
        </w:rPr>
      </w:pPr>
      <w:r w:rsidRPr="00BB2C4B">
        <w:rPr>
          <w:rFonts w:ascii="Arial" w:hAnsi="Arial" w:cs="Arial"/>
          <w:caps/>
          <w:lang w:val="el-GR"/>
        </w:rPr>
        <w:t>Οι περί Παν</w:t>
      </w:r>
      <w:r w:rsidR="00EB7728" w:rsidRPr="00BB2C4B">
        <w:rPr>
          <w:rFonts w:ascii="Arial" w:hAnsi="Arial" w:cs="Arial"/>
          <w:caps/>
          <w:lang w:val="el-GR"/>
        </w:rPr>
        <w:t xml:space="preserve">επιστημίου Κύπρου </w:t>
      </w:r>
      <w:r w:rsidR="00372EB2">
        <w:rPr>
          <w:rFonts w:ascii="Arial" w:hAnsi="Arial" w:cs="Arial"/>
          <w:caps/>
          <w:lang w:val="el-GR"/>
        </w:rPr>
        <w:t xml:space="preserve">ΝΟΜΟΙ </w:t>
      </w:r>
      <w:r w:rsidR="00EB7728" w:rsidRPr="00BB2C4B">
        <w:rPr>
          <w:rFonts w:ascii="Arial" w:hAnsi="Arial" w:cs="Arial"/>
          <w:caps/>
          <w:lang w:val="el-GR"/>
        </w:rPr>
        <w:t>του</w:t>
      </w:r>
      <w:r w:rsidR="00BB2C4B">
        <w:rPr>
          <w:rFonts w:ascii="Arial" w:hAnsi="Arial" w:cs="Arial"/>
          <w:caps/>
          <w:lang w:val="el-GR"/>
        </w:rPr>
        <w:t xml:space="preserve">1989 </w:t>
      </w:r>
      <w:r w:rsidR="00BB2C4B">
        <w:rPr>
          <w:rFonts w:ascii="Arial" w:hAnsi="Arial" w:cs="Arial"/>
          <w:lang w:val="el-GR"/>
        </w:rPr>
        <w:t xml:space="preserve">έως </w:t>
      </w:r>
      <w:r w:rsidR="00BB2C4B">
        <w:rPr>
          <w:rFonts w:ascii="Arial" w:hAnsi="Arial" w:cs="Arial"/>
          <w:caps/>
          <w:lang w:val="el-GR"/>
        </w:rPr>
        <w:t>2019</w:t>
      </w:r>
    </w:p>
    <w:p w:rsidR="00BB2C4B" w:rsidRPr="00BB2C4B" w:rsidRDefault="00BB2C4B" w:rsidP="00BB2C4B">
      <w:pPr>
        <w:spacing w:line="360" w:lineRule="auto"/>
        <w:jc w:val="center"/>
        <w:rPr>
          <w:rFonts w:ascii="Arial" w:hAnsi="Arial" w:cs="Arial"/>
          <w:lang w:val="el-GR"/>
        </w:rPr>
      </w:pPr>
    </w:p>
    <w:p w:rsidR="00EB7728" w:rsidRPr="00BB2C4B" w:rsidRDefault="00FD3321" w:rsidP="00BB2C4B">
      <w:pPr>
        <w:spacing w:line="360" w:lineRule="auto"/>
        <w:jc w:val="center"/>
        <w:rPr>
          <w:rFonts w:ascii="Arial" w:hAnsi="Arial" w:cs="Arial"/>
          <w:caps/>
          <w:lang w:val="el-GR"/>
        </w:rPr>
      </w:pPr>
      <w:r w:rsidRPr="00BB2C4B">
        <w:rPr>
          <w:rFonts w:ascii="Arial" w:hAnsi="Arial" w:cs="Arial"/>
          <w:caps/>
          <w:lang w:val="el-GR"/>
        </w:rPr>
        <w:t>κ</w:t>
      </w:r>
      <w:r w:rsidRPr="00BB2C4B">
        <w:rPr>
          <w:rFonts w:ascii="Arial" w:hAnsi="Arial" w:cs="Arial"/>
          <w:lang w:val="el-GR"/>
        </w:rPr>
        <w:t>ανονισμοί</w:t>
      </w:r>
      <w:r w:rsidR="00EB7728" w:rsidRPr="00BB2C4B">
        <w:rPr>
          <w:rFonts w:ascii="Arial" w:hAnsi="Arial" w:cs="Arial"/>
          <w:caps/>
          <w:lang w:val="el-GR"/>
        </w:rPr>
        <w:t xml:space="preserve"> </w:t>
      </w:r>
      <w:r w:rsidRPr="00BB2C4B">
        <w:rPr>
          <w:rFonts w:ascii="Arial" w:hAnsi="Arial" w:cs="Arial"/>
          <w:lang w:val="el-GR"/>
        </w:rPr>
        <w:t xml:space="preserve">δυνάμει του άρθρου 32 </w:t>
      </w:r>
    </w:p>
    <w:p w:rsidR="00EB7728" w:rsidRPr="00BB2C4B" w:rsidRDefault="00EB7728" w:rsidP="00BB2C4B">
      <w:pPr>
        <w:spacing w:line="360" w:lineRule="auto"/>
        <w:jc w:val="center"/>
        <w:rPr>
          <w:rFonts w:ascii="Arial" w:hAnsi="Arial" w:cs="Arial"/>
          <w:lang w:val="el-GR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2125"/>
        <w:gridCol w:w="569"/>
        <w:gridCol w:w="283"/>
        <w:gridCol w:w="992"/>
        <w:gridCol w:w="5665"/>
      </w:tblGrid>
      <w:tr w:rsidR="004A190C" w:rsidRPr="008867C6" w:rsidTr="00371E0D">
        <w:tc>
          <w:tcPr>
            <w:tcW w:w="2125" w:type="dxa"/>
          </w:tcPr>
          <w:p w:rsidR="00BB2C4B" w:rsidRDefault="00BB2C4B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144 του 1989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137 του 1990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53(Ι) του 1994</w:t>
            </w:r>
          </w:p>
          <w:p w:rsidR="009F09BA" w:rsidRPr="00BB2C4B" w:rsidRDefault="009F09BA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77(Ι) του 1994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24(Ι) του 1995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59(Ι) του 1997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90(Ι) του 1998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127(I) του 1999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84(Ι) του 2000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44(Ι) του 2001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90(</w:t>
            </w:r>
            <w:r w:rsidRPr="00BB2C4B">
              <w:rPr>
                <w:rFonts w:ascii="Arial" w:hAnsi="Arial" w:cs="Arial"/>
                <w:lang w:val="en-US"/>
              </w:rPr>
              <w:t>I</w:t>
            </w:r>
            <w:r w:rsidRPr="00BB2C4B">
              <w:rPr>
                <w:rFonts w:ascii="Arial" w:hAnsi="Arial" w:cs="Arial"/>
                <w:lang w:val="el-GR"/>
              </w:rPr>
              <w:t>) του 2002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151(</w:t>
            </w:r>
            <w:r w:rsidRPr="00BB2C4B">
              <w:rPr>
                <w:rFonts w:ascii="Arial" w:hAnsi="Arial" w:cs="Arial"/>
                <w:lang w:val="en-US"/>
              </w:rPr>
              <w:t>I</w:t>
            </w:r>
            <w:r w:rsidRPr="00BB2C4B">
              <w:rPr>
                <w:rFonts w:ascii="Arial" w:hAnsi="Arial" w:cs="Arial"/>
                <w:lang w:val="el-GR"/>
              </w:rPr>
              <w:t>) του 2002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44(Ι) του 2003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199(Ι) του 2003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46(Ι) του 2006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152(Ι) του 2006</w:t>
            </w:r>
          </w:p>
          <w:p w:rsidR="004A190C" w:rsidRPr="00BB2C4B" w:rsidRDefault="004A190C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83(Ι) του 2007</w:t>
            </w:r>
          </w:p>
          <w:p w:rsidR="009F09BA" w:rsidRPr="00BB2C4B" w:rsidRDefault="00DB58D1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89(</w:t>
            </w:r>
            <w:r w:rsidRPr="00BB2C4B">
              <w:rPr>
                <w:rFonts w:ascii="Arial" w:hAnsi="Arial" w:cs="Arial"/>
                <w:lang w:val="en-US"/>
              </w:rPr>
              <w:t>I</w:t>
            </w:r>
            <w:r w:rsidRPr="00BB2C4B">
              <w:rPr>
                <w:rFonts w:ascii="Arial" w:hAnsi="Arial" w:cs="Arial"/>
                <w:lang w:val="el-GR"/>
              </w:rPr>
              <w:t>) του 2011</w:t>
            </w:r>
          </w:p>
          <w:p w:rsidR="00DB58D1" w:rsidRPr="00BB2C4B" w:rsidRDefault="00DB58D1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56(Ι) του 2012</w:t>
            </w:r>
          </w:p>
          <w:p w:rsidR="00C962CE" w:rsidRPr="00BB2C4B" w:rsidRDefault="00DB58D1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116(Ι) του 2013</w:t>
            </w:r>
          </w:p>
          <w:p w:rsidR="00C962CE" w:rsidRPr="00BB2C4B" w:rsidRDefault="00C962CE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55(Ι) του 2016</w:t>
            </w:r>
          </w:p>
          <w:p w:rsidR="00FD3321" w:rsidRPr="00BB2C4B" w:rsidRDefault="00FD3321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83(Ι) του 2016</w:t>
            </w:r>
          </w:p>
          <w:p w:rsidR="00EB7728" w:rsidRPr="00BB2C4B" w:rsidRDefault="00EB7728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58(Ι) του 2018</w:t>
            </w:r>
          </w:p>
          <w:p w:rsidR="00EB7728" w:rsidRPr="00BB2C4B" w:rsidRDefault="00EB7728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81(Ι)</w:t>
            </w:r>
            <w:r w:rsidR="00244DEB" w:rsidRPr="00BB2C4B">
              <w:rPr>
                <w:rFonts w:ascii="Arial" w:hAnsi="Arial" w:cs="Arial"/>
                <w:lang w:val="el-GR"/>
              </w:rPr>
              <w:t xml:space="preserve"> του 2018</w:t>
            </w:r>
          </w:p>
          <w:p w:rsidR="00244DEB" w:rsidRPr="00BB2C4B" w:rsidRDefault="00244DEB" w:rsidP="00BB2C4B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95(Ι) του 2018</w:t>
            </w:r>
          </w:p>
          <w:p w:rsidR="009F09BA" w:rsidRPr="00BB2C4B" w:rsidRDefault="00244DEB" w:rsidP="00BB2C4B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12(Ι) του 2019</w:t>
            </w:r>
            <w:r w:rsidR="00FD3321" w:rsidRPr="00BB2C4B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509" w:type="dxa"/>
            <w:gridSpan w:val="4"/>
          </w:tcPr>
          <w:p w:rsidR="001C7DF5" w:rsidRPr="00BB2C4B" w:rsidRDefault="004A190C" w:rsidP="00BB2C4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Το Συμβούλιο του Πανεπιστημίου Κύπρου ασκώντας τις εξουσίες που του παρέχ</w:t>
            </w:r>
            <w:r w:rsidR="00EE769E" w:rsidRPr="00BB2C4B">
              <w:rPr>
                <w:rFonts w:ascii="Arial" w:hAnsi="Arial" w:cs="Arial"/>
                <w:lang w:val="el-GR"/>
              </w:rPr>
              <w:t xml:space="preserve">ει το άρθρο </w:t>
            </w:r>
            <w:r w:rsidRPr="00BB2C4B">
              <w:rPr>
                <w:rFonts w:ascii="Arial" w:hAnsi="Arial" w:cs="Arial"/>
                <w:lang w:val="el-GR"/>
              </w:rPr>
              <w:t>32 των περί Πανεπιστημίο</w:t>
            </w:r>
            <w:r w:rsidR="009F09BA" w:rsidRPr="00BB2C4B">
              <w:rPr>
                <w:rFonts w:ascii="Arial" w:hAnsi="Arial" w:cs="Arial"/>
                <w:lang w:val="el-GR"/>
              </w:rPr>
              <w:t>υ Κύπρου Νόμων του 1989</w:t>
            </w:r>
            <w:r w:rsidR="009A3DD0" w:rsidRPr="00BB2C4B">
              <w:rPr>
                <w:rFonts w:ascii="Arial" w:hAnsi="Arial" w:cs="Arial"/>
                <w:lang w:val="el-GR"/>
              </w:rPr>
              <w:t xml:space="preserve"> έως </w:t>
            </w:r>
            <w:r w:rsidR="00244DEB" w:rsidRPr="00BB2C4B">
              <w:rPr>
                <w:rFonts w:ascii="Arial" w:hAnsi="Arial" w:cs="Arial"/>
                <w:lang w:val="el-GR"/>
              </w:rPr>
              <w:t>2019</w:t>
            </w:r>
            <w:r w:rsidRPr="00BB2C4B">
              <w:rPr>
                <w:rFonts w:ascii="Arial" w:hAnsi="Arial" w:cs="Arial"/>
                <w:lang w:val="el-GR"/>
              </w:rPr>
              <w:t>, εκδίδει, με την έγκριση του Υπουργικού Συμβουλίου τους πιο κάτω Κανονισμούς</w:t>
            </w:r>
            <w:r w:rsidR="00BB2C4B">
              <w:rPr>
                <w:rFonts w:ascii="Arial" w:hAnsi="Arial" w:cs="Arial"/>
                <w:lang w:val="el-GR"/>
              </w:rPr>
              <w:t>.</w:t>
            </w:r>
          </w:p>
          <w:p w:rsidR="004A190C" w:rsidRPr="00BB2C4B" w:rsidRDefault="004A190C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962CE" w:rsidRPr="008867C6" w:rsidTr="00371E0D">
        <w:tc>
          <w:tcPr>
            <w:tcW w:w="2125" w:type="dxa"/>
          </w:tcPr>
          <w:p w:rsidR="00C962CE" w:rsidRPr="00BB2C4B" w:rsidRDefault="00C962CE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C962CE" w:rsidRPr="00BB2C4B" w:rsidRDefault="00C962CE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BB2C4B" w:rsidRPr="008867C6" w:rsidTr="00371E0D">
        <w:tc>
          <w:tcPr>
            <w:tcW w:w="2125" w:type="dxa"/>
          </w:tcPr>
          <w:p w:rsidR="00BB2C4B" w:rsidRPr="00BB2C4B" w:rsidRDefault="00BB2C4B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Συνοπτικός</w:t>
            </w:r>
          </w:p>
          <w:p w:rsidR="00BB2C4B" w:rsidRPr="00BB2C4B" w:rsidRDefault="00BB2C4B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τίτλος.</w:t>
            </w:r>
          </w:p>
          <w:p w:rsidR="00BB2C4B" w:rsidRPr="00BB2C4B" w:rsidRDefault="00BB2C4B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BB2C4B" w:rsidRPr="00BB2C4B" w:rsidRDefault="00BB2C4B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lastRenderedPageBreak/>
              <w:t>Επίσημη Εφημερίδα,</w:t>
            </w:r>
          </w:p>
          <w:p w:rsidR="00BB2C4B" w:rsidRPr="00BB2C4B" w:rsidRDefault="00BB2C4B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Παράρτημα</w:t>
            </w:r>
          </w:p>
          <w:p w:rsidR="00C45CBE" w:rsidRDefault="00BB2C4B" w:rsidP="00C45CBE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 xml:space="preserve">Τρίτο (Ι): </w:t>
            </w:r>
            <w:r w:rsidR="00C45CBE">
              <w:rPr>
                <w:rFonts w:ascii="Arial" w:hAnsi="Arial" w:cs="Arial"/>
                <w:lang w:val="el-GR"/>
              </w:rPr>
              <w:t xml:space="preserve">      </w:t>
            </w:r>
          </w:p>
          <w:p w:rsidR="00BB2C4B" w:rsidRPr="00BB2C4B" w:rsidRDefault="00BB2C4B" w:rsidP="00C45CBE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26.11.1999.</w:t>
            </w:r>
          </w:p>
        </w:tc>
        <w:tc>
          <w:tcPr>
            <w:tcW w:w="7509" w:type="dxa"/>
            <w:gridSpan w:val="4"/>
          </w:tcPr>
          <w:p w:rsidR="00BB2C4B" w:rsidRPr="00BB2C4B" w:rsidRDefault="00BB2C4B" w:rsidP="00C45CBE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lastRenderedPageBreak/>
              <w:t>1.</w:t>
            </w:r>
            <w:r w:rsidR="00C45CBE">
              <w:rPr>
                <w:rFonts w:ascii="Arial" w:hAnsi="Arial" w:cs="Arial"/>
                <w:lang w:val="el-GR"/>
              </w:rPr>
              <w:tab/>
            </w:r>
            <w:r w:rsidR="00C45CBE" w:rsidRPr="00BB2C4B">
              <w:rPr>
                <w:rFonts w:ascii="Arial" w:hAnsi="Arial" w:cs="Arial"/>
                <w:lang w:val="el-GR"/>
              </w:rPr>
              <w:t>Οι παρόντες Κανονισμοί θα αναφέρονται ως οι περί    Πανεπιστημίου Κύπρου (Πειθαρχικός ΄</w:t>
            </w:r>
            <w:proofErr w:type="spellStart"/>
            <w:r w:rsidR="00C45CBE" w:rsidRPr="00BB2C4B">
              <w:rPr>
                <w:rFonts w:ascii="Arial" w:hAnsi="Arial" w:cs="Arial"/>
                <w:lang w:val="el-GR"/>
              </w:rPr>
              <w:t>Ελεγχος</w:t>
            </w:r>
            <w:proofErr w:type="spellEnd"/>
            <w:r w:rsidR="00C45CBE" w:rsidRPr="00BB2C4B">
              <w:rPr>
                <w:rFonts w:ascii="Arial" w:hAnsi="Arial" w:cs="Arial"/>
                <w:lang w:val="el-GR"/>
              </w:rPr>
              <w:t xml:space="preserve"> </w:t>
            </w:r>
            <w:r w:rsidR="00C45CBE">
              <w:rPr>
                <w:rFonts w:ascii="Arial" w:hAnsi="Arial" w:cs="Arial"/>
                <w:lang w:val="el-GR"/>
              </w:rPr>
              <w:t xml:space="preserve">του </w:t>
            </w:r>
            <w:r w:rsidR="00C45CBE" w:rsidRPr="00BB2C4B">
              <w:rPr>
                <w:rFonts w:ascii="Arial" w:hAnsi="Arial" w:cs="Arial"/>
                <w:lang w:val="el-GR"/>
              </w:rPr>
              <w:t xml:space="preserve">Ακαδημαϊκού και άλλου Εκπαιδευτικού Προσωπικού) (Τροποποιητικοί) Κανονισμοί του </w:t>
            </w:r>
            <w:r w:rsidR="00C45CBE" w:rsidRPr="00BB2C4B">
              <w:rPr>
                <w:rFonts w:ascii="Arial" w:hAnsi="Arial" w:cs="Arial"/>
                <w:lang w:val="el-GR"/>
              </w:rPr>
              <w:lastRenderedPageBreak/>
              <w:t xml:space="preserve">2022 και θα διαβάζονται μαζί με τους περί Πανεπιστημίου Κύπρου (Πειθαρχικός Έλεγχος </w:t>
            </w:r>
            <w:r w:rsidR="00C45CBE">
              <w:rPr>
                <w:rFonts w:ascii="Arial" w:hAnsi="Arial" w:cs="Arial"/>
                <w:lang w:val="el-GR"/>
              </w:rPr>
              <w:t xml:space="preserve">του </w:t>
            </w:r>
            <w:r w:rsidR="00C45CBE" w:rsidRPr="00BB2C4B">
              <w:rPr>
                <w:rFonts w:ascii="Arial" w:hAnsi="Arial" w:cs="Arial"/>
                <w:lang w:val="el-GR"/>
              </w:rPr>
              <w:t xml:space="preserve">Ακαδημαϊκού και άλλου Εκπαιδευτικού Προσωπικού) Κανονισμούς του 1999 (που στο εξής θα αναφέρονται ως </w:t>
            </w:r>
            <w:r w:rsidR="00C45CBE">
              <w:rPr>
                <w:rFonts w:ascii="Arial" w:hAnsi="Arial" w:cs="Arial"/>
                <w:lang w:val="el-GR"/>
              </w:rPr>
              <w:t>«</w:t>
            </w:r>
            <w:r w:rsidR="00C45CBE" w:rsidRPr="00BB2C4B">
              <w:rPr>
                <w:rFonts w:ascii="Arial" w:hAnsi="Arial" w:cs="Arial"/>
                <w:lang w:val="el-GR"/>
              </w:rPr>
              <w:t>οι βασικοί κανονισμοί»</w:t>
            </w:r>
            <w:r w:rsidR="00C45CBE">
              <w:rPr>
                <w:rFonts w:ascii="Arial" w:hAnsi="Arial" w:cs="Arial"/>
                <w:lang w:val="el-GR"/>
              </w:rPr>
              <w:t>)</w:t>
            </w:r>
            <w:r w:rsidR="00C45CBE" w:rsidRPr="00BB2C4B">
              <w:rPr>
                <w:rFonts w:ascii="Arial" w:hAnsi="Arial" w:cs="Arial"/>
                <w:lang w:val="el-GR"/>
              </w:rPr>
              <w:t xml:space="preserve"> και οι βασικοί κανονισμοί και οι παρόντες Κανονισμοί θα αναφέρονται μαζί ως οι περί Πανεπιστημίου Κύπρου (Πειθαρχικός Έλεγχος </w:t>
            </w:r>
            <w:r w:rsidR="00C45CBE">
              <w:rPr>
                <w:rFonts w:ascii="Arial" w:hAnsi="Arial" w:cs="Arial"/>
                <w:lang w:val="el-GR"/>
              </w:rPr>
              <w:t xml:space="preserve">του </w:t>
            </w:r>
            <w:r w:rsidR="00C45CBE" w:rsidRPr="00BB2C4B">
              <w:rPr>
                <w:rFonts w:ascii="Arial" w:hAnsi="Arial" w:cs="Arial"/>
                <w:lang w:val="el-GR"/>
              </w:rPr>
              <w:t>Ακαδημαϊκού και άλλου Εκπαιδευτικού Προσωπικού) Κανονισμοί του 1999 και 2022.</w:t>
            </w:r>
          </w:p>
          <w:p w:rsidR="00BB2C4B" w:rsidRPr="00BB2C4B" w:rsidRDefault="00BB2C4B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624738" w:rsidRPr="008867C6" w:rsidTr="00371E0D">
        <w:tc>
          <w:tcPr>
            <w:tcW w:w="2125" w:type="dxa"/>
          </w:tcPr>
          <w:p w:rsidR="00624738" w:rsidRPr="00BB2C4B" w:rsidRDefault="00624738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624738" w:rsidRPr="00BB2C4B" w:rsidRDefault="00624738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45CBE" w:rsidRPr="008867C6" w:rsidTr="00371E0D">
        <w:tc>
          <w:tcPr>
            <w:tcW w:w="2125" w:type="dxa"/>
          </w:tcPr>
          <w:p w:rsidR="00C9086F" w:rsidRDefault="00C45CBE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 xml:space="preserve">Τροποποίηση των βασικών κανονισμών με την προσθήκη </w:t>
            </w:r>
            <w:r w:rsidR="00C9086F">
              <w:rPr>
                <w:rFonts w:ascii="Arial" w:hAnsi="Arial" w:cs="Arial"/>
                <w:lang w:val="el-GR"/>
              </w:rPr>
              <w:t xml:space="preserve">των </w:t>
            </w:r>
            <w:r w:rsidRPr="00BB2C4B">
              <w:rPr>
                <w:rFonts w:ascii="Arial" w:hAnsi="Arial" w:cs="Arial"/>
                <w:lang w:val="el-GR"/>
              </w:rPr>
              <w:t xml:space="preserve">νέων Κανονισμών </w:t>
            </w:r>
          </w:p>
          <w:p w:rsidR="00C45CBE" w:rsidRPr="00BB2C4B" w:rsidRDefault="00C45CBE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9</w:t>
            </w:r>
            <w:r w:rsidR="00EB1D8A">
              <w:rPr>
                <w:rFonts w:ascii="Arial" w:hAnsi="Arial" w:cs="Arial"/>
                <w:lang w:val="el-GR"/>
              </w:rPr>
              <w:t xml:space="preserve"> και </w:t>
            </w:r>
            <w:r w:rsidRPr="00BB2C4B">
              <w:rPr>
                <w:rFonts w:ascii="Arial" w:hAnsi="Arial" w:cs="Arial"/>
                <w:lang w:val="el-GR"/>
              </w:rPr>
              <w:t>10.</w:t>
            </w:r>
          </w:p>
        </w:tc>
        <w:tc>
          <w:tcPr>
            <w:tcW w:w="7509" w:type="dxa"/>
            <w:gridSpan w:val="4"/>
          </w:tcPr>
          <w:p w:rsidR="00C45CBE" w:rsidRPr="00BB2C4B" w:rsidRDefault="00C45CBE" w:rsidP="00C9086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2.</w:t>
            </w:r>
            <w:r>
              <w:rPr>
                <w:rFonts w:ascii="Arial" w:hAnsi="Arial" w:cs="Arial"/>
                <w:lang w:val="el-GR"/>
              </w:rPr>
              <w:tab/>
            </w:r>
            <w:r w:rsidRPr="00BB2C4B">
              <w:rPr>
                <w:rFonts w:ascii="Arial" w:hAnsi="Arial" w:cs="Arial"/>
                <w:lang w:val="el-GR"/>
              </w:rPr>
              <w:t>Οι βασικοί κανονισμοί τροποποιούνται με την προσθήκη μετά τον Κανονισμό 8, των ακόλουθων νέων Κανονισμών 9</w:t>
            </w:r>
            <w:r w:rsidR="00EB1D8A">
              <w:rPr>
                <w:rFonts w:ascii="Arial" w:hAnsi="Arial" w:cs="Arial"/>
                <w:lang w:val="el-GR"/>
              </w:rPr>
              <w:t xml:space="preserve"> </w:t>
            </w:r>
            <w:r w:rsidRPr="00BB2C4B">
              <w:rPr>
                <w:rFonts w:ascii="Arial" w:hAnsi="Arial" w:cs="Arial"/>
                <w:lang w:val="el-GR"/>
              </w:rPr>
              <w:t>και 1</w:t>
            </w:r>
            <w:r w:rsidR="00EB1D8A">
              <w:rPr>
                <w:rFonts w:ascii="Arial" w:hAnsi="Arial" w:cs="Arial"/>
                <w:lang w:val="el-GR"/>
              </w:rPr>
              <w:t>0</w:t>
            </w:r>
            <w:r w:rsidRPr="00BB2C4B">
              <w:rPr>
                <w:rFonts w:ascii="Arial" w:hAnsi="Arial" w:cs="Arial"/>
                <w:lang w:val="el-GR"/>
              </w:rPr>
              <w:t>:</w:t>
            </w:r>
          </w:p>
        </w:tc>
      </w:tr>
      <w:tr w:rsidR="00E54412" w:rsidRPr="008867C6" w:rsidTr="00ED2373">
        <w:tc>
          <w:tcPr>
            <w:tcW w:w="2125" w:type="dxa"/>
          </w:tcPr>
          <w:p w:rsidR="00E54412" w:rsidRPr="00BB2C4B" w:rsidRDefault="00E54412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69" w:type="dxa"/>
          </w:tcPr>
          <w:p w:rsidR="00E54412" w:rsidRPr="00BB2C4B" w:rsidRDefault="00E54412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940" w:type="dxa"/>
            <w:gridSpan w:val="3"/>
          </w:tcPr>
          <w:p w:rsidR="00E54412" w:rsidRPr="00BB2C4B" w:rsidRDefault="00E54412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94487F" w:rsidRPr="008867C6" w:rsidTr="00371E0D">
        <w:tc>
          <w:tcPr>
            <w:tcW w:w="2125" w:type="dxa"/>
          </w:tcPr>
          <w:p w:rsidR="0094487F" w:rsidRPr="00BB2C4B" w:rsidRDefault="0094487F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844" w:type="dxa"/>
            <w:gridSpan w:val="3"/>
          </w:tcPr>
          <w:p w:rsidR="0094487F" w:rsidRPr="00BB2C4B" w:rsidRDefault="0094487F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«Καταδίκη για ορισμένα αδικήματα.</w:t>
            </w:r>
          </w:p>
        </w:tc>
        <w:tc>
          <w:tcPr>
            <w:tcW w:w="5665" w:type="dxa"/>
          </w:tcPr>
          <w:p w:rsidR="0094487F" w:rsidRPr="00BB2C4B" w:rsidRDefault="0094487F" w:rsidP="003E6B33">
            <w:pPr>
              <w:tabs>
                <w:tab w:val="left" w:pos="285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 xml:space="preserve">9.-(1) Όταν μέλος του Ακαδημαϊκού ή άλλου    Εκπαιδευτικού Προσωπικού καταδικαστεί από ποινικό δικαστήριο για αδίκημα που ενέχει έλλειψη τιμιότητας ή ηθική αισχρότητα, είτε η καταδίκη επικυρωθεί ύστερα από έφεση είτε </w:t>
            </w:r>
            <w:proofErr w:type="spellStart"/>
            <w:r w:rsidRPr="00BB2C4B">
              <w:rPr>
                <w:rFonts w:ascii="Arial" w:hAnsi="Arial" w:cs="Arial"/>
                <w:lang w:val="el-GR"/>
              </w:rPr>
              <w:t>δεv</w:t>
            </w:r>
            <w:proofErr w:type="spellEnd"/>
            <w:r w:rsidRPr="00BB2C4B">
              <w:rPr>
                <w:rFonts w:ascii="Arial" w:hAnsi="Arial" w:cs="Arial"/>
                <w:lang w:val="el-GR"/>
              </w:rPr>
              <w:t xml:space="preserve"> ασκηθεί έφεση, η Επιτροπή Πειθαρχικού Ελέγχου λαμβάνει όσο γίνεται πιο γρήγορα αντίγραφο των πρακτικών της διαδικασίας του </w:t>
            </w:r>
            <w:r w:rsidR="005C1081">
              <w:rPr>
                <w:rFonts w:ascii="Arial" w:hAnsi="Arial" w:cs="Arial"/>
                <w:lang w:val="el-GR"/>
              </w:rPr>
              <w:t>δ</w:t>
            </w:r>
            <w:r w:rsidRPr="00BB2C4B">
              <w:rPr>
                <w:rFonts w:ascii="Arial" w:hAnsi="Arial" w:cs="Arial"/>
                <w:lang w:val="el-GR"/>
              </w:rPr>
              <w:t xml:space="preserve">ικαστηρίου που δίκασε την υπόθεση και του δικαστηρίου στο </w:t>
            </w:r>
            <w:proofErr w:type="spellStart"/>
            <w:r w:rsidRPr="00BB2C4B">
              <w:rPr>
                <w:rFonts w:ascii="Arial" w:hAnsi="Arial" w:cs="Arial"/>
                <w:lang w:val="el-GR"/>
              </w:rPr>
              <w:t>oπoίo</w:t>
            </w:r>
            <w:proofErr w:type="spellEnd"/>
            <w:r w:rsidRPr="00BB2C4B">
              <w:rPr>
                <w:rFonts w:ascii="Arial" w:hAnsi="Arial" w:cs="Arial"/>
                <w:lang w:val="el-GR"/>
              </w:rPr>
              <w:t xml:space="preserve"> τυχόν ασκήθηκε έφεση.</w:t>
            </w:r>
          </w:p>
        </w:tc>
      </w:tr>
      <w:tr w:rsidR="00624738" w:rsidRPr="008867C6" w:rsidTr="00371E0D">
        <w:tc>
          <w:tcPr>
            <w:tcW w:w="2125" w:type="dxa"/>
          </w:tcPr>
          <w:p w:rsidR="00624738" w:rsidRPr="00BB2C4B" w:rsidRDefault="00624738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624738" w:rsidRPr="00BB2C4B" w:rsidRDefault="00624738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54412" w:rsidRPr="008867C6" w:rsidTr="00ED2373">
        <w:tc>
          <w:tcPr>
            <w:tcW w:w="2125" w:type="dxa"/>
          </w:tcPr>
          <w:p w:rsidR="00E54412" w:rsidRPr="00BB2C4B" w:rsidRDefault="00E54412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69" w:type="dxa"/>
          </w:tcPr>
          <w:p w:rsidR="00E54412" w:rsidRPr="00BB2C4B" w:rsidRDefault="00E54412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275" w:type="dxa"/>
            <w:gridSpan w:val="2"/>
          </w:tcPr>
          <w:p w:rsidR="00E54412" w:rsidRPr="00BB2C4B" w:rsidRDefault="00E54412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665" w:type="dxa"/>
          </w:tcPr>
          <w:p w:rsidR="00E54412" w:rsidRPr="00BB2C4B" w:rsidRDefault="003E6B33" w:rsidP="003E6B33">
            <w:pPr>
              <w:tabs>
                <w:tab w:val="left" w:pos="285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(2) Η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</w:t>
            </w:r>
            <w:r w:rsidR="00EB265C" w:rsidRPr="00BB2C4B">
              <w:rPr>
                <w:rFonts w:ascii="Arial" w:hAnsi="Arial" w:cs="Arial"/>
                <w:lang w:val="el-GR"/>
              </w:rPr>
              <w:t>Επιτροπή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Πειθαρχικού Ελέγχου, χωρίς περαιτέρω </w:t>
            </w:r>
            <w:r w:rsidR="00EB265C" w:rsidRPr="00BB2C4B">
              <w:rPr>
                <w:rFonts w:ascii="Arial" w:hAnsi="Arial" w:cs="Arial"/>
                <w:lang w:val="el-GR"/>
              </w:rPr>
              <w:t>έρευνα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της υπόθεσης και </w:t>
            </w:r>
            <w:r w:rsidR="00EB265C" w:rsidRPr="00BB2C4B">
              <w:rPr>
                <w:rFonts w:ascii="Arial" w:hAnsi="Arial" w:cs="Arial"/>
                <w:lang w:val="el-GR"/>
              </w:rPr>
              <w:t>αφού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δώσει </w:t>
            </w:r>
            <w:r w:rsidR="00EB265C" w:rsidRPr="00BB2C4B">
              <w:rPr>
                <w:rFonts w:ascii="Arial" w:hAnsi="Arial" w:cs="Arial"/>
                <w:lang w:val="el-GR"/>
              </w:rPr>
              <w:t>στο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</w:t>
            </w:r>
            <w:r w:rsidR="002F7DA2" w:rsidRPr="00BB2C4B">
              <w:rPr>
                <w:rFonts w:ascii="Arial" w:hAnsi="Arial" w:cs="Arial"/>
                <w:lang w:val="el-GR"/>
              </w:rPr>
              <w:t>μέλος του Ακαδημαϊκού ή άλλου Εκπαιδευτικού Προσωπικού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</w:t>
            </w:r>
            <w:r w:rsidR="00EB265C" w:rsidRPr="00BB2C4B">
              <w:rPr>
                <w:rFonts w:ascii="Arial" w:hAnsi="Arial" w:cs="Arial"/>
                <w:lang w:val="el-GR"/>
              </w:rPr>
              <w:t>την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ευκαιρία </w:t>
            </w:r>
            <w:r w:rsidR="00EB265C" w:rsidRPr="00BB2C4B">
              <w:rPr>
                <w:rFonts w:ascii="Arial" w:hAnsi="Arial" w:cs="Arial"/>
                <w:lang w:val="el-GR"/>
              </w:rPr>
              <w:t>να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</w:t>
            </w:r>
            <w:r w:rsidR="00EB265C" w:rsidRPr="00BB2C4B">
              <w:rPr>
                <w:rFonts w:ascii="Arial" w:hAnsi="Arial" w:cs="Arial"/>
                <w:lang w:val="el-GR"/>
              </w:rPr>
              <w:t>ακουστεί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, </w:t>
            </w:r>
            <w:r w:rsidR="00EB265C" w:rsidRPr="00BB2C4B">
              <w:rPr>
                <w:rFonts w:ascii="Arial" w:hAnsi="Arial" w:cs="Arial"/>
                <w:lang w:val="el-GR"/>
              </w:rPr>
              <w:t>προβαίνει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</w:t>
            </w:r>
            <w:r w:rsidR="00EB265C" w:rsidRPr="00BB2C4B">
              <w:rPr>
                <w:rFonts w:ascii="Arial" w:hAnsi="Arial" w:cs="Arial"/>
                <w:lang w:val="el-GR"/>
              </w:rPr>
              <w:t>στην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</w:t>
            </w:r>
            <w:r w:rsidR="00EB265C" w:rsidRPr="00BB2C4B">
              <w:rPr>
                <w:rFonts w:ascii="Arial" w:hAnsi="Arial" w:cs="Arial"/>
                <w:lang w:val="el-GR"/>
              </w:rPr>
              <w:t>επιβολή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της πειθαρχικής </w:t>
            </w:r>
            <w:r w:rsidR="00EB265C" w:rsidRPr="00BB2C4B">
              <w:rPr>
                <w:rFonts w:ascii="Arial" w:hAnsi="Arial" w:cs="Arial"/>
                <w:lang w:val="el-GR"/>
              </w:rPr>
              <w:t>ποινής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</w:t>
            </w:r>
            <w:r w:rsidR="00EB265C" w:rsidRPr="00BB2C4B">
              <w:rPr>
                <w:rFonts w:ascii="Arial" w:hAnsi="Arial" w:cs="Arial"/>
                <w:lang w:val="el-GR"/>
              </w:rPr>
              <w:t>την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</w:t>
            </w:r>
            <w:r w:rsidR="00EB265C" w:rsidRPr="00BB2C4B">
              <w:rPr>
                <w:rFonts w:ascii="Arial" w:hAnsi="Arial" w:cs="Arial"/>
                <w:lang w:val="el-GR"/>
              </w:rPr>
              <w:t>οποία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θα </w:t>
            </w:r>
            <w:proofErr w:type="spellStart"/>
            <w:r w:rsidR="00EB265C" w:rsidRPr="00BB2C4B">
              <w:rPr>
                <w:rFonts w:ascii="Arial" w:hAnsi="Arial" w:cs="Arial"/>
                <w:lang w:val="el-GR"/>
              </w:rPr>
              <w:t>δικαιoλoγoύσαv</w:t>
            </w:r>
            <w:proofErr w:type="spellEnd"/>
            <w:r w:rsidR="00EB265C" w:rsidRPr="00BB2C4B">
              <w:rPr>
                <w:rFonts w:ascii="Arial" w:hAnsi="Arial" w:cs="Arial"/>
                <w:lang w:val="el-GR"/>
              </w:rPr>
              <w:t xml:space="preserve"> οι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περιστάσεις.</w:t>
            </w:r>
          </w:p>
        </w:tc>
      </w:tr>
      <w:tr w:rsidR="004328FB" w:rsidRPr="008867C6" w:rsidTr="00371E0D">
        <w:trPr>
          <w:trHeight w:val="188"/>
        </w:trPr>
        <w:tc>
          <w:tcPr>
            <w:tcW w:w="2125" w:type="dxa"/>
          </w:tcPr>
          <w:p w:rsidR="004328FB" w:rsidRPr="00BB2C4B" w:rsidRDefault="004328FB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4328FB" w:rsidRPr="00BB2C4B" w:rsidRDefault="004328FB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94487F" w:rsidRPr="008867C6" w:rsidTr="00371E0D">
        <w:trPr>
          <w:trHeight w:val="188"/>
        </w:trPr>
        <w:tc>
          <w:tcPr>
            <w:tcW w:w="2125" w:type="dxa"/>
          </w:tcPr>
          <w:p w:rsidR="0094487F" w:rsidRPr="00BB2C4B" w:rsidRDefault="0094487F" w:rsidP="00BB2C4B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1844" w:type="dxa"/>
            <w:gridSpan w:val="3"/>
          </w:tcPr>
          <w:p w:rsidR="0094487F" w:rsidRPr="00BB2C4B" w:rsidRDefault="00891187" w:rsidP="00BB2C4B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Διαθεσιμότητα.</w:t>
            </w:r>
          </w:p>
        </w:tc>
        <w:tc>
          <w:tcPr>
            <w:tcW w:w="5665" w:type="dxa"/>
          </w:tcPr>
          <w:p w:rsidR="0094487F" w:rsidRPr="00BB2C4B" w:rsidRDefault="0094487F" w:rsidP="003E6B33">
            <w:pPr>
              <w:tabs>
                <w:tab w:val="left" w:pos="450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10.</w:t>
            </w:r>
            <w:r w:rsidR="003E6B33">
              <w:rPr>
                <w:rFonts w:ascii="Arial" w:hAnsi="Arial" w:cs="Arial"/>
                <w:lang w:val="el-GR"/>
              </w:rPr>
              <w:t>-</w:t>
            </w:r>
            <w:r w:rsidRPr="00BB2C4B">
              <w:rPr>
                <w:rFonts w:ascii="Arial" w:hAnsi="Arial" w:cs="Arial"/>
                <w:lang w:val="el-GR"/>
              </w:rPr>
              <w:t>(1) Αν διαταχθεί έρευνα πειθαρχικού παραπτώματος</w:t>
            </w:r>
            <w:r w:rsidR="00890AA0" w:rsidRPr="00BB2C4B">
              <w:rPr>
                <w:rFonts w:ascii="Arial" w:hAnsi="Arial" w:cs="Arial"/>
                <w:lang w:val="el-GR"/>
              </w:rPr>
              <w:t xml:space="preserve"> που ενέχει έλλειψη τιμιότητας ή ηθική αισχρότητα</w:t>
            </w:r>
            <w:r w:rsidRPr="00BB2C4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BB2C4B">
              <w:rPr>
                <w:rFonts w:ascii="Arial" w:hAnsi="Arial" w:cs="Arial"/>
                <w:lang w:val="el-GR"/>
              </w:rPr>
              <w:t>εvαvτίov</w:t>
            </w:r>
            <w:proofErr w:type="spellEnd"/>
            <w:r w:rsidRPr="00BB2C4B">
              <w:rPr>
                <w:rFonts w:ascii="Arial" w:hAnsi="Arial" w:cs="Arial"/>
                <w:lang w:val="el-GR"/>
              </w:rPr>
              <w:t xml:space="preserve"> μέλους του Ακαδημαϊκού ή άλλου Εκπαιδευτικού Προσωπικού ή με την έναρξη </w:t>
            </w:r>
            <w:proofErr w:type="spellStart"/>
            <w:r w:rsidRPr="00BB2C4B">
              <w:rPr>
                <w:rFonts w:ascii="Arial" w:hAnsi="Arial" w:cs="Arial"/>
                <w:lang w:val="el-GR"/>
              </w:rPr>
              <w:t>αστυvoμικής</w:t>
            </w:r>
            <w:proofErr w:type="spellEnd"/>
            <w:r w:rsidRPr="00BB2C4B">
              <w:rPr>
                <w:rFonts w:ascii="Arial" w:hAnsi="Arial" w:cs="Arial"/>
                <w:lang w:val="el-GR"/>
              </w:rPr>
              <w:t xml:space="preserve"> έρευνας με σκοπό</w:t>
            </w:r>
            <w:r w:rsidR="00890AA0" w:rsidRPr="00BB2C4B">
              <w:rPr>
                <w:rFonts w:ascii="Arial" w:hAnsi="Arial" w:cs="Arial"/>
                <w:lang w:val="el-GR"/>
              </w:rPr>
              <w:t xml:space="preserve"> την ποινική δίωξη </w:t>
            </w:r>
            <w:proofErr w:type="spellStart"/>
            <w:r w:rsidR="00890AA0" w:rsidRPr="00BB2C4B">
              <w:rPr>
                <w:rFonts w:ascii="Arial" w:hAnsi="Arial" w:cs="Arial"/>
                <w:lang w:val="el-GR"/>
              </w:rPr>
              <w:t>εvαvτίov</w:t>
            </w:r>
            <w:proofErr w:type="spellEnd"/>
            <w:r w:rsidR="00890AA0" w:rsidRPr="00BB2C4B">
              <w:rPr>
                <w:rFonts w:ascii="Arial" w:hAnsi="Arial" w:cs="Arial"/>
                <w:lang w:val="el-GR"/>
              </w:rPr>
              <w:t xml:space="preserve"> του για αδίκημα που ενέχει έλλειψη τιμιότητας ή ηθική αισχρότητα,</w:t>
            </w:r>
            <w:r w:rsidRPr="00BB2C4B">
              <w:rPr>
                <w:rFonts w:ascii="Arial" w:hAnsi="Arial" w:cs="Arial"/>
                <w:lang w:val="el-GR"/>
              </w:rPr>
              <w:t xml:space="preserve"> η Επιτροπή Πειθαρχικού Ελέγχου </w:t>
            </w:r>
            <w:r w:rsidR="005C1081">
              <w:rPr>
                <w:rFonts w:ascii="Arial" w:hAnsi="Arial" w:cs="Arial"/>
                <w:lang w:val="el-GR"/>
              </w:rPr>
              <w:t>δύναται</w:t>
            </w:r>
            <w:r w:rsidRPr="00BB2C4B">
              <w:rPr>
                <w:rFonts w:ascii="Arial" w:hAnsi="Arial" w:cs="Arial"/>
                <w:lang w:val="el-GR"/>
              </w:rPr>
              <w:t xml:space="preserve">, </w:t>
            </w:r>
            <w:r w:rsidR="005C1081">
              <w:rPr>
                <w:rFonts w:ascii="Arial" w:hAnsi="Arial" w:cs="Arial"/>
                <w:lang w:val="el-GR"/>
              </w:rPr>
              <w:t>ε</w:t>
            </w:r>
            <w:r w:rsidR="005C1081" w:rsidRPr="00BB2C4B">
              <w:rPr>
                <w:rFonts w:ascii="Arial" w:hAnsi="Arial" w:cs="Arial"/>
                <w:lang w:val="el-GR"/>
              </w:rPr>
              <w:t>άν</w:t>
            </w:r>
            <w:r w:rsidRPr="00BB2C4B">
              <w:rPr>
                <w:rFonts w:ascii="Arial" w:hAnsi="Arial" w:cs="Arial"/>
                <w:lang w:val="el-GR"/>
              </w:rPr>
              <w:t xml:space="preserve"> το δημόσιο </w:t>
            </w:r>
            <w:proofErr w:type="spellStart"/>
            <w:r w:rsidRPr="00BB2C4B">
              <w:rPr>
                <w:rFonts w:ascii="Arial" w:hAnsi="Arial" w:cs="Arial"/>
                <w:lang w:val="el-GR"/>
              </w:rPr>
              <w:t>συμφέρov</w:t>
            </w:r>
            <w:proofErr w:type="spellEnd"/>
            <w:r w:rsidRPr="00BB2C4B">
              <w:rPr>
                <w:rFonts w:ascii="Arial" w:hAnsi="Arial" w:cs="Arial"/>
                <w:lang w:val="el-GR"/>
              </w:rPr>
              <w:t xml:space="preserve"> το απαιτεί, να θέσει σε διαθεσιμότητα το πρόσωπο αυτό κατά τη διάρκεια της έρευνας και σε τέτοια περίπτωση ενεργεί δυνάμει </w:t>
            </w:r>
            <w:r w:rsidR="003E6B33">
              <w:rPr>
                <w:rFonts w:ascii="Arial" w:hAnsi="Arial" w:cs="Arial"/>
                <w:lang w:val="el-GR"/>
              </w:rPr>
              <w:t xml:space="preserve">των προνοιών </w:t>
            </w:r>
            <w:r w:rsidRPr="00BB2C4B">
              <w:rPr>
                <w:rFonts w:ascii="Arial" w:hAnsi="Arial" w:cs="Arial"/>
                <w:lang w:val="el-GR"/>
              </w:rPr>
              <w:t xml:space="preserve">της παραγράφου (2), εκτός σε εξαιρετικές περιπτώσεις που ενεργεί δυνάμει </w:t>
            </w:r>
            <w:r w:rsidR="003E6B33">
              <w:rPr>
                <w:rFonts w:ascii="Arial" w:hAnsi="Arial" w:cs="Arial"/>
                <w:lang w:val="el-GR"/>
              </w:rPr>
              <w:t xml:space="preserve">των προνοιών </w:t>
            </w:r>
            <w:r w:rsidRPr="00BB2C4B">
              <w:rPr>
                <w:rFonts w:ascii="Arial" w:hAnsi="Arial" w:cs="Arial"/>
                <w:lang w:val="el-GR"/>
              </w:rPr>
              <w:t>της παραγράφου (3):</w:t>
            </w:r>
          </w:p>
        </w:tc>
      </w:tr>
      <w:tr w:rsidR="00624738" w:rsidRPr="008867C6" w:rsidTr="00371E0D">
        <w:trPr>
          <w:trHeight w:val="188"/>
        </w:trPr>
        <w:tc>
          <w:tcPr>
            <w:tcW w:w="2125" w:type="dxa"/>
          </w:tcPr>
          <w:p w:rsidR="00624738" w:rsidRPr="00BB2C4B" w:rsidRDefault="00624738" w:rsidP="00BB2C4B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624738" w:rsidRPr="00BB2C4B" w:rsidRDefault="00624738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54412" w:rsidRPr="008867C6" w:rsidTr="00ED2373">
        <w:trPr>
          <w:trHeight w:val="188"/>
        </w:trPr>
        <w:tc>
          <w:tcPr>
            <w:tcW w:w="2125" w:type="dxa"/>
          </w:tcPr>
          <w:p w:rsidR="00E54412" w:rsidRPr="00BB2C4B" w:rsidRDefault="00E54412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69" w:type="dxa"/>
          </w:tcPr>
          <w:p w:rsidR="00E54412" w:rsidRPr="00BB2C4B" w:rsidRDefault="00E54412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275" w:type="dxa"/>
            <w:gridSpan w:val="2"/>
          </w:tcPr>
          <w:p w:rsidR="00E54412" w:rsidRPr="00BB2C4B" w:rsidRDefault="00E54412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665" w:type="dxa"/>
          </w:tcPr>
          <w:p w:rsidR="00E54412" w:rsidRPr="00BB2C4B" w:rsidRDefault="00D64048" w:rsidP="00BB2C4B">
            <w:pPr>
              <w:spacing w:line="360" w:lineRule="auto"/>
              <w:ind w:firstLine="743"/>
              <w:jc w:val="both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Νοείται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ότι, η διάρκεια της διαθεσιμότητας </w:t>
            </w:r>
            <w:r w:rsidRPr="00BB2C4B">
              <w:rPr>
                <w:rFonts w:ascii="Arial" w:hAnsi="Arial" w:cs="Arial"/>
                <w:lang w:val="el-GR"/>
              </w:rPr>
              <w:t>στην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</w:t>
            </w:r>
            <w:r w:rsidRPr="00BB2C4B">
              <w:rPr>
                <w:rFonts w:ascii="Arial" w:hAnsi="Arial" w:cs="Arial"/>
                <w:lang w:val="el-GR"/>
              </w:rPr>
              <w:t xml:space="preserve">οποία 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τίθεται </w:t>
            </w:r>
            <w:r w:rsidR="00C654E7">
              <w:rPr>
                <w:rFonts w:ascii="Arial" w:hAnsi="Arial" w:cs="Arial"/>
                <w:lang w:val="el-GR"/>
              </w:rPr>
              <w:t xml:space="preserve">το </w:t>
            </w:r>
            <w:r w:rsidR="00C654E7" w:rsidRPr="00C654E7">
              <w:rPr>
                <w:rFonts w:ascii="Arial" w:hAnsi="Arial" w:cs="Arial"/>
                <w:lang w:val="el-GR"/>
              </w:rPr>
              <w:t>πιο πάνω μέλος</w:t>
            </w:r>
            <w:r w:rsidR="00C654E7" w:rsidRPr="00BB2C4B">
              <w:rPr>
                <w:rFonts w:ascii="Arial" w:hAnsi="Arial" w:cs="Arial"/>
                <w:lang w:val="el-GR"/>
              </w:rPr>
              <w:t xml:space="preserve"> 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δεν </w:t>
            </w:r>
            <w:r w:rsidR="003E6B33">
              <w:rPr>
                <w:rFonts w:ascii="Arial" w:hAnsi="Arial" w:cs="Arial"/>
                <w:lang w:val="el-GR"/>
              </w:rPr>
              <w:t>δύναται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να υπερβ</w:t>
            </w:r>
            <w:r w:rsidR="003E6B33">
              <w:rPr>
                <w:rFonts w:ascii="Arial" w:hAnsi="Arial" w:cs="Arial"/>
                <w:lang w:val="el-GR"/>
              </w:rPr>
              <w:t>αίνει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</w:t>
            </w:r>
            <w:r w:rsidRPr="00BB2C4B">
              <w:rPr>
                <w:rFonts w:ascii="Arial" w:hAnsi="Arial" w:cs="Arial"/>
                <w:lang w:val="el-GR"/>
              </w:rPr>
              <w:t>τους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 τρεις</w:t>
            </w:r>
            <w:r w:rsidR="003E6B33">
              <w:rPr>
                <w:rFonts w:ascii="Arial" w:hAnsi="Arial" w:cs="Arial"/>
                <w:lang w:val="el-GR"/>
              </w:rPr>
              <w:t xml:space="preserve"> (3) </w:t>
            </w:r>
            <w:r w:rsidRPr="00C654E7">
              <w:rPr>
                <w:rFonts w:ascii="Arial" w:hAnsi="Arial" w:cs="Arial"/>
                <w:lang w:val="el-GR"/>
              </w:rPr>
              <w:t>μήνες</w:t>
            </w:r>
            <w:r w:rsidR="00C654E7">
              <w:rPr>
                <w:rFonts w:ascii="Arial" w:hAnsi="Arial" w:cs="Arial"/>
                <w:lang w:val="el-GR"/>
              </w:rPr>
              <w:t>,</w:t>
            </w:r>
            <w:r w:rsidR="003E6B33" w:rsidRPr="00C654E7">
              <w:rPr>
                <w:rFonts w:ascii="Arial" w:hAnsi="Arial" w:cs="Arial"/>
                <w:lang w:val="el-GR"/>
              </w:rPr>
              <w:t xml:space="preserve"> δύναται </w:t>
            </w:r>
            <w:r w:rsidR="00C654E7">
              <w:rPr>
                <w:rFonts w:ascii="Arial" w:hAnsi="Arial" w:cs="Arial"/>
                <w:lang w:val="el-GR"/>
              </w:rPr>
              <w:t xml:space="preserve">όμως να παραταθεί, </w:t>
            </w:r>
            <w:r w:rsidR="003E6B33">
              <w:rPr>
                <w:rFonts w:ascii="Arial" w:hAnsi="Arial" w:cs="Arial"/>
                <w:lang w:val="el-GR"/>
              </w:rPr>
              <w:t xml:space="preserve">εάν </w:t>
            </w:r>
            <w:r w:rsidR="00E54412" w:rsidRPr="00BB2C4B">
              <w:rPr>
                <w:rFonts w:ascii="Arial" w:hAnsi="Arial" w:cs="Arial"/>
                <w:lang w:val="el-GR"/>
              </w:rPr>
              <w:t xml:space="preserve">συντρέχει σοβαρός λόγος, για άλλους τρεις </w:t>
            </w:r>
            <w:r w:rsidR="003E6B33">
              <w:rPr>
                <w:rFonts w:ascii="Arial" w:hAnsi="Arial" w:cs="Arial"/>
                <w:lang w:val="el-GR"/>
              </w:rPr>
              <w:t xml:space="preserve">(3) </w:t>
            </w:r>
            <w:r w:rsidR="00E54412" w:rsidRPr="00BB2C4B">
              <w:rPr>
                <w:rFonts w:ascii="Arial" w:hAnsi="Arial" w:cs="Arial"/>
                <w:lang w:val="el-GR"/>
              </w:rPr>
              <w:t>μήνες.</w:t>
            </w:r>
          </w:p>
        </w:tc>
      </w:tr>
      <w:tr w:rsidR="00624738" w:rsidRPr="008867C6" w:rsidTr="00371E0D">
        <w:trPr>
          <w:trHeight w:val="188"/>
        </w:trPr>
        <w:tc>
          <w:tcPr>
            <w:tcW w:w="2125" w:type="dxa"/>
          </w:tcPr>
          <w:p w:rsidR="00624738" w:rsidRPr="00BB2C4B" w:rsidRDefault="00624738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624738" w:rsidRPr="00BB2C4B" w:rsidRDefault="00624738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FD2930" w:rsidRPr="008867C6" w:rsidTr="00ED2373">
        <w:trPr>
          <w:trHeight w:val="188"/>
        </w:trPr>
        <w:tc>
          <w:tcPr>
            <w:tcW w:w="2125" w:type="dxa"/>
          </w:tcPr>
          <w:p w:rsidR="00FD2930" w:rsidRPr="00BB2C4B" w:rsidRDefault="00FD2930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69" w:type="dxa"/>
          </w:tcPr>
          <w:p w:rsidR="00FD2930" w:rsidRPr="00BB2C4B" w:rsidRDefault="00FD2930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275" w:type="dxa"/>
            <w:gridSpan w:val="2"/>
          </w:tcPr>
          <w:p w:rsidR="00FD2930" w:rsidRPr="00BB2C4B" w:rsidRDefault="00FD2930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665" w:type="dxa"/>
          </w:tcPr>
          <w:p w:rsidR="00FD2930" w:rsidRPr="00BB2C4B" w:rsidRDefault="003E6B33" w:rsidP="003E6B33">
            <w:pPr>
              <w:tabs>
                <w:tab w:val="left" w:pos="465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="00FD2930" w:rsidRPr="00BB2C4B">
              <w:rPr>
                <w:rFonts w:ascii="Arial" w:hAnsi="Arial" w:cs="Arial"/>
                <w:lang w:val="el-GR"/>
              </w:rPr>
              <w:t xml:space="preserve">(2) </w:t>
            </w:r>
            <w:r w:rsidR="008867C6">
              <w:rPr>
                <w:rFonts w:ascii="Arial" w:hAnsi="Arial" w:cs="Arial"/>
                <w:lang w:val="el-GR"/>
              </w:rPr>
              <w:t>Εάν</w:t>
            </w:r>
            <w:r w:rsidR="00FD2930" w:rsidRPr="00BB2C4B">
              <w:rPr>
                <w:rFonts w:ascii="Arial" w:hAnsi="Arial" w:cs="Arial"/>
                <w:lang w:val="el-GR"/>
              </w:rPr>
              <w:t xml:space="preserve"> η Επιτροπή Πειθαρχικού Ελέγχου προτίθεται να θέσει το μέλος του Ακαδημαϊκού ή άλλου Εκπαιδευτικού Προσωπικού σε διαθεσιμότητα το ενημερώνει για την πρόθεσή της αυτή και ταυτόχρονα το καλεί, </w:t>
            </w:r>
            <w:r w:rsidR="008867C6">
              <w:rPr>
                <w:rFonts w:ascii="Arial" w:hAnsi="Arial" w:cs="Arial"/>
                <w:lang w:val="el-GR"/>
              </w:rPr>
              <w:t>ε</w:t>
            </w:r>
            <w:r w:rsidR="008867C6" w:rsidRPr="00BB2C4B">
              <w:rPr>
                <w:rFonts w:ascii="Arial" w:hAnsi="Arial" w:cs="Arial"/>
                <w:lang w:val="el-GR"/>
              </w:rPr>
              <w:t>άν</w:t>
            </w:r>
            <w:r w:rsidR="00FD2930" w:rsidRPr="00BB2C4B">
              <w:rPr>
                <w:rFonts w:ascii="Arial" w:hAnsi="Arial" w:cs="Arial"/>
                <w:lang w:val="el-GR"/>
              </w:rPr>
              <w:t xml:space="preserve"> </w:t>
            </w:r>
            <w:r w:rsidR="00371E0D">
              <w:rPr>
                <w:rFonts w:ascii="Arial" w:hAnsi="Arial" w:cs="Arial"/>
                <w:lang w:val="el-GR"/>
              </w:rPr>
              <w:t xml:space="preserve">το </w:t>
            </w:r>
            <w:r w:rsidR="00FD2930" w:rsidRPr="00BB2C4B">
              <w:rPr>
                <w:rFonts w:ascii="Arial" w:hAnsi="Arial" w:cs="Arial"/>
                <w:lang w:val="el-GR"/>
              </w:rPr>
              <w:t xml:space="preserve">επιθυμεί, να υποβάλει, εντός τεσσάρων </w:t>
            </w:r>
            <w:r w:rsidR="00371E0D">
              <w:rPr>
                <w:rFonts w:ascii="Arial" w:hAnsi="Arial" w:cs="Arial"/>
                <w:lang w:val="el-GR"/>
              </w:rPr>
              <w:t xml:space="preserve">(4) </w:t>
            </w:r>
            <w:r w:rsidR="00FD2930" w:rsidRPr="00BB2C4B">
              <w:rPr>
                <w:rFonts w:ascii="Arial" w:hAnsi="Arial" w:cs="Arial"/>
                <w:lang w:val="el-GR"/>
              </w:rPr>
              <w:t xml:space="preserve">εργάσιμων ημερών, γραπτές παραστάσεις και αφού τις μελετήσει, </w:t>
            </w:r>
            <w:r w:rsidR="00371E0D">
              <w:rPr>
                <w:rFonts w:ascii="Arial" w:hAnsi="Arial" w:cs="Arial"/>
                <w:lang w:val="el-GR"/>
              </w:rPr>
              <w:t xml:space="preserve">εφόσον αυτές έχουν υποβληθεί </w:t>
            </w:r>
            <w:r w:rsidR="00FD2930" w:rsidRPr="00BB2C4B">
              <w:rPr>
                <w:rFonts w:ascii="Arial" w:hAnsi="Arial" w:cs="Arial"/>
                <w:lang w:val="el-GR"/>
              </w:rPr>
              <w:t>αποφασίζει ευθύς αμέσως κατά πόσο</w:t>
            </w:r>
            <w:r w:rsidR="00AF3536">
              <w:rPr>
                <w:rFonts w:ascii="Arial" w:hAnsi="Arial" w:cs="Arial"/>
                <w:lang w:val="el-GR"/>
              </w:rPr>
              <w:t>ν</w:t>
            </w:r>
            <w:r w:rsidR="00FD2930" w:rsidRPr="00BB2C4B">
              <w:rPr>
                <w:rFonts w:ascii="Arial" w:hAnsi="Arial" w:cs="Arial"/>
                <w:lang w:val="el-GR"/>
              </w:rPr>
              <w:t xml:space="preserve"> θα το θέσει ή όχι σε διαθεσιμότητα.</w:t>
            </w:r>
          </w:p>
        </w:tc>
      </w:tr>
      <w:tr w:rsidR="00624738" w:rsidRPr="008867C6" w:rsidTr="00371E0D">
        <w:trPr>
          <w:trHeight w:val="188"/>
        </w:trPr>
        <w:tc>
          <w:tcPr>
            <w:tcW w:w="2125" w:type="dxa"/>
          </w:tcPr>
          <w:p w:rsidR="00624738" w:rsidRPr="00BB2C4B" w:rsidRDefault="00624738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624738" w:rsidRPr="00BB2C4B" w:rsidRDefault="00624738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4328FB" w:rsidRPr="008867C6" w:rsidTr="00371E0D">
        <w:trPr>
          <w:trHeight w:val="188"/>
        </w:trPr>
        <w:tc>
          <w:tcPr>
            <w:tcW w:w="2125" w:type="dxa"/>
          </w:tcPr>
          <w:p w:rsidR="005E0884" w:rsidRPr="00BB2C4B" w:rsidRDefault="005E0884" w:rsidP="00371E0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lastRenderedPageBreak/>
              <w:t>158(Ι) του 1999</w:t>
            </w:r>
          </w:p>
          <w:p w:rsidR="005E0884" w:rsidRPr="00BB2C4B" w:rsidRDefault="005E0884" w:rsidP="00371E0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99(Ι) του 2014</w:t>
            </w:r>
          </w:p>
          <w:p w:rsidR="004328FB" w:rsidRPr="00BB2C4B" w:rsidRDefault="00890AA0" w:rsidP="00371E0D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28(Ι) του 202</w:t>
            </w:r>
            <w:r w:rsidR="005E0884" w:rsidRPr="00BB2C4B">
              <w:rPr>
                <w:rFonts w:ascii="Arial" w:hAnsi="Arial" w:cs="Arial"/>
                <w:lang w:val="el-GR"/>
              </w:rPr>
              <w:t>0.</w:t>
            </w:r>
          </w:p>
        </w:tc>
        <w:tc>
          <w:tcPr>
            <w:tcW w:w="852" w:type="dxa"/>
            <w:gridSpan w:val="2"/>
          </w:tcPr>
          <w:p w:rsidR="005E0884" w:rsidRPr="00BB2C4B" w:rsidRDefault="005C1081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371E0D">
              <w:rPr>
                <w:rFonts w:ascii="Arial" w:hAnsi="Arial" w:cs="Arial"/>
                <w:lang w:val="el-GR"/>
              </w:rPr>
              <w:t>3</w:t>
            </w:r>
            <w:r>
              <w:rPr>
                <w:rFonts w:ascii="Arial" w:hAnsi="Arial" w:cs="Arial"/>
                <w:lang w:val="el-GR"/>
              </w:rPr>
              <w:t>)</w:t>
            </w:r>
            <w:r w:rsidR="00371E0D" w:rsidRPr="00BB2C4B">
              <w:rPr>
                <w:rFonts w:ascii="Arial" w:hAnsi="Arial" w:cs="Arial"/>
                <w:lang w:val="el-GR"/>
              </w:rPr>
              <w:t>(α)</w:t>
            </w:r>
          </w:p>
          <w:p w:rsidR="004328FB" w:rsidRPr="00BB2C4B" w:rsidRDefault="004328FB" w:rsidP="00BB2C4B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6657" w:type="dxa"/>
            <w:gridSpan w:val="2"/>
          </w:tcPr>
          <w:p w:rsidR="004328FB" w:rsidRPr="00BB2C4B" w:rsidRDefault="00371E0D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Ανεξάρτητα από</w:t>
            </w:r>
            <w:r w:rsidR="004328FB" w:rsidRPr="00BB2C4B">
              <w:rPr>
                <w:rFonts w:ascii="Arial" w:hAnsi="Arial" w:cs="Arial"/>
                <w:lang w:val="el-GR"/>
              </w:rPr>
              <w:t xml:space="preserve"> τις διατάξεις του άρθρου 43 τ</w:t>
            </w:r>
            <w:r w:rsidR="00890AA0" w:rsidRPr="00BB2C4B">
              <w:rPr>
                <w:rFonts w:ascii="Arial" w:hAnsi="Arial" w:cs="Arial"/>
                <w:lang w:val="el-GR"/>
              </w:rPr>
              <w:t>ου</w:t>
            </w:r>
            <w:r w:rsidR="004328FB" w:rsidRPr="00BB2C4B">
              <w:rPr>
                <w:rFonts w:ascii="Arial" w:hAnsi="Arial" w:cs="Arial"/>
                <w:lang w:val="el-GR"/>
              </w:rPr>
              <w:t xml:space="preserve"> περί</w:t>
            </w:r>
            <w:r w:rsidR="00890AA0" w:rsidRPr="00BB2C4B">
              <w:rPr>
                <w:rFonts w:ascii="Arial" w:hAnsi="Arial" w:cs="Arial"/>
                <w:lang w:val="el-GR"/>
              </w:rPr>
              <w:t xml:space="preserve"> </w:t>
            </w:r>
            <w:r w:rsidR="004328FB" w:rsidRPr="00BB2C4B">
              <w:rPr>
                <w:rFonts w:ascii="Arial" w:hAnsi="Arial" w:cs="Arial"/>
                <w:lang w:val="el-GR"/>
              </w:rPr>
              <w:t>Γενικών Αρχών του Διοικητικού Δικαίου Νόμ</w:t>
            </w:r>
            <w:r w:rsidR="00890AA0" w:rsidRPr="00BB2C4B">
              <w:rPr>
                <w:rFonts w:ascii="Arial" w:hAnsi="Arial" w:cs="Arial"/>
                <w:lang w:val="el-GR"/>
              </w:rPr>
              <w:t>ου</w:t>
            </w:r>
            <w:r w:rsidR="004328FB" w:rsidRPr="00BB2C4B">
              <w:rPr>
                <w:rFonts w:ascii="Arial" w:hAnsi="Arial" w:cs="Arial"/>
                <w:lang w:val="el-GR"/>
              </w:rPr>
              <w:t>, η Επιτροπή Πειθαρχικού Ελέγχου δύναται, σε εξαιρετικές περιπτώσεις προκειμένου να διασφαλιστεί ότι δε</w:t>
            </w:r>
            <w:r>
              <w:rPr>
                <w:rFonts w:ascii="Arial" w:hAnsi="Arial" w:cs="Arial"/>
                <w:lang w:val="el-GR"/>
              </w:rPr>
              <w:t>ν</w:t>
            </w:r>
            <w:r w:rsidR="004328FB" w:rsidRPr="00BB2C4B">
              <w:rPr>
                <w:rFonts w:ascii="Arial" w:hAnsi="Arial" w:cs="Arial"/>
                <w:lang w:val="el-GR"/>
              </w:rPr>
              <w:t xml:space="preserve"> θα επηρεαστεί με οποιονδήποτε τρόπο η ομαλή διεξαγωγή της έρευνας, να θέσει αμέσως το </w:t>
            </w:r>
            <w:r w:rsidR="00C545BF" w:rsidRPr="00BB2C4B">
              <w:rPr>
                <w:rFonts w:ascii="Arial" w:hAnsi="Arial" w:cs="Arial"/>
                <w:lang w:val="el-GR"/>
              </w:rPr>
              <w:t>μέλος του Ακαδημαϊκού ή άλλου Εκπαιδευτικού Προσωπικού</w:t>
            </w:r>
            <w:r w:rsidR="004328FB" w:rsidRPr="00BB2C4B">
              <w:rPr>
                <w:rFonts w:ascii="Arial" w:hAnsi="Arial" w:cs="Arial"/>
                <w:lang w:val="el-GR"/>
              </w:rPr>
              <w:t xml:space="preserve"> σε διαθεσιμότητα δυνάμει</w:t>
            </w:r>
            <w:r>
              <w:rPr>
                <w:rFonts w:ascii="Arial" w:hAnsi="Arial" w:cs="Arial"/>
                <w:lang w:val="el-GR"/>
              </w:rPr>
              <w:t xml:space="preserve"> των προνοιών</w:t>
            </w:r>
            <w:r w:rsidR="004328FB" w:rsidRPr="00BB2C4B">
              <w:rPr>
                <w:rFonts w:ascii="Arial" w:hAnsi="Arial" w:cs="Arial"/>
                <w:lang w:val="el-GR"/>
              </w:rPr>
              <w:t xml:space="preserve"> της παραγράφου (1), χωρίς να προβεί στις ενέργειες που αναφέρονται </w:t>
            </w:r>
            <w:r w:rsidR="00C46520">
              <w:rPr>
                <w:rFonts w:ascii="Arial" w:hAnsi="Arial" w:cs="Arial"/>
                <w:lang w:val="el-GR"/>
              </w:rPr>
              <w:t xml:space="preserve">στις πρόνοιες της </w:t>
            </w:r>
            <w:r w:rsidR="004328FB" w:rsidRPr="00BB2C4B">
              <w:rPr>
                <w:rFonts w:ascii="Arial" w:hAnsi="Arial" w:cs="Arial"/>
                <w:lang w:val="el-GR"/>
              </w:rPr>
              <w:t>παρ</w:t>
            </w:r>
            <w:r w:rsidR="00C46520">
              <w:rPr>
                <w:rFonts w:ascii="Arial" w:hAnsi="Arial" w:cs="Arial"/>
                <w:lang w:val="el-GR"/>
              </w:rPr>
              <w:t>αγράφου</w:t>
            </w:r>
            <w:r w:rsidR="004328FB" w:rsidRPr="00BB2C4B">
              <w:rPr>
                <w:rFonts w:ascii="Arial" w:hAnsi="Arial" w:cs="Arial"/>
                <w:lang w:val="el-GR"/>
              </w:rPr>
              <w:t xml:space="preserve"> (2), παρέχοντας ταυτόχρονα σε αυτό το δικαίωμα να υποβάλει, </w:t>
            </w:r>
            <w:r w:rsidR="00C46520">
              <w:rPr>
                <w:rFonts w:ascii="Arial" w:hAnsi="Arial" w:cs="Arial"/>
                <w:lang w:val="el-GR"/>
              </w:rPr>
              <w:t>εάν</w:t>
            </w:r>
            <w:r w:rsidR="004328FB" w:rsidRPr="00BB2C4B">
              <w:rPr>
                <w:rFonts w:ascii="Arial" w:hAnsi="Arial" w:cs="Arial"/>
                <w:lang w:val="el-GR"/>
              </w:rPr>
              <w:t xml:space="preserve"> το επιθυμεί, το </w:t>
            </w:r>
            <w:proofErr w:type="spellStart"/>
            <w:r w:rsidR="004328FB" w:rsidRPr="00BB2C4B">
              <w:rPr>
                <w:rFonts w:ascii="Arial" w:hAnsi="Arial" w:cs="Arial"/>
                <w:lang w:val="el-GR"/>
              </w:rPr>
              <w:t>αργότερον</w:t>
            </w:r>
            <w:proofErr w:type="spellEnd"/>
            <w:r w:rsidR="004328FB" w:rsidRPr="00BB2C4B">
              <w:rPr>
                <w:rFonts w:ascii="Arial" w:hAnsi="Arial" w:cs="Arial"/>
                <w:lang w:val="el-GR"/>
              </w:rPr>
              <w:t xml:space="preserve"> εντός τεσσάρων</w:t>
            </w:r>
            <w:r>
              <w:rPr>
                <w:rFonts w:ascii="Arial" w:hAnsi="Arial" w:cs="Arial"/>
                <w:lang w:val="el-GR"/>
              </w:rPr>
              <w:t xml:space="preserve"> (4) </w:t>
            </w:r>
            <w:r w:rsidR="004328FB" w:rsidRPr="00BB2C4B">
              <w:rPr>
                <w:rFonts w:ascii="Arial" w:hAnsi="Arial" w:cs="Arial"/>
                <w:lang w:val="el-GR"/>
              </w:rPr>
              <w:t xml:space="preserve">εργάσιμων ημερών από την ημέρα της επίδοσης της απόφασής της, γραπτή ένσταση </w:t>
            </w:r>
            <w:r w:rsidR="0036679D" w:rsidRPr="00BB2C4B">
              <w:rPr>
                <w:rFonts w:ascii="Arial" w:hAnsi="Arial" w:cs="Arial"/>
                <w:lang w:val="el-GR"/>
              </w:rPr>
              <w:t>κατά της</w:t>
            </w:r>
            <w:r w:rsidR="004328FB" w:rsidRPr="00BB2C4B">
              <w:rPr>
                <w:rFonts w:ascii="Arial" w:hAnsi="Arial" w:cs="Arial"/>
                <w:lang w:val="el-GR"/>
              </w:rPr>
              <w:t xml:space="preserve"> απόφασή</w:t>
            </w:r>
            <w:r w:rsidR="0036679D" w:rsidRPr="00BB2C4B">
              <w:rPr>
                <w:rFonts w:ascii="Arial" w:hAnsi="Arial" w:cs="Arial"/>
                <w:lang w:val="el-GR"/>
              </w:rPr>
              <w:t>ς</w:t>
            </w:r>
            <w:r w:rsidR="004328FB" w:rsidRPr="00BB2C4B">
              <w:rPr>
                <w:rFonts w:ascii="Arial" w:hAnsi="Arial" w:cs="Arial"/>
                <w:lang w:val="el-GR"/>
              </w:rPr>
              <w:t xml:space="preserve"> της να το θέσει σε διαθεσιμότητα.</w:t>
            </w:r>
          </w:p>
        </w:tc>
      </w:tr>
      <w:tr w:rsidR="00624738" w:rsidRPr="008867C6" w:rsidTr="00371E0D">
        <w:trPr>
          <w:trHeight w:val="188"/>
        </w:trPr>
        <w:tc>
          <w:tcPr>
            <w:tcW w:w="2125" w:type="dxa"/>
          </w:tcPr>
          <w:p w:rsidR="00624738" w:rsidRPr="00BB2C4B" w:rsidRDefault="00624738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624738" w:rsidRPr="00BB2C4B" w:rsidRDefault="00624738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371E0D" w:rsidRPr="008867C6" w:rsidTr="00371E0D">
        <w:trPr>
          <w:trHeight w:val="188"/>
        </w:trPr>
        <w:tc>
          <w:tcPr>
            <w:tcW w:w="2125" w:type="dxa"/>
          </w:tcPr>
          <w:p w:rsidR="00371E0D" w:rsidRPr="00BB2C4B" w:rsidRDefault="00371E0D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852" w:type="dxa"/>
            <w:gridSpan w:val="2"/>
          </w:tcPr>
          <w:p w:rsidR="00371E0D" w:rsidRPr="00BB2C4B" w:rsidRDefault="00371E0D" w:rsidP="00371E0D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>(β)</w:t>
            </w:r>
          </w:p>
        </w:tc>
        <w:tc>
          <w:tcPr>
            <w:tcW w:w="6657" w:type="dxa"/>
            <w:gridSpan w:val="2"/>
          </w:tcPr>
          <w:p w:rsidR="00371E0D" w:rsidRPr="00BB2C4B" w:rsidRDefault="00371E0D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 xml:space="preserve">Σε περίπτωση που υποβληθεί ένσταση δυνάμει </w:t>
            </w:r>
            <w:r w:rsidR="00ED2373">
              <w:rPr>
                <w:rFonts w:ascii="Arial" w:hAnsi="Arial" w:cs="Arial"/>
                <w:lang w:val="el-GR"/>
              </w:rPr>
              <w:t xml:space="preserve">των προνοιών </w:t>
            </w:r>
            <w:r w:rsidRPr="00BB2C4B">
              <w:rPr>
                <w:rFonts w:ascii="Arial" w:hAnsi="Arial" w:cs="Arial"/>
                <w:lang w:val="el-GR"/>
              </w:rPr>
              <w:t xml:space="preserve">της </w:t>
            </w:r>
            <w:proofErr w:type="spellStart"/>
            <w:r w:rsidRPr="00BB2C4B">
              <w:rPr>
                <w:rFonts w:ascii="Arial" w:hAnsi="Arial" w:cs="Arial"/>
                <w:lang w:val="el-GR"/>
              </w:rPr>
              <w:t>υποπαραγράφου</w:t>
            </w:r>
            <w:proofErr w:type="spellEnd"/>
            <w:r w:rsidRPr="00BB2C4B">
              <w:rPr>
                <w:rFonts w:ascii="Arial" w:hAnsi="Arial" w:cs="Arial"/>
                <w:lang w:val="el-GR"/>
              </w:rPr>
              <w:t xml:space="preserve"> (α), η Επιτροπή Πειθαρχικού Ελέγχου, αφού μελετήσει τους λόγους που περιέχονται σ</w:t>
            </w:r>
            <w:r w:rsidR="00AF3536">
              <w:rPr>
                <w:rFonts w:ascii="Arial" w:hAnsi="Arial" w:cs="Arial"/>
                <w:lang w:val="el-GR"/>
              </w:rPr>
              <w:t>ε</w:t>
            </w:r>
            <w:r w:rsidRPr="00BB2C4B">
              <w:rPr>
                <w:rFonts w:ascii="Arial" w:hAnsi="Arial" w:cs="Arial"/>
                <w:lang w:val="el-GR"/>
              </w:rPr>
              <w:t xml:space="preserve"> αυτήν αποφασίζει ευθύς αμέσως κατά πόσο</w:t>
            </w:r>
            <w:r w:rsidR="0028447A">
              <w:rPr>
                <w:rFonts w:ascii="Arial" w:hAnsi="Arial" w:cs="Arial"/>
                <w:lang w:val="el-GR"/>
              </w:rPr>
              <w:t>ν</w:t>
            </w:r>
            <w:r w:rsidRPr="00BB2C4B">
              <w:rPr>
                <w:rFonts w:ascii="Arial" w:hAnsi="Arial" w:cs="Arial"/>
                <w:lang w:val="el-GR"/>
              </w:rPr>
              <w:t xml:space="preserve"> θα διατάξει τη συνέχιση ή τον τερματισμό της διαθεσιμότητας και </w:t>
            </w:r>
            <w:r w:rsidR="00ED2373">
              <w:rPr>
                <w:rFonts w:ascii="Arial" w:hAnsi="Arial" w:cs="Arial"/>
                <w:lang w:val="el-GR"/>
              </w:rPr>
              <w:t>ε</w:t>
            </w:r>
            <w:r w:rsidR="00ED2373" w:rsidRPr="00BB2C4B">
              <w:rPr>
                <w:rFonts w:ascii="Arial" w:hAnsi="Arial" w:cs="Arial"/>
                <w:lang w:val="el-GR"/>
              </w:rPr>
              <w:t>άν</w:t>
            </w:r>
            <w:r w:rsidRPr="00BB2C4B">
              <w:rPr>
                <w:rFonts w:ascii="Arial" w:hAnsi="Arial" w:cs="Arial"/>
                <w:lang w:val="el-GR"/>
              </w:rPr>
              <w:t xml:space="preserve"> η Επιτροπή Πειθαρχικού Ελέγχου τερματίσει τη διαθεσιμότητ</w:t>
            </w:r>
            <w:r w:rsidR="0028447A">
              <w:rPr>
                <w:rFonts w:ascii="Arial" w:hAnsi="Arial" w:cs="Arial"/>
                <w:lang w:val="el-GR"/>
              </w:rPr>
              <w:t>ά</w:t>
            </w:r>
            <w:r w:rsidRPr="00BB2C4B">
              <w:rPr>
                <w:rFonts w:ascii="Arial" w:hAnsi="Arial" w:cs="Arial"/>
                <w:lang w:val="el-GR"/>
              </w:rPr>
              <w:t xml:space="preserve"> του αυτό επανακτά, από την ημέρα έναρξης της διαθεσιμότητας, όλες τις εξουσίες και τα ωφελήματα που αν</w:t>
            </w:r>
            <w:r w:rsidR="00ED2373">
              <w:rPr>
                <w:rFonts w:ascii="Arial" w:hAnsi="Arial" w:cs="Arial"/>
                <w:lang w:val="el-GR"/>
              </w:rPr>
              <w:t>ε</w:t>
            </w:r>
            <w:r w:rsidRPr="00BB2C4B">
              <w:rPr>
                <w:rFonts w:ascii="Arial" w:hAnsi="Arial" w:cs="Arial"/>
                <w:lang w:val="el-GR"/>
              </w:rPr>
              <w:t>στάλη</w:t>
            </w:r>
            <w:r w:rsidR="00ED2373">
              <w:rPr>
                <w:rFonts w:ascii="Arial" w:hAnsi="Arial" w:cs="Arial"/>
                <w:lang w:val="el-GR"/>
              </w:rPr>
              <w:t>σ</w:t>
            </w:r>
            <w:r w:rsidRPr="00BB2C4B">
              <w:rPr>
                <w:rFonts w:ascii="Arial" w:hAnsi="Arial" w:cs="Arial"/>
                <w:lang w:val="el-GR"/>
              </w:rPr>
              <w:t>αν δυνάμει της παραγράφου (6) του παρόντος Κανονισμού.</w:t>
            </w:r>
          </w:p>
        </w:tc>
      </w:tr>
      <w:tr w:rsidR="00624738" w:rsidRPr="008867C6" w:rsidTr="00371E0D">
        <w:trPr>
          <w:trHeight w:val="188"/>
        </w:trPr>
        <w:tc>
          <w:tcPr>
            <w:tcW w:w="2125" w:type="dxa"/>
          </w:tcPr>
          <w:p w:rsidR="00624738" w:rsidRPr="00BB2C4B" w:rsidRDefault="00624738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624738" w:rsidRPr="00BB2C4B" w:rsidRDefault="00624738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D2373" w:rsidRPr="008867C6" w:rsidTr="00D3646D">
        <w:trPr>
          <w:trHeight w:val="188"/>
        </w:trPr>
        <w:tc>
          <w:tcPr>
            <w:tcW w:w="2125" w:type="dxa"/>
          </w:tcPr>
          <w:p w:rsidR="00ED2373" w:rsidRPr="00BB2C4B" w:rsidRDefault="00ED2373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ED2373" w:rsidRPr="00BB2C4B" w:rsidRDefault="00E4033D" w:rsidP="00ED2373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ED2373" w:rsidRPr="00BB2C4B">
              <w:rPr>
                <w:rFonts w:ascii="Arial" w:hAnsi="Arial" w:cs="Arial"/>
                <w:lang w:val="el-GR"/>
              </w:rPr>
              <w:t>4</w:t>
            </w:r>
            <w:r>
              <w:rPr>
                <w:rFonts w:ascii="Arial" w:hAnsi="Arial" w:cs="Arial"/>
                <w:lang w:val="el-GR"/>
              </w:rPr>
              <w:t>)</w:t>
            </w:r>
            <w:r w:rsidR="00ED2373" w:rsidRPr="00BB2C4B">
              <w:rPr>
                <w:rFonts w:ascii="Arial" w:hAnsi="Arial" w:cs="Arial"/>
                <w:lang w:val="el-GR"/>
              </w:rPr>
              <w:t xml:space="preserve"> </w:t>
            </w:r>
            <w:r w:rsidR="00ED2373">
              <w:rPr>
                <w:rFonts w:ascii="Arial" w:hAnsi="Arial" w:cs="Arial"/>
                <w:lang w:val="el-GR"/>
              </w:rPr>
              <w:tab/>
              <w:t>Εάν</w:t>
            </w:r>
            <w:r w:rsidR="00ED2373" w:rsidRPr="00BB2C4B">
              <w:rPr>
                <w:rFonts w:ascii="Arial" w:hAnsi="Arial" w:cs="Arial"/>
                <w:lang w:val="el-GR"/>
              </w:rPr>
              <w:t xml:space="preserve"> μετά το τέλος της έρευνας αποφασιστεί η ποινική ή η πειθαρχική δίωξη του μέλους το</w:t>
            </w:r>
            <w:r w:rsidR="008205CF">
              <w:rPr>
                <w:rFonts w:ascii="Arial" w:hAnsi="Arial" w:cs="Arial"/>
                <w:lang w:val="el-GR"/>
              </w:rPr>
              <w:t>υ</w:t>
            </w:r>
            <w:r w:rsidR="00ED2373" w:rsidRPr="00BB2C4B">
              <w:rPr>
                <w:rFonts w:ascii="Arial" w:hAnsi="Arial" w:cs="Arial"/>
                <w:lang w:val="el-GR"/>
              </w:rPr>
              <w:t xml:space="preserve"> Ακαδημαϊκού ή άλλου Εκπαιδευτικού Προσωπικού, η Επιτροπή Πειθαρχικού Ελέγχου δύναται, </w:t>
            </w:r>
            <w:r w:rsidR="00ED2373">
              <w:rPr>
                <w:rFonts w:ascii="Arial" w:hAnsi="Arial" w:cs="Arial"/>
                <w:lang w:val="el-GR"/>
              </w:rPr>
              <w:t>εάν</w:t>
            </w:r>
            <w:r w:rsidR="00ED2373" w:rsidRPr="00BB2C4B">
              <w:rPr>
                <w:rFonts w:ascii="Arial" w:hAnsi="Arial" w:cs="Arial"/>
                <w:lang w:val="el-GR"/>
              </w:rPr>
              <w:t xml:space="preserve"> το δημόσιο </w:t>
            </w:r>
            <w:proofErr w:type="spellStart"/>
            <w:r w:rsidR="00ED2373" w:rsidRPr="00BB2C4B">
              <w:rPr>
                <w:rFonts w:ascii="Arial" w:hAnsi="Arial" w:cs="Arial"/>
                <w:lang w:val="el-GR"/>
              </w:rPr>
              <w:t>συμφέρov</w:t>
            </w:r>
            <w:proofErr w:type="spellEnd"/>
            <w:r w:rsidR="00ED2373" w:rsidRPr="00BB2C4B">
              <w:rPr>
                <w:rFonts w:ascii="Arial" w:hAnsi="Arial" w:cs="Arial"/>
                <w:lang w:val="el-GR"/>
              </w:rPr>
              <w:t xml:space="preserve"> το απαιτεί, να θέσει σε διαθεσιμότητα το εν λόγω </w:t>
            </w:r>
            <w:r w:rsidR="00ED2373">
              <w:rPr>
                <w:rFonts w:ascii="Arial" w:hAnsi="Arial" w:cs="Arial"/>
                <w:lang w:val="el-GR"/>
              </w:rPr>
              <w:t>πρόσωπο</w:t>
            </w:r>
            <w:r w:rsidR="00ED2373" w:rsidRPr="00BB2C4B">
              <w:rPr>
                <w:rFonts w:ascii="Arial" w:hAnsi="Arial" w:cs="Arial"/>
                <w:lang w:val="el-GR"/>
              </w:rPr>
              <w:t xml:space="preserve"> μέχρι την τελική συμπλήρωση της υπόθεσης </w:t>
            </w:r>
            <w:r w:rsidR="00ED2373">
              <w:rPr>
                <w:rFonts w:ascii="Arial" w:hAnsi="Arial" w:cs="Arial"/>
                <w:lang w:val="el-GR"/>
              </w:rPr>
              <w:t>σύμφωνα με τις πρόνοιες</w:t>
            </w:r>
            <w:r w:rsidR="00ED2373" w:rsidRPr="00BB2C4B">
              <w:rPr>
                <w:rFonts w:ascii="Arial" w:hAnsi="Arial" w:cs="Arial"/>
                <w:lang w:val="el-GR"/>
              </w:rPr>
              <w:t xml:space="preserve"> της παραγράφου (2).</w:t>
            </w:r>
          </w:p>
        </w:tc>
      </w:tr>
      <w:tr w:rsidR="00624738" w:rsidRPr="008867C6" w:rsidTr="00371E0D">
        <w:trPr>
          <w:trHeight w:val="188"/>
        </w:trPr>
        <w:tc>
          <w:tcPr>
            <w:tcW w:w="2125" w:type="dxa"/>
          </w:tcPr>
          <w:p w:rsidR="00624738" w:rsidRPr="00BB2C4B" w:rsidRDefault="00624738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624738" w:rsidRPr="00BB2C4B" w:rsidRDefault="00624738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D2373" w:rsidRPr="008867C6" w:rsidTr="007B612E">
        <w:trPr>
          <w:trHeight w:val="188"/>
        </w:trPr>
        <w:tc>
          <w:tcPr>
            <w:tcW w:w="2125" w:type="dxa"/>
          </w:tcPr>
          <w:p w:rsidR="00ED2373" w:rsidRPr="00BB2C4B" w:rsidRDefault="00ED2373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ED2373" w:rsidRPr="00BB2C4B" w:rsidRDefault="00E4033D" w:rsidP="00ED2373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ED2373" w:rsidRPr="00BB2C4B">
              <w:rPr>
                <w:rFonts w:ascii="Arial" w:hAnsi="Arial" w:cs="Arial"/>
                <w:lang w:val="el-GR"/>
              </w:rPr>
              <w:t>5</w:t>
            </w:r>
            <w:r>
              <w:rPr>
                <w:rFonts w:ascii="Arial" w:hAnsi="Arial" w:cs="Arial"/>
                <w:lang w:val="el-GR"/>
              </w:rPr>
              <w:t>)</w:t>
            </w:r>
            <w:r w:rsidR="00ED2373">
              <w:rPr>
                <w:rFonts w:ascii="Arial" w:hAnsi="Arial" w:cs="Arial"/>
                <w:lang w:val="el-GR"/>
              </w:rPr>
              <w:tab/>
            </w:r>
            <w:r w:rsidR="00ED2373" w:rsidRPr="00BB2C4B">
              <w:rPr>
                <w:rFonts w:ascii="Arial" w:hAnsi="Arial" w:cs="Arial"/>
                <w:lang w:val="el-GR"/>
              </w:rPr>
              <w:t xml:space="preserve">Σε περίπτωση που η Επιτροπή Πειθαρχικού Ελέγχου προτίθεται να παρατείνει τη διαθεσιμότητα του μέλους του Ακαδημαϊκού ή άλλου Εκπαιδευτικού Προσωπικού, τέσσερις </w:t>
            </w:r>
            <w:r w:rsidR="00ED2373">
              <w:rPr>
                <w:rFonts w:ascii="Arial" w:hAnsi="Arial" w:cs="Arial"/>
                <w:lang w:val="el-GR"/>
              </w:rPr>
              <w:t xml:space="preserve">(4) </w:t>
            </w:r>
            <w:r w:rsidR="00ED2373" w:rsidRPr="00BB2C4B">
              <w:rPr>
                <w:rFonts w:ascii="Arial" w:hAnsi="Arial" w:cs="Arial"/>
                <w:lang w:val="el-GR"/>
              </w:rPr>
              <w:t xml:space="preserve">ημέρες πριν τη λήξη της, ενεργεί εφαρμόζοντας κατ’ </w:t>
            </w:r>
            <w:proofErr w:type="spellStart"/>
            <w:r w:rsidR="00ED2373" w:rsidRPr="00BB2C4B">
              <w:rPr>
                <w:rFonts w:ascii="Arial" w:hAnsi="Arial" w:cs="Arial"/>
                <w:lang w:val="el-GR"/>
              </w:rPr>
              <w:t>αναλογία</w:t>
            </w:r>
            <w:r w:rsidR="00F90B36">
              <w:rPr>
                <w:rFonts w:ascii="Arial" w:hAnsi="Arial" w:cs="Arial"/>
                <w:lang w:val="el-GR"/>
              </w:rPr>
              <w:t>ν</w:t>
            </w:r>
            <w:proofErr w:type="spellEnd"/>
            <w:r w:rsidR="00ED2373" w:rsidRPr="00BB2C4B">
              <w:rPr>
                <w:rFonts w:ascii="Arial" w:hAnsi="Arial" w:cs="Arial"/>
                <w:lang w:val="el-GR"/>
              </w:rPr>
              <w:t xml:space="preserve"> τις </w:t>
            </w:r>
            <w:r w:rsidR="00ED2373">
              <w:rPr>
                <w:rFonts w:ascii="Arial" w:hAnsi="Arial" w:cs="Arial"/>
                <w:lang w:val="el-GR"/>
              </w:rPr>
              <w:t>πρόνοιες</w:t>
            </w:r>
            <w:r w:rsidR="00ED2373" w:rsidRPr="00BB2C4B">
              <w:rPr>
                <w:rFonts w:ascii="Arial" w:hAnsi="Arial" w:cs="Arial"/>
                <w:lang w:val="el-GR"/>
              </w:rPr>
              <w:t xml:space="preserve"> της παραγράφου (2).</w:t>
            </w:r>
          </w:p>
        </w:tc>
      </w:tr>
      <w:tr w:rsidR="00624738" w:rsidRPr="008867C6" w:rsidTr="00371E0D">
        <w:trPr>
          <w:trHeight w:val="188"/>
        </w:trPr>
        <w:tc>
          <w:tcPr>
            <w:tcW w:w="2125" w:type="dxa"/>
          </w:tcPr>
          <w:p w:rsidR="00624738" w:rsidRPr="00BB2C4B" w:rsidRDefault="00624738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624738" w:rsidRPr="00BB2C4B" w:rsidRDefault="00624738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D2373" w:rsidRPr="008867C6" w:rsidTr="000328CB">
        <w:trPr>
          <w:trHeight w:val="188"/>
        </w:trPr>
        <w:tc>
          <w:tcPr>
            <w:tcW w:w="2125" w:type="dxa"/>
          </w:tcPr>
          <w:p w:rsidR="00ED2373" w:rsidRPr="00BB2C4B" w:rsidRDefault="00ED2373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ED2373" w:rsidRPr="00BB2C4B" w:rsidRDefault="00E4033D" w:rsidP="00ED2373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ED2373" w:rsidRPr="00BB2C4B">
              <w:rPr>
                <w:rFonts w:ascii="Arial" w:hAnsi="Arial" w:cs="Arial"/>
                <w:lang w:val="el-GR"/>
              </w:rPr>
              <w:t>6</w:t>
            </w:r>
            <w:r>
              <w:rPr>
                <w:rFonts w:ascii="Arial" w:hAnsi="Arial" w:cs="Arial"/>
                <w:lang w:val="el-GR"/>
              </w:rPr>
              <w:t>)</w:t>
            </w:r>
            <w:r w:rsidR="00ED2373">
              <w:rPr>
                <w:rFonts w:ascii="Arial" w:hAnsi="Arial" w:cs="Arial"/>
                <w:lang w:val="el-GR"/>
              </w:rPr>
              <w:tab/>
            </w:r>
            <w:r w:rsidR="00ED2373" w:rsidRPr="00BB2C4B">
              <w:rPr>
                <w:rFonts w:ascii="Arial" w:hAnsi="Arial" w:cs="Arial"/>
                <w:lang w:val="el-GR"/>
              </w:rPr>
              <w:t>Ειδοποίηση ότι τέθηκε σε διαθεσιμότητα δίδεται γραπτώς στο μέλος του Ακαδημαϊκού ή άλλου Εκπαιδευτικού Προσωπικού το συντομότερο</w:t>
            </w:r>
            <w:r w:rsidR="00232C48">
              <w:rPr>
                <w:rFonts w:ascii="Arial" w:hAnsi="Arial" w:cs="Arial"/>
                <w:lang w:val="el-GR"/>
              </w:rPr>
              <w:t xml:space="preserve"> και</w:t>
            </w:r>
            <w:r w:rsidR="00ED2373" w:rsidRPr="00BB2C4B">
              <w:rPr>
                <w:rFonts w:ascii="Arial" w:hAnsi="Arial" w:cs="Arial"/>
                <w:lang w:val="el-GR"/>
              </w:rPr>
              <w:t xml:space="preserve"> </w:t>
            </w:r>
            <w:r w:rsidR="00232C48">
              <w:rPr>
                <w:rFonts w:ascii="Arial" w:hAnsi="Arial" w:cs="Arial"/>
                <w:lang w:val="el-GR"/>
              </w:rPr>
              <w:t>ο</w:t>
            </w:r>
            <w:r w:rsidR="00ED2373" w:rsidRPr="00BB2C4B">
              <w:rPr>
                <w:rFonts w:ascii="Arial" w:hAnsi="Arial" w:cs="Arial"/>
                <w:lang w:val="el-GR"/>
              </w:rPr>
              <w:t xml:space="preserve">ι εξουσίες, τα προνόμια και τα ωφελήματα του εν λόγω μέλους </w:t>
            </w:r>
            <w:proofErr w:type="spellStart"/>
            <w:r w:rsidR="00ED2373" w:rsidRPr="00BB2C4B">
              <w:rPr>
                <w:rFonts w:ascii="Arial" w:hAnsi="Arial" w:cs="Arial"/>
                <w:lang w:val="el-GR"/>
              </w:rPr>
              <w:t>αvαστέλλovται</w:t>
            </w:r>
            <w:proofErr w:type="spellEnd"/>
            <w:r w:rsidR="00ED2373" w:rsidRPr="00BB2C4B">
              <w:rPr>
                <w:rFonts w:ascii="Arial" w:hAnsi="Arial" w:cs="Arial"/>
                <w:lang w:val="el-GR"/>
              </w:rPr>
              <w:t xml:space="preserve"> κατά τη διάρκεια της περιόδου της διαθεσιμότητας:</w:t>
            </w:r>
          </w:p>
        </w:tc>
      </w:tr>
      <w:tr w:rsidR="004328FB" w:rsidRPr="008867C6" w:rsidTr="00371E0D">
        <w:trPr>
          <w:trHeight w:val="188"/>
        </w:trPr>
        <w:tc>
          <w:tcPr>
            <w:tcW w:w="2125" w:type="dxa"/>
          </w:tcPr>
          <w:p w:rsidR="004328FB" w:rsidRPr="00BB2C4B" w:rsidRDefault="004328FB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4328FB" w:rsidRPr="00BB2C4B" w:rsidRDefault="004328FB" w:rsidP="00BB2C4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32C48" w:rsidRPr="008867C6" w:rsidTr="00FD2008">
        <w:trPr>
          <w:trHeight w:val="188"/>
        </w:trPr>
        <w:tc>
          <w:tcPr>
            <w:tcW w:w="2125" w:type="dxa"/>
          </w:tcPr>
          <w:p w:rsidR="00232C48" w:rsidRPr="00BB2C4B" w:rsidRDefault="00232C48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232C48" w:rsidRPr="00BB2C4B" w:rsidRDefault="00232C48" w:rsidP="00BB2C4B">
            <w:pPr>
              <w:spacing w:line="360" w:lineRule="auto"/>
              <w:ind w:firstLine="721"/>
              <w:jc w:val="both"/>
              <w:rPr>
                <w:rFonts w:ascii="Arial" w:hAnsi="Arial" w:cs="Arial"/>
                <w:lang w:val="el-GR"/>
              </w:rPr>
            </w:pPr>
            <w:r w:rsidRPr="00BB2C4B">
              <w:rPr>
                <w:rFonts w:ascii="Arial" w:hAnsi="Arial" w:cs="Arial"/>
                <w:lang w:val="el-GR"/>
              </w:rPr>
              <w:t xml:space="preserve">Νοείται ότι, η Επιτροπή Πειθαρχικού Ελέγχου επιτρέπει στο μέλος του Ακαδημαϊκού ή άλλου Εκπαιδευτικού Προσωπικού να λαμβάνει μέρος των απολαβών της θέσης </w:t>
            </w:r>
            <w:proofErr w:type="spellStart"/>
            <w:r w:rsidRPr="00BB2C4B">
              <w:rPr>
                <w:rFonts w:ascii="Arial" w:hAnsi="Arial" w:cs="Arial"/>
                <w:lang w:val="el-GR"/>
              </w:rPr>
              <w:t>τoυ</w:t>
            </w:r>
            <w:proofErr w:type="spellEnd"/>
            <w:r w:rsidRPr="00BB2C4B">
              <w:rPr>
                <w:rFonts w:ascii="Arial" w:hAnsi="Arial" w:cs="Arial"/>
                <w:lang w:val="el-GR"/>
              </w:rPr>
              <w:t xml:space="preserve">, όχι </w:t>
            </w:r>
            <w:proofErr w:type="spellStart"/>
            <w:r w:rsidRPr="00BB2C4B">
              <w:rPr>
                <w:rFonts w:ascii="Arial" w:hAnsi="Arial" w:cs="Arial"/>
                <w:lang w:val="el-GR"/>
              </w:rPr>
              <w:t>λιγότερo</w:t>
            </w:r>
            <w:proofErr w:type="spellEnd"/>
            <w:r w:rsidRPr="00BB2C4B">
              <w:rPr>
                <w:rFonts w:ascii="Arial" w:hAnsi="Arial" w:cs="Arial"/>
                <w:lang w:val="el-GR"/>
              </w:rPr>
              <w:t xml:space="preserve"> από το μισό, όπως θα κρίνει η Επιτροπή Πειθαρχικού Ελέγχου.</w:t>
            </w:r>
          </w:p>
        </w:tc>
      </w:tr>
      <w:tr w:rsidR="004328FB" w:rsidRPr="008867C6" w:rsidTr="00371E0D">
        <w:trPr>
          <w:trHeight w:val="188"/>
        </w:trPr>
        <w:tc>
          <w:tcPr>
            <w:tcW w:w="2125" w:type="dxa"/>
          </w:tcPr>
          <w:p w:rsidR="004328FB" w:rsidRPr="00BB2C4B" w:rsidRDefault="004328FB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4328FB" w:rsidRPr="00BB2C4B" w:rsidRDefault="004328FB" w:rsidP="00BB2C4B">
            <w:pPr>
              <w:spacing w:line="360" w:lineRule="auto"/>
              <w:ind w:firstLine="863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32C48" w:rsidRPr="008867C6" w:rsidTr="009C7D00">
        <w:trPr>
          <w:trHeight w:val="188"/>
        </w:trPr>
        <w:tc>
          <w:tcPr>
            <w:tcW w:w="2125" w:type="dxa"/>
          </w:tcPr>
          <w:p w:rsidR="00232C48" w:rsidRPr="00BB2C4B" w:rsidRDefault="00232C48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232C48" w:rsidRPr="00BB2C4B" w:rsidRDefault="00E4033D" w:rsidP="00232C4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232C48" w:rsidRPr="00BB2C4B">
              <w:rPr>
                <w:rFonts w:ascii="Arial" w:hAnsi="Arial" w:cs="Arial"/>
                <w:lang w:val="el-GR"/>
              </w:rPr>
              <w:t>7</w:t>
            </w:r>
            <w:r>
              <w:rPr>
                <w:rFonts w:ascii="Arial" w:hAnsi="Arial" w:cs="Arial"/>
                <w:lang w:val="el-GR"/>
              </w:rPr>
              <w:t>)</w:t>
            </w:r>
            <w:r w:rsidR="00232C48">
              <w:rPr>
                <w:rFonts w:ascii="Arial" w:hAnsi="Arial" w:cs="Arial"/>
                <w:lang w:val="el-GR"/>
              </w:rPr>
              <w:tab/>
            </w:r>
            <w:r w:rsidR="00FE1C65">
              <w:rPr>
                <w:rFonts w:ascii="Arial" w:hAnsi="Arial" w:cs="Arial"/>
                <w:lang w:val="el-GR"/>
              </w:rPr>
              <w:t>Εάν</w:t>
            </w:r>
            <w:r w:rsidR="00232C48" w:rsidRPr="00BB2C4B">
              <w:rPr>
                <w:rFonts w:ascii="Arial" w:hAnsi="Arial" w:cs="Arial"/>
                <w:lang w:val="el-GR"/>
              </w:rPr>
              <w:t xml:space="preserve"> το μέλος του Ακαδημαϊκού ή άλλου Εκπαιδευτικού Προσωπικού απαλλαγεί ή </w:t>
            </w:r>
            <w:r w:rsidR="00C654E7">
              <w:rPr>
                <w:rFonts w:ascii="Arial" w:hAnsi="Arial" w:cs="Arial"/>
                <w:lang w:val="el-GR"/>
              </w:rPr>
              <w:t>εάν</w:t>
            </w:r>
            <w:r w:rsidR="00232C48" w:rsidRPr="00BB2C4B">
              <w:rPr>
                <w:rFonts w:ascii="Arial" w:hAnsi="Arial" w:cs="Arial"/>
                <w:lang w:val="el-GR"/>
              </w:rPr>
              <w:t xml:space="preserve"> από την έρευνα δεν </w:t>
            </w:r>
            <w:proofErr w:type="spellStart"/>
            <w:r w:rsidR="00232C48" w:rsidRPr="00BB2C4B">
              <w:rPr>
                <w:rFonts w:ascii="Arial" w:hAnsi="Arial" w:cs="Arial"/>
                <w:lang w:val="el-GR"/>
              </w:rPr>
              <w:t>απoδειχ</w:t>
            </w:r>
            <w:r w:rsidR="00C654E7">
              <w:rPr>
                <w:rFonts w:ascii="Arial" w:hAnsi="Arial" w:cs="Arial"/>
                <w:lang w:val="el-GR"/>
              </w:rPr>
              <w:t>θ</w:t>
            </w:r>
            <w:r w:rsidR="00232C48" w:rsidRPr="00BB2C4B">
              <w:rPr>
                <w:rFonts w:ascii="Arial" w:hAnsi="Arial" w:cs="Arial"/>
                <w:lang w:val="el-GR"/>
              </w:rPr>
              <w:t>εί</w:t>
            </w:r>
            <w:proofErr w:type="spellEnd"/>
            <w:r w:rsidR="00232C48" w:rsidRPr="00BB2C4B">
              <w:rPr>
                <w:rFonts w:ascii="Arial" w:hAnsi="Arial" w:cs="Arial"/>
                <w:lang w:val="el-GR"/>
              </w:rPr>
              <w:t xml:space="preserve"> πειθαρχική υπόθεση </w:t>
            </w:r>
            <w:proofErr w:type="spellStart"/>
            <w:r w:rsidR="00232C48" w:rsidRPr="00BB2C4B">
              <w:rPr>
                <w:rFonts w:ascii="Arial" w:hAnsi="Arial" w:cs="Arial"/>
                <w:lang w:val="el-GR"/>
              </w:rPr>
              <w:t>εvαvτίov</w:t>
            </w:r>
            <w:proofErr w:type="spellEnd"/>
            <w:r w:rsidR="00232C48" w:rsidRPr="00BB2C4B">
              <w:rPr>
                <w:rFonts w:ascii="Arial" w:hAnsi="Arial" w:cs="Arial"/>
                <w:lang w:val="el-GR"/>
              </w:rPr>
              <w:t xml:space="preserve"> του, η διαθεσιμότητα τερματίζεται και το μέλος του </w:t>
            </w:r>
            <w:r w:rsidR="00C654E7">
              <w:rPr>
                <w:rFonts w:ascii="Arial" w:hAnsi="Arial" w:cs="Arial"/>
                <w:lang w:val="el-GR"/>
              </w:rPr>
              <w:t>Α</w:t>
            </w:r>
            <w:r w:rsidR="00232C48" w:rsidRPr="00BB2C4B">
              <w:rPr>
                <w:rFonts w:ascii="Arial" w:hAnsi="Arial" w:cs="Arial"/>
                <w:lang w:val="el-GR"/>
              </w:rPr>
              <w:t xml:space="preserve">καδημαϊκού ή άλλου </w:t>
            </w:r>
            <w:r w:rsidR="00C654E7">
              <w:rPr>
                <w:rFonts w:ascii="Arial" w:hAnsi="Arial" w:cs="Arial"/>
                <w:lang w:val="el-GR"/>
              </w:rPr>
              <w:t>Ε</w:t>
            </w:r>
            <w:r w:rsidR="00232C48" w:rsidRPr="00BB2C4B">
              <w:rPr>
                <w:rFonts w:ascii="Arial" w:hAnsi="Arial" w:cs="Arial"/>
                <w:lang w:val="el-GR"/>
              </w:rPr>
              <w:t xml:space="preserve">κπαιδευτικού </w:t>
            </w:r>
            <w:r w:rsidR="00C654E7">
              <w:rPr>
                <w:rFonts w:ascii="Arial" w:hAnsi="Arial" w:cs="Arial"/>
                <w:lang w:val="el-GR"/>
              </w:rPr>
              <w:t>Π</w:t>
            </w:r>
            <w:r w:rsidR="00232C48" w:rsidRPr="00BB2C4B">
              <w:rPr>
                <w:rFonts w:ascii="Arial" w:hAnsi="Arial" w:cs="Arial"/>
                <w:lang w:val="el-GR"/>
              </w:rPr>
              <w:t xml:space="preserve">ροσωπικού </w:t>
            </w:r>
            <w:proofErr w:type="spellStart"/>
            <w:r w:rsidR="00232C48" w:rsidRPr="00BB2C4B">
              <w:rPr>
                <w:rFonts w:ascii="Arial" w:hAnsi="Arial" w:cs="Arial"/>
                <w:lang w:val="el-GR"/>
              </w:rPr>
              <w:t>δικαιoύται</w:t>
            </w:r>
            <w:proofErr w:type="spellEnd"/>
            <w:r w:rsidR="00232C48" w:rsidRPr="00BB2C4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="00232C48" w:rsidRPr="00BB2C4B">
              <w:rPr>
                <w:rFonts w:ascii="Arial" w:hAnsi="Arial" w:cs="Arial"/>
                <w:lang w:val="el-GR"/>
              </w:rPr>
              <w:t>oλόκληρo</w:t>
            </w:r>
            <w:proofErr w:type="spellEnd"/>
            <w:r w:rsidR="00232C48" w:rsidRPr="00BB2C4B">
              <w:rPr>
                <w:rFonts w:ascii="Arial" w:hAnsi="Arial" w:cs="Arial"/>
                <w:lang w:val="el-GR"/>
              </w:rPr>
              <w:t xml:space="preserve"> το </w:t>
            </w:r>
            <w:proofErr w:type="spellStart"/>
            <w:r w:rsidR="00232C48" w:rsidRPr="00BB2C4B">
              <w:rPr>
                <w:rFonts w:ascii="Arial" w:hAnsi="Arial" w:cs="Arial"/>
                <w:lang w:val="el-GR"/>
              </w:rPr>
              <w:t>πoσό</w:t>
            </w:r>
            <w:proofErr w:type="spellEnd"/>
            <w:r w:rsidR="00232C48" w:rsidRPr="00BB2C4B">
              <w:rPr>
                <w:rFonts w:ascii="Arial" w:hAnsi="Arial" w:cs="Arial"/>
                <w:lang w:val="el-GR"/>
              </w:rPr>
              <w:t xml:space="preserve"> των απολαβών τ</w:t>
            </w:r>
            <w:r>
              <w:rPr>
                <w:rFonts w:ascii="Arial" w:hAnsi="Arial" w:cs="Arial"/>
                <w:lang w:val="el-GR"/>
              </w:rPr>
              <w:t>ο</w:t>
            </w:r>
            <w:r w:rsidR="00232C48" w:rsidRPr="00BB2C4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="00232C48" w:rsidRPr="00BB2C4B">
              <w:rPr>
                <w:rFonts w:ascii="Arial" w:hAnsi="Arial" w:cs="Arial"/>
                <w:lang w:val="el-GR"/>
              </w:rPr>
              <w:t>oπoί</w:t>
            </w:r>
            <w:r>
              <w:rPr>
                <w:rFonts w:ascii="Arial" w:hAnsi="Arial" w:cs="Arial"/>
                <w:lang w:val="el-GR"/>
              </w:rPr>
              <w:t>ο</w:t>
            </w:r>
            <w:proofErr w:type="spellEnd"/>
            <w:r w:rsidR="00232C48" w:rsidRPr="00BB2C4B">
              <w:rPr>
                <w:rFonts w:ascii="Arial" w:hAnsi="Arial" w:cs="Arial"/>
                <w:lang w:val="el-GR"/>
              </w:rPr>
              <w:t xml:space="preserve"> θα </w:t>
            </w:r>
            <w:r>
              <w:rPr>
                <w:rFonts w:ascii="Arial" w:hAnsi="Arial" w:cs="Arial"/>
                <w:lang w:val="el-GR"/>
              </w:rPr>
              <w:t>ελάμβανε</w:t>
            </w:r>
            <w:r w:rsidR="00232C48" w:rsidRPr="00BB2C4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</w:t>
            </w:r>
            <w:r w:rsidRPr="00BB2C4B">
              <w:rPr>
                <w:rFonts w:ascii="Arial" w:hAnsi="Arial" w:cs="Arial"/>
                <w:lang w:val="el-GR"/>
              </w:rPr>
              <w:t>άν</w:t>
            </w:r>
            <w:r w:rsidR="00232C48" w:rsidRPr="00BB2C4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="00232C48" w:rsidRPr="00BB2C4B">
              <w:rPr>
                <w:rFonts w:ascii="Arial" w:hAnsi="Arial" w:cs="Arial"/>
                <w:lang w:val="el-GR"/>
              </w:rPr>
              <w:t>δεv</w:t>
            </w:r>
            <w:proofErr w:type="spellEnd"/>
            <w:r w:rsidR="00232C48" w:rsidRPr="00BB2C4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="00232C48" w:rsidRPr="00BB2C4B">
              <w:rPr>
                <w:rFonts w:ascii="Arial" w:hAnsi="Arial" w:cs="Arial"/>
                <w:lang w:val="el-GR"/>
              </w:rPr>
              <w:t>ετίθετo</w:t>
            </w:r>
            <w:proofErr w:type="spellEnd"/>
            <w:r w:rsidR="00232C48" w:rsidRPr="00BB2C4B">
              <w:rPr>
                <w:rFonts w:ascii="Arial" w:hAnsi="Arial" w:cs="Arial"/>
                <w:lang w:val="el-GR"/>
              </w:rPr>
              <w:t xml:space="preserve"> σε διαθεσιμότητα</w:t>
            </w:r>
            <w:r w:rsidR="00C654E7">
              <w:rPr>
                <w:rFonts w:ascii="Arial" w:hAnsi="Arial" w:cs="Arial"/>
                <w:lang w:val="el-GR"/>
              </w:rPr>
              <w:t>ː</w:t>
            </w:r>
          </w:p>
        </w:tc>
      </w:tr>
      <w:tr w:rsidR="00C654E7" w:rsidRPr="008867C6" w:rsidTr="009C7D00">
        <w:trPr>
          <w:trHeight w:val="188"/>
        </w:trPr>
        <w:tc>
          <w:tcPr>
            <w:tcW w:w="2125" w:type="dxa"/>
          </w:tcPr>
          <w:p w:rsidR="00C654E7" w:rsidRPr="00BB2C4B" w:rsidRDefault="00C654E7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C654E7" w:rsidRPr="00BB2C4B" w:rsidRDefault="00C654E7" w:rsidP="00232C4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654E7" w:rsidRPr="008867C6" w:rsidTr="006E65CC">
        <w:trPr>
          <w:trHeight w:val="188"/>
        </w:trPr>
        <w:tc>
          <w:tcPr>
            <w:tcW w:w="2125" w:type="dxa"/>
          </w:tcPr>
          <w:p w:rsidR="00C654E7" w:rsidRPr="00BB2C4B" w:rsidRDefault="00C654E7" w:rsidP="00BB2C4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09" w:type="dxa"/>
            <w:gridSpan w:val="4"/>
          </w:tcPr>
          <w:p w:rsidR="00C654E7" w:rsidRPr="00BB2C4B" w:rsidRDefault="00C654E7" w:rsidP="00C654E7">
            <w:pPr>
              <w:spacing w:line="360" w:lineRule="auto"/>
              <w:ind w:firstLine="863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Νοείται ότι, σε περίπτωση που το εν λόγ</w:t>
            </w:r>
            <w:r w:rsidR="002A5AA2">
              <w:rPr>
                <w:rFonts w:ascii="Arial" w:hAnsi="Arial" w:cs="Arial"/>
                <w:lang w:val="el-GR"/>
              </w:rPr>
              <w:t>ω</w:t>
            </w:r>
            <w:r>
              <w:rPr>
                <w:rFonts w:ascii="Arial" w:hAnsi="Arial" w:cs="Arial"/>
                <w:lang w:val="el-GR"/>
              </w:rPr>
              <w:t xml:space="preserve"> μέλος </w:t>
            </w:r>
            <w:r w:rsidRPr="00BB2C4B">
              <w:rPr>
                <w:rFonts w:ascii="Arial" w:hAnsi="Arial" w:cs="Arial"/>
                <w:lang w:val="el-GR"/>
              </w:rPr>
              <w:t xml:space="preserve">βρεθεί </w:t>
            </w:r>
            <w:proofErr w:type="spellStart"/>
            <w:r w:rsidRPr="00BB2C4B">
              <w:rPr>
                <w:rFonts w:ascii="Arial" w:hAnsi="Arial" w:cs="Arial"/>
                <w:lang w:val="el-GR"/>
              </w:rPr>
              <w:t>έvoχo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</w:t>
            </w:r>
            <w:r w:rsidRPr="00BB2C4B">
              <w:rPr>
                <w:rFonts w:ascii="Arial" w:hAnsi="Arial" w:cs="Arial"/>
                <w:lang w:val="el-GR"/>
              </w:rPr>
              <w:t xml:space="preserve">η Επιτροπή Πειθαρχικού Ελέγχου αποφασίζει </w:t>
            </w:r>
            <w:r>
              <w:rPr>
                <w:rFonts w:ascii="Arial" w:hAnsi="Arial" w:cs="Arial"/>
                <w:lang w:val="el-GR"/>
              </w:rPr>
              <w:t>κατά πόσο</w:t>
            </w:r>
            <w:r w:rsidR="00FE1C65">
              <w:rPr>
                <w:rFonts w:ascii="Arial" w:hAnsi="Arial" w:cs="Arial"/>
                <w:lang w:val="el-GR"/>
              </w:rPr>
              <w:t>ν</w:t>
            </w:r>
            <w:r w:rsidRPr="00BB2C4B">
              <w:rPr>
                <w:rFonts w:ascii="Arial" w:hAnsi="Arial" w:cs="Arial"/>
                <w:lang w:val="el-GR"/>
              </w:rPr>
              <w:t xml:space="preserve"> θα επιστραφεί </w:t>
            </w:r>
            <w:r>
              <w:rPr>
                <w:rFonts w:ascii="Arial" w:hAnsi="Arial" w:cs="Arial"/>
                <w:lang w:val="el-GR"/>
              </w:rPr>
              <w:t xml:space="preserve">σε αυτό </w:t>
            </w:r>
            <w:proofErr w:type="spellStart"/>
            <w:r w:rsidRPr="00BB2C4B">
              <w:rPr>
                <w:rFonts w:ascii="Arial" w:hAnsi="Arial" w:cs="Arial"/>
                <w:lang w:val="el-GR"/>
              </w:rPr>
              <w:t>oπoιoδήπoτε</w:t>
            </w:r>
            <w:proofErr w:type="spellEnd"/>
            <w:r w:rsidRPr="00BB2C4B">
              <w:rPr>
                <w:rFonts w:ascii="Arial" w:hAnsi="Arial" w:cs="Arial"/>
                <w:lang w:val="el-GR"/>
              </w:rPr>
              <w:t xml:space="preserve"> μέρος των απολαβών </w:t>
            </w:r>
            <w:proofErr w:type="spellStart"/>
            <w:r w:rsidRPr="00BB2C4B">
              <w:rPr>
                <w:rFonts w:ascii="Arial" w:hAnsi="Arial" w:cs="Arial"/>
                <w:lang w:val="el-GR"/>
              </w:rPr>
              <w:t>τoυ</w:t>
            </w:r>
            <w:proofErr w:type="spellEnd"/>
            <w:r w:rsidRPr="00BB2C4B">
              <w:rPr>
                <w:rFonts w:ascii="Arial" w:hAnsi="Arial" w:cs="Arial"/>
                <w:lang w:val="el-GR"/>
              </w:rPr>
              <w:t>.»</w:t>
            </w:r>
            <w:r w:rsidR="00E4033D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8E4538" w:rsidRDefault="008E4538" w:rsidP="00BB2C4B">
      <w:pPr>
        <w:spacing w:line="360" w:lineRule="auto"/>
        <w:rPr>
          <w:rFonts w:ascii="Arial" w:hAnsi="Arial" w:cs="Arial"/>
          <w:lang w:val="el-GR"/>
        </w:rPr>
      </w:pPr>
    </w:p>
    <w:p w:rsidR="00232C48" w:rsidRDefault="00232C48" w:rsidP="00BB2C4B">
      <w:pPr>
        <w:spacing w:line="360" w:lineRule="auto"/>
        <w:rPr>
          <w:rFonts w:ascii="Arial" w:hAnsi="Arial" w:cs="Arial"/>
          <w:lang w:val="el-GR"/>
        </w:rPr>
      </w:pPr>
    </w:p>
    <w:p w:rsidR="005E36CA" w:rsidRPr="002932E1" w:rsidRDefault="005E36CA" w:rsidP="005E36CA">
      <w:pPr>
        <w:widowControl w:val="0"/>
        <w:tabs>
          <w:tab w:val="left" w:leader="dot" w:pos="2674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2932E1">
        <w:rPr>
          <w:rFonts w:ascii="Arial" w:eastAsia="Arial" w:hAnsi="Arial" w:cs="Arial"/>
          <w:sz w:val="20"/>
          <w:szCs w:val="20"/>
          <w:lang w:val="el-GR"/>
        </w:rPr>
        <w:t>Αρ</w:t>
      </w:r>
      <w:proofErr w:type="spellEnd"/>
      <w:r w:rsidRPr="002932E1">
        <w:rPr>
          <w:rFonts w:ascii="Arial" w:eastAsia="Arial" w:hAnsi="Arial" w:cs="Arial"/>
          <w:sz w:val="20"/>
          <w:szCs w:val="20"/>
          <w:lang w:val="el-GR"/>
        </w:rPr>
        <w:t xml:space="preserve">. </w:t>
      </w:r>
      <w:proofErr w:type="spellStart"/>
      <w:r w:rsidRPr="002932E1">
        <w:rPr>
          <w:rFonts w:ascii="Arial" w:eastAsia="Arial" w:hAnsi="Arial" w:cs="Arial"/>
          <w:sz w:val="20"/>
          <w:szCs w:val="20"/>
          <w:lang w:val="el-GR"/>
        </w:rPr>
        <w:t>Φακ</w:t>
      </w:r>
      <w:proofErr w:type="spellEnd"/>
      <w:r w:rsidRPr="002932E1">
        <w:rPr>
          <w:rFonts w:ascii="Arial" w:eastAsia="Arial" w:hAnsi="Arial" w:cs="Arial"/>
          <w:sz w:val="20"/>
          <w:szCs w:val="20"/>
          <w:lang w:val="el-GR"/>
        </w:rPr>
        <w:t xml:space="preserve">.: </w:t>
      </w:r>
      <w:r w:rsidR="00E4033D">
        <w:rPr>
          <w:rFonts w:ascii="Arial" w:eastAsia="Arial" w:hAnsi="Arial" w:cs="Arial"/>
          <w:sz w:val="20"/>
          <w:szCs w:val="20"/>
          <w:lang w:val="el-GR"/>
        </w:rPr>
        <w:t>23.03.057.110-2020</w:t>
      </w:r>
    </w:p>
    <w:p w:rsidR="005E36CA" w:rsidRPr="002932E1" w:rsidRDefault="005E36CA" w:rsidP="005E36CA">
      <w:pPr>
        <w:widowControl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2932E1">
        <w:rPr>
          <w:rFonts w:ascii="Arial" w:eastAsia="Arial" w:hAnsi="Arial" w:cs="Arial"/>
          <w:sz w:val="20"/>
          <w:szCs w:val="20"/>
          <w:lang w:val="el-GR"/>
        </w:rPr>
        <w:t>ΘΒΚ</w:t>
      </w:r>
      <w:proofErr w:type="spellEnd"/>
      <w:r w:rsidRPr="002932E1">
        <w:rPr>
          <w:rFonts w:ascii="Arial" w:eastAsia="Arial" w:hAnsi="Arial" w:cs="Arial"/>
          <w:sz w:val="20"/>
          <w:szCs w:val="20"/>
          <w:lang w:val="el-GR"/>
        </w:rPr>
        <w:t>/</w:t>
      </w:r>
      <w:proofErr w:type="spellStart"/>
      <w:r w:rsidRPr="002932E1">
        <w:rPr>
          <w:rFonts w:ascii="Arial" w:eastAsia="Arial" w:hAnsi="Arial" w:cs="Arial"/>
          <w:sz w:val="20"/>
          <w:szCs w:val="20"/>
          <w:lang w:val="el-GR"/>
        </w:rPr>
        <w:t>ΘΧ</w:t>
      </w:r>
      <w:proofErr w:type="spellEnd"/>
    </w:p>
    <w:p w:rsidR="00232C48" w:rsidRDefault="00232C48" w:rsidP="00BB2C4B">
      <w:pPr>
        <w:spacing w:line="360" w:lineRule="auto"/>
        <w:rPr>
          <w:rFonts w:ascii="Arial" w:hAnsi="Arial" w:cs="Arial"/>
          <w:lang w:val="el-GR"/>
        </w:rPr>
      </w:pPr>
      <w:bookmarkStart w:id="0" w:name="_GoBack"/>
      <w:bookmarkEnd w:id="0"/>
    </w:p>
    <w:p w:rsidR="00232C48" w:rsidRPr="00BB2C4B" w:rsidRDefault="00232C48" w:rsidP="00BB2C4B">
      <w:pPr>
        <w:spacing w:line="360" w:lineRule="auto"/>
        <w:rPr>
          <w:rFonts w:ascii="Arial" w:hAnsi="Arial" w:cs="Arial"/>
          <w:lang w:val="el-GR"/>
        </w:rPr>
      </w:pPr>
    </w:p>
    <w:sectPr w:rsidR="00232C48" w:rsidRPr="00BB2C4B" w:rsidSect="00BB2C4B">
      <w:headerReference w:type="default" r:id="rId8"/>
      <w:pgSz w:w="11907" w:h="16840" w:code="9"/>
      <w:pgMar w:top="1134" w:right="1134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DD" w:rsidRDefault="001D5FDD" w:rsidP="0038459E">
      <w:r>
        <w:separator/>
      </w:r>
    </w:p>
  </w:endnote>
  <w:endnote w:type="continuationSeparator" w:id="0">
    <w:p w:rsidR="001D5FDD" w:rsidRDefault="001D5FDD" w:rsidP="0038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-SansSerif">
    <w:altName w:val="Arial"/>
    <w:charset w:val="00"/>
    <w:family w:val="swiss"/>
    <w:pitch w:val="variable"/>
    <w:sig w:usb0="00000001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DD" w:rsidRDefault="001D5FDD" w:rsidP="0038459E">
      <w:r>
        <w:separator/>
      </w:r>
    </w:p>
  </w:footnote>
  <w:footnote w:type="continuationSeparator" w:id="0">
    <w:p w:rsidR="001D5FDD" w:rsidRDefault="001D5FDD" w:rsidP="0038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1949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7728" w:rsidRDefault="00EB77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0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7728" w:rsidRDefault="00EB7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E49"/>
    <w:multiLevelType w:val="hybridMultilevel"/>
    <w:tmpl w:val="8DDCCED2"/>
    <w:lvl w:ilvl="0" w:tplc="C44894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E51C8"/>
    <w:multiLevelType w:val="hybridMultilevel"/>
    <w:tmpl w:val="258CE76A"/>
    <w:lvl w:ilvl="0" w:tplc="4384A32A">
      <w:start w:val="5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2F10205"/>
    <w:multiLevelType w:val="hybridMultilevel"/>
    <w:tmpl w:val="65922202"/>
    <w:lvl w:ilvl="0" w:tplc="92E61452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0C2D1F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D6ED3"/>
    <w:multiLevelType w:val="hybridMultilevel"/>
    <w:tmpl w:val="CD62C1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2321"/>
    <w:multiLevelType w:val="hybridMultilevel"/>
    <w:tmpl w:val="B25604E6"/>
    <w:lvl w:ilvl="0" w:tplc="C6FC47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095"/>
    <w:multiLevelType w:val="hybridMultilevel"/>
    <w:tmpl w:val="73DAD4B0"/>
    <w:lvl w:ilvl="0" w:tplc="06A2F820">
      <w:start w:val="7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21282A3B"/>
    <w:multiLevelType w:val="hybridMultilevel"/>
    <w:tmpl w:val="EAD0E75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7EC830">
      <w:start w:val="9"/>
      <w:numFmt w:val="decimal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E3BAE"/>
    <w:multiLevelType w:val="hybridMultilevel"/>
    <w:tmpl w:val="6D827444"/>
    <w:lvl w:ilvl="0" w:tplc="823EED28">
      <w:start w:val="2"/>
      <w:numFmt w:val="decimal"/>
      <w:lvlText w:val="(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E2DE1A26">
      <w:start w:val="6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91D0344"/>
    <w:multiLevelType w:val="hybridMultilevel"/>
    <w:tmpl w:val="2222E88E"/>
    <w:lvl w:ilvl="0" w:tplc="9124AE1E">
      <w:start w:val="10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26276"/>
    <w:multiLevelType w:val="multilevel"/>
    <w:tmpl w:val="4F362FA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0520DE"/>
    <w:multiLevelType w:val="hybridMultilevel"/>
    <w:tmpl w:val="156069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0395C"/>
    <w:multiLevelType w:val="hybridMultilevel"/>
    <w:tmpl w:val="F5626680"/>
    <w:lvl w:ilvl="0" w:tplc="400EC4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-SansSerif" w:eastAsia="Times New Roman" w:hAnsi="PA-SansSerif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4D36"/>
    <w:multiLevelType w:val="hybridMultilevel"/>
    <w:tmpl w:val="2BA6DD72"/>
    <w:lvl w:ilvl="0" w:tplc="C7C6A7E2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3" w15:restartNumberingAfterBreak="0">
    <w:nsid w:val="3E5456CA"/>
    <w:multiLevelType w:val="hybridMultilevel"/>
    <w:tmpl w:val="6D827444"/>
    <w:lvl w:ilvl="0" w:tplc="823EED28">
      <w:start w:val="2"/>
      <w:numFmt w:val="decimal"/>
      <w:lvlText w:val="(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E2DE1A26">
      <w:start w:val="6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64F1001"/>
    <w:multiLevelType w:val="hybridMultilevel"/>
    <w:tmpl w:val="7786C950"/>
    <w:lvl w:ilvl="0" w:tplc="8C1E073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33B46"/>
    <w:multiLevelType w:val="hybridMultilevel"/>
    <w:tmpl w:val="73481D1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4CC1544F"/>
    <w:multiLevelType w:val="hybridMultilevel"/>
    <w:tmpl w:val="35320538"/>
    <w:lvl w:ilvl="0" w:tplc="AB882D84">
      <w:start w:val="4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94929"/>
    <w:multiLevelType w:val="hybridMultilevel"/>
    <w:tmpl w:val="9CA85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C5C96"/>
    <w:multiLevelType w:val="hybridMultilevel"/>
    <w:tmpl w:val="EBB660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434ED"/>
    <w:multiLevelType w:val="hybridMultilevel"/>
    <w:tmpl w:val="35320538"/>
    <w:lvl w:ilvl="0" w:tplc="AB882D84">
      <w:start w:val="4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75F18"/>
    <w:multiLevelType w:val="hybridMultilevel"/>
    <w:tmpl w:val="22A8D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strike w:val="0"/>
      </w:rPr>
    </w:lvl>
    <w:lvl w:ilvl="1" w:tplc="E2DE1A26">
      <w:start w:val="6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2B042B"/>
    <w:multiLevelType w:val="hybridMultilevel"/>
    <w:tmpl w:val="2DDCA6C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E04D7"/>
    <w:multiLevelType w:val="hybridMultilevel"/>
    <w:tmpl w:val="F15011D4"/>
    <w:lvl w:ilvl="0" w:tplc="86C24C6C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6B622D86">
      <w:start w:val="1"/>
      <w:numFmt w:val="upperRoman"/>
      <w:lvlText w:val="(%2)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74B23B72">
      <w:start w:val="1"/>
      <w:numFmt w:val="lowerRoman"/>
      <w:lvlText w:val="(%3)"/>
      <w:lvlJc w:val="left"/>
      <w:pPr>
        <w:tabs>
          <w:tab w:val="num" w:pos="2349"/>
        </w:tabs>
        <w:ind w:left="2349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23" w15:restartNumberingAfterBreak="0">
    <w:nsid w:val="7642257D"/>
    <w:multiLevelType w:val="hybridMultilevel"/>
    <w:tmpl w:val="8AB2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873EE"/>
    <w:multiLevelType w:val="hybridMultilevel"/>
    <w:tmpl w:val="88E435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22"/>
  </w:num>
  <w:num w:numId="8">
    <w:abstractNumId w:val="12"/>
  </w:num>
  <w:num w:numId="9">
    <w:abstractNumId w:val="6"/>
  </w:num>
  <w:num w:numId="10">
    <w:abstractNumId w:val="15"/>
  </w:num>
  <w:num w:numId="11">
    <w:abstractNumId w:val="24"/>
  </w:num>
  <w:num w:numId="12">
    <w:abstractNumId w:val="18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7"/>
  </w:num>
  <w:num w:numId="18">
    <w:abstractNumId w:val="16"/>
  </w:num>
  <w:num w:numId="19">
    <w:abstractNumId w:val="10"/>
  </w:num>
  <w:num w:numId="20">
    <w:abstractNumId w:val="3"/>
  </w:num>
  <w:num w:numId="21">
    <w:abstractNumId w:val="17"/>
  </w:num>
  <w:num w:numId="22">
    <w:abstractNumId w:val="19"/>
  </w:num>
  <w:num w:numId="23">
    <w:abstractNumId w:val="14"/>
  </w:num>
  <w:num w:numId="24">
    <w:abstractNumId w:val="0"/>
  </w:num>
  <w:num w:numId="2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52"/>
    <w:rsid w:val="00003BA6"/>
    <w:rsid w:val="00003EA5"/>
    <w:rsid w:val="000139AB"/>
    <w:rsid w:val="000300A6"/>
    <w:rsid w:val="00047810"/>
    <w:rsid w:val="000517E0"/>
    <w:rsid w:val="00054B8B"/>
    <w:rsid w:val="00071221"/>
    <w:rsid w:val="00071980"/>
    <w:rsid w:val="000758ED"/>
    <w:rsid w:val="00076516"/>
    <w:rsid w:val="00077E4C"/>
    <w:rsid w:val="00086C5B"/>
    <w:rsid w:val="0009350D"/>
    <w:rsid w:val="000A1D9C"/>
    <w:rsid w:val="000A2C7B"/>
    <w:rsid w:val="000A2DAC"/>
    <w:rsid w:val="000B0535"/>
    <w:rsid w:val="000B63C1"/>
    <w:rsid w:val="000C3D9F"/>
    <w:rsid w:val="000C40F2"/>
    <w:rsid w:val="000C472A"/>
    <w:rsid w:val="000D711F"/>
    <w:rsid w:val="000D75E1"/>
    <w:rsid w:val="000E0B53"/>
    <w:rsid w:val="000F03D1"/>
    <w:rsid w:val="000F1B78"/>
    <w:rsid w:val="000F313F"/>
    <w:rsid w:val="000F4DE8"/>
    <w:rsid w:val="000F6A68"/>
    <w:rsid w:val="00101475"/>
    <w:rsid w:val="00104828"/>
    <w:rsid w:val="00110E92"/>
    <w:rsid w:val="00120EC2"/>
    <w:rsid w:val="00126552"/>
    <w:rsid w:val="0013766F"/>
    <w:rsid w:val="00143DCD"/>
    <w:rsid w:val="0015140C"/>
    <w:rsid w:val="0016268B"/>
    <w:rsid w:val="00162F99"/>
    <w:rsid w:val="00174E71"/>
    <w:rsid w:val="00175F46"/>
    <w:rsid w:val="00177722"/>
    <w:rsid w:val="001845E2"/>
    <w:rsid w:val="0018507C"/>
    <w:rsid w:val="0018734E"/>
    <w:rsid w:val="001951ED"/>
    <w:rsid w:val="001A698B"/>
    <w:rsid w:val="001B5179"/>
    <w:rsid w:val="001C38B6"/>
    <w:rsid w:val="001C7DF5"/>
    <w:rsid w:val="001D07A8"/>
    <w:rsid w:val="001D5FDD"/>
    <w:rsid w:val="001E1249"/>
    <w:rsid w:val="001E2DCF"/>
    <w:rsid w:val="001E2ED5"/>
    <w:rsid w:val="001E70CC"/>
    <w:rsid w:val="001F0602"/>
    <w:rsid w:val="001F26CF"/>
    <w:rsid w:val="001F59C8"/>
    <w:rsid w:val="00204AAA"/>
    <w:rsid w:val="002141A5"/>
    <w:rsid w:val="002143F7"/>
    <w:rsid w:val="00214849"/>
    <w:rsid w:val="00221882"/>
    <w:rsid w:val="00222515"/>
    <w:rsid w:val="00232C48"/>
    <w:rsid w:val="00233206"/>
    <w:rsid w:val="00233CEE"/>
    <w:rsid w:val="00236E2D"/>
    <w:rsid w:val="002422E3"/>
    <w:rsid w:val="00243650"/>
    <w:rsid w:val="00244DEB"/>
    <w:rsid w:val="00265982"/>
    <w:rsid w:val="00270B88"/>
    <w:rsid w:val="00284201"/>
    <w:rsid w:val="0028447A"/>
    <w:rsid w:val="0028601D"/>
    <w:rsid w:val="002A17E3"/>
    <w:rsid w:val="002A5AA2"/>
    <w:rsid w:val="002B049B"/>
    <w:rsid w:val="002B2557"/>
    <w:rsid w:val="002B4192"/>
    <w:rsid w:val="002B4275"/>
    <w:rsid w:val="002C1A4B"/>
    <w:rsid w:val="002C230C"/>
    <w:rsid w:val="002C29CE"/>
    <w:rsid w:val="002C5013"/>
    <w:rsid w:val="002D2DE6"/>
    <w:rsid w:val="002E0DC8"/>
    <w:rsid w:val="002E7895"/>
    <w:rsid w:val="002F2E80"/>
    <w:rsid w:val="002F7DA2"/>
    <w:rsid w:val="00304411"/>
    <w:rsid w:val="003127C0"/>
    <w:rsid w:val="00315E49"/>
    <w:rsid w:val="003227E8"/>
    <w:rsid w:val="00331FCD"/>
    <w:rsid w:val="00332073"/>
    <w:rsid w:val="00332B8A"/>
    <w:rsid w:val="003440FA"/>
    <w:rsid w:val="00347656"/>
    <w:rsid w:val="00354601"/>
    <w:rsid w:val="00354E99"/>
    <w:rsid w:val="003555E6"/>
    <w:rsid w:val="00360B95"/>
    <w:rsid w:val="00363717"/>
    <w:rsid w:val="0036679D"/>
    <w:rsid w:val="00371E0D"/>
    <w:rsid w:val="00372EB2"/>
    <w:rsid w:val="0038017C"/>
    <w:rsid w:val="00380BFD"/>
    <w:rsid w:val="0038459E"/>
    <w:rsid w:val="00385F80"/>
    <w:rsid w:val="003926A8"/>
    <w:rsid w:val="00392CF4"/>
    <w:rsid w:val="003A57CB"/>
    <w:rsid w:val="003A6BE3"/>
    <w:rsid w:val="003B128E"/>
    <w:rsid w:val="003B2268"/>
    <w:rsid w:val="003B6394"/>
    <w:rsid w:val="003B7734"/>
    <w:rsid w:val="003C6017"/>
    <w:rsid w:val="003C7DC5"/>
    <w:rsid w:val="003D291F"/>
    <w:rsid w:val="003D555F"/>
    <w:rsid w:val="003E238C"/>
    <w:rsid w:val="003E6B33"/>
    <w:rsid w:val="003F1334"/>
    <w:rsid w:val="003F6997"/>
    <w:rsid w:val="003F7172"/>
    <w:rsid w:val="00401F76"/>
    <w:rsid w:val="004101E4"/>
    <w:rsid w:val="00416B1B"/>
    <w:rsid w:val="0042088B"/>
    <w:rsid w:val="00423822"/>
    <w:rsid w:val="00423835"/>
    <w:rsid w:val="00424B2D"/>
    <w:rsid w:val="004328FB"/>
    <w:rsid w:val="00435F40"/>
    <w:rsid w:val="004402C8"/>
    <w:rsid w:val="004467A3"/>
    <w:rsid w:val="00446BE2"/>
    <w:rsid w:val="0045353C"/>
    <w:rsid w:val="00453C74"/>
    <w:rsid w:val="00455B9F"/>
    <w:rsid w:val="00460982"/>
    <w:rsid w:val="004615B7"/>
    <w:rsid w:val="0046312A"/>
    <w:rsid w:val="0048657A"/>
    <w:rsid w:val="00493845"/>
    <w:rsid w:val="00495E58"/>
    <w:rsid w:val="0049643F"/>
    <w:rsid w:val="00497100"/>
    <w:rsid w:val="004A190C"/>
    <w:rsid w:val="004B13E1"/>
    <w:rsid w:val="004B33AD"/>
    <w:rsid w:val="004B6CEE"/>
    <w:rsid w:val="004C1D0C"/>
    <w:rsid w:val="004C39BE"/>
    <w:rsid w:val="004D1262"/>
    <w:rsid w:val="004D181A"/>
    <w:rsid w:val="004D47BB"/>
    <w:rsid w:val="004D73FC"/>
    <w:rsid w:val="004D77F9"/>
    <w:rsid w:val="004E0CFA"/>
    <w:rsid w:val="004E0E0C"/>
    <w:rsid w:val="004E0FE5"/>
    <w:rsid w:val="004E4D2C"/>
    <w:rsid w:val="004E5BA7"/>
    <w:rsid w:val="00500819"/>
    <w:rsid w:val="00504AB6"/>
    <w:rsid w:val="005100AB"/>
    <w:rsid w:val="00516807"/>
    <w:rsid w:val="00517383"/>
    <w:rsid w:val="00521853"/>
    <w:rsid w:val="005340D7"/>
    <w:rsid w:val="00540870"/>
    <w:rsid w:val="005444B4"/>
    <w:rsid w:val="00554044"/>
    <w:rsid w:val="005552D6"/>
    <w:rsid w:val="00557BF5"/>
    <w:rsid w:val="0056481E"/>
    <w:rsid w:val="005740EB"/>
    <w:rsid w:val="005744B6"/>
    <w:rsid w:val="00577BA1"/>
    <w:rsid w:val="00595DC4"/>
    <w:rsid w:val="005962C1"/>
    <w:rsid w:val="00596485"/>
    <w:rsid w:val="005A32E3"/>
    <w:rsid w:val="005B103C"/>
    <w:rsid w:val="005B74A1"/>
    <w:rsid w:val="005C1081"/>
    <w:rsid w:val="005D368F"/>
    <w:rsid w:val="005D6E2E"/>
    <w:rsid w:val="005E0884"/>
    <w:rsid w:val="005E2A4E"/>
    <w:rsid w:val="005E36CA"/>
    <w:rsid w:val="005E494A"/>
    <w:rsid w:val="005E7C1E"/>
    <w:rsid w:val="005F0660"/>
    <w:rsid w:val="005F5772"/>
    <w:rsid w:val="00603664"/>
    <w:rsid w:val="00603680"/>
    <w:rsid w:val="00605BB2"/>
    <w:rsid w:val="006062D3"/>
    <w:rsid w:val="00611082"/>
    <w:rsid w:val="006163D5"/>
    <w:rsid w:val="00617DF5"/>
    <w:rsid w:val="00624738"/>
    <w:rsid w:val="00633235"/>
    <w:rsid w:val="0063535F"/>
    <w:rsid w:val="00640EC8"/>
    <w:rsid w:val="006420AB"/>
    <w:rsid w:val="0065189A"/>
    <w:rsid w:val="006563F6"/>
    <w:rsid w:val="0066039E"/>
    <w:rsid w:val="0066335D"/>
    <w:rsid w:val="006736D1"/>
    <w:rsid w:val="0067746A"/>
    <w:rsid w:val="00683F43"/>
    <w:rsid w:val="006849FF"/>
    <w:rsid w:val="00697048"/>
    <w:rsid w:val="006A2AE0"/>
    <w:rsid w:val="006A2F05"/>
    <w:rsid w:val="006B2EAC"/>
    <w:rsid w:val="006B698D"/>
    <w:rsid w:val="006C3180"/>
    <w:rsid w:val="006D0777"/>
    <w:rsid w:val="006D5989"/>
    <w:rsid w:val="006D74D1"/>
    <w:rsid w:val="006F0246"/>
    <w:rsid w:val="006F0B69"/>
    <w:rsid w:val="006F1D86"/>
    <w:rsid w:val="006F2F19"/>
    <w:rsid w:val="007041B2"/>
    <w:rsid w:val="007125EC"/>
    <w:rsid w:val="00715DEA"/>
    <w:rsid w:val="00720272"/>
    <w:rsid w:val="007218A9"/>
    <w:rsid w:val="00731269"/>
    <w:rsid w:val="00733C8D"/>
    <w:rsid w:val="007434FC"/>
    <w:rsid w:val="00744C83"/>
    <w:rsid w:val="00756A5A"/>
    <w:rsid w:val="007620CA"/>
    <w:rsid w:val="007722DF"/>
    <w:rsid w:val="0077608C"/>
    <w:rsid w:val="0078183C"/>
    <w:rsid w:val="00795881"/>
    <w:rsid w:val="007A0AF5"/>
    <w:rsid w:val="007B2FF5"/>
    <w:rsid w:val="007C76E8"/>
    <w:rsid w:val="007D33E5"/>
    <w:rsid w:val="007D5E7D"/>
    <w:rsid w:val="007D6E13"/>
    <w:rsid w:val="007D7C89"/>
    <w:rsid w:val="007E2584"/>
    <w:rsid w:val="007E6BB5"/>
    <w:rsid w:val="007F0647"/>
    <w:rsid w:val="00801A26"/>
    <w:rsid w:val="0080235B"/>
    <w:rsid w:val="00802B94"/>
    <w:rsid w:val="00810C1D"/>
    <w:rsid w:val="0081278B"/>
    <w:rsid w:val="008205CF"/>
    <w:rsid w:val="008303A7"/>
    <w:rsid w:val="00831D9C"/>
    <w:rsid w:val="00832838"/>
    <w:rsid w:val="008341CF"/>
    <w:rsid w:val="008363B6"/>
    <w:rsid w:val="008369AC"/>
    <w:rsid w:val="00837761"/>
    <w:rsid w:val="00840CA2"/>
    <w:rsid w:val="00841892"/>
    <w:rsid w:val="0084555B"/>
    <w:rsid w:val="008516A2"/>
    <w:rsid w:val="00853D4F"/>
    <w:rsid w:val="00853F0F"/>
    <w:rsid w:val="00860B76"/>
    <w:rsid w:val="00863709"/>
    <w:rsid w:val="008650E0"/>
    <w:rsid w:val="008651A2"/>
    <w:rsid w:val="008743D3"/>
    <w:rsid w:val="00875B4D"/>
    <w:rsid w:val="0088300B"/>
    <w:rsid w:val="00884CCE"/>
    <w:rsid w:val="008867C6"/>
    <w:rsid w:val="00890722"/>
    <w:rsid w:val="00890AA0"/>
    <w:rsid w:val="00891187"/>
    <w:rsid w:val="00892776"/>
    <w:rsid w:val="008A16BD"/>
    <w:rsid w:val="008A67E7"/>
    <w:rsid w:val="008A6D97"/>
    <w:rsid w:val="008B014E"/>
    <w:rsid w:val="008B332A"/>
    <w:rsid w:val="008B44CC"/>
    <w:rsid w:val="008B78B7"/>
    <w:rsid w:val="008C00FC"/>
    <w:rsid w:val="008C261B"/>
    <w:rsid w:val="008C7098"/>
    <w:rsid w:val="008D2277"/>
    <w:rsid w:val="008E4538"/>
    <w:rsid w:val="008F12F3"/>
    <w:rsid w:val="008F20CE"/>
    <w:rsid w:val="008F5867"/>
    <w:rsid w:val="0090678C"/>
    <w:rsid w:val="0091054F"/>
    <w:rsid w:val="009116FE"/>
    <w:rsid w:val="009122B1"/>
    <w:rsid w:val="0091338C"/>
    <w:rsid w:val="00917F2E"/>
    <w:rsid w:val="00931ED2"/>
    <w:rsid w:val="009356AC"/>
    <w:rsid w:val="009412A2"/>
    <w:rsid w:val="0094487F"/>
    <w:rsid w:val="00945A66"/>
    <w:rsid w:val="009637E2"/>
    <w:rsid w:val="00963BE5"/>
    <w:rsid w:val="00966EB0"/>
    <w:rsid w:val="00970E77"/>
    <w:rsid w:val="00974377"/>
    <w:rsid w:val="00975480"/>
    <w:rsid w:val="00981986"/>
    <w:rsid w:val="00987205"/>
    <w:rsid w:val="00995637"/>
    <w:rsid w:val="009976B4"/>
    <w:rsid w:val="009A00CA"/>
    <w:rsid w:val="009A3DD0"/>
    <w:rsid w:val="009A4FCA"/>
    <w:rsid w:val="009B335C"/>
    <w:rsid w:val="009C0985"/>
    <w:rsid w:val="009D49E6"/>
    <w:rsid w:val="009D6FD2"/>
    <w:rsid w:val="009E329A"/>
    <w:rsid w:val="009F09BA"/>
    <w:rsid w:val="009F430C"/>
    <w:rsid w:val="009F65D7"/>
    <w:rsid w:val="00A0481D"/>
    <w:rsid w:val="00A166FB"/>
    <w:rsid w:val="00A16B9C"/>
    <w:rsid w:val="00A1752D"/>
    <w:rsid w:val="00A23ADC"/>
    <w:rsid w:val="00A23E62"/>
    <w:rsid w:val="00A24F89"/>
    <w:rsid w:val="00A301D0"/>
    <w:rsid w:val="00A3353A"/>
    <w:rsid w:val="00A454F1"/>
    <w:rsid w:val="00A56367"/>
    <w:rsid w:val="00A6423C"/>
    <w:rsid w:val="00A64985"/>
    <w:rsid w:val="00A67818"/>
    <w:rsid w:val="00A81EEC"/>
    <w:rsid w:val="00A84EA1"/>
    <w:rsid w:val="00A860D6"/>
    <w:rsid w:val="00AB008D"/>
    <w:rsid w:val="00AB0BE8"/>
    <w:rsid w:val="00AB7392"/>
    <w:rsid w:val="00AC6F25"/>
    <w:rsid w:val="00AC75A3"/>
    <w:rsid w:val="00AD6FDF"/>
    <w:rsid w:val="00AF3536"/>
    <w:rsid w:val="00AF760B"/>
    <w:rsid w:val="00B030FB"/>
    <w:rsid w:val="00B13FC8"/>
    <w:rsid w:val="00B15D96"/>
    <w:rsid w:val="00B1750C"/>
    <w:rsid w:val="00B26F41"/>
    <w:rsid w:val="00B31B1B"/>
    <w:rsid w:val="00B3603F"/>
    <w:rsid w:val="00B46288"/>
    <w:rsid w:val="00B5410B"/>
    <w:rsid w:val="00B546D8"/>
    <w:rsid w:val="00B57E42"/>
    <w:rsid w:val="00B71923"/>
    <w:rsid w:val="00BA4347"/>
    <w:rsid w:val="00BB1066"/>
    <w:rsid w:val="00BB2C4B"/>
    <w:rsid w:val="00BB2F49"/>
    <w:rsid w:val="00BB6CDB"/>
    <w:rsid w:val="00BB7E07"/>
    <w:rsid w:val="00BC2E4C"/>
    <w:rsid w:val="00BC60EB"/>
    <w:rsid w:val="00BC74B6"/>
    <w:rsid w:val="00BD0E34"/>
    <w:rsid w:val="00BD7CDE"/>
    <w:rsid w:val="00BE050B"/>
    <w:rsid w:val="00BE392E"/>
    <w:rsid w:val="00BE6631"/>
    <w:rsid w:val="00BE7179"/>
    <w:rsid w:val="00C10A9E"/>
    <w:rsid w:val="00C10EDA"/>
    <w:rsid w:val="00C22935"/>
    <w:rsid w:val="00C33248"/>
    <w:rsid w:val="00C45CBE"/>
    <w:rsid w:val="00C46520"/>
    <w:rsid w:val="00C52D24"/>
    <w:rsid w:val="00C53A55"/>
    <w:rsid w:val="00C545BF"/>
    <w:rsid w:val="00C60E5E"/>
    <w:rsid w:val="00C61779"/>
    <w:rsid w:val="00C654E7"/>
    <w:rsid w:val="00C66481"/>
    <w:rsid w:val="00C744C8"/>
    <w:rsid w:val="00C77242"/>
    <w:rsid w:val="00C9086F"/>
    <w:rsid w:val="00C914B2"/>
    <w:rsid w:val="00C962CE"/>
    <w:rsid w:val="00C9654E"/>
    <w:rsid w:val="00C9700B"/>
    <w:rsid w:val="00C976DE"/>
    <w:rsid w:val="00CA1EA4"/>
    <w:rsid w:val="00CA43AA"/>
    <w:rsid w:val="00CA510D"/>
    <w:rsid w:val="00CB107F"/>
    <w:rsid w:val="00CB4E30"/>
    <w:rsid w:val="00CC2A37"/>
    <w:rsid w:val="00CC76F6"/>
    <w:rsid w:val="00CD01CC"/>
    <w:rsid w:val="00CD101A"/>
    <w:rsid w:val="00CD477B"/>
    <w:rsid w:val="00CE0E43"/>
    <w:rsid w:val="00CE1F4F"/>
    <w:rsid w:val="00CE321F"/>
    <w:rsid w:val="00CE5CF5"/>
    <w:rsid w:val="00CF04AC"/>
    <w:rsid w:val="00CF44DC"/>
    <w:rsid w:val="00D0129F"/>
    <w:rsid w:val="00D01BDD"/>
    <w:rsid w:val="00D07E3E"/>
    <w:rsid w:val="00D10B9E"/>
    <w:rsid w:val="00D12032"/>
    <w:rsid w:val="00D17AA8"/>
    <w:rsid w:val="00D43F62"/>
    <w:rsid w:val="00D47394"/>
    <w:rsid w:val="00D53D4D"/>
    <w:rsid w:val="00D55A72"/>
    <w:rsid w:val="00D64048"/>
    <w:rsid w:val="00D64778"/>
    <w:rsid w:val="00D64D6D"/>
    <w:rsid w:val="00D76E92"/>
    <w:rsid w:val="00D81C89"/>
    <w:rsid w:val="00D831B5"/>
    <w:rsid w:val="00DA164D"/>
    <w:rsid w:val="00DA7E4C"/>
    <w:rsid w:val="00DB3D6B"/>
    <w:rsid w:val="00DB58D1"/>
    <w:rsid w:val="00DC15C6"/>
    <w:rsid w:val="00DD250E"/>
    <w:rsid w:val="00DE415E"/>
    <w:rsid w:val="00DF3424"/>
    <w:rsid w:val="00DF45CF"/>
    <w:rsid w:val="00DF703C"/>
    <w:rsid w:val="00DF7D7E"/>
    <w:rsid w:val="00E1587E"/>
    <w:rsid w:val="00E2346D"/>
    <w:rsid w:val="00E304B1"/>
    <w:rsid w:val="00E31A39"/>
    <w:rsid w:val="00E33FC0"/>
    <w:rsid w:val="00E3619F"/>
    <w:rsid w:val="00E36DA8"/>
    <w:rsid w:val="00E4033D"/>
    <w:rsid w:val="00E41968"/>
    <w:rsid w:val="00E54412"/>
    <w:rsid w:val="00E704C8"/>
    <w:rsid w:val="00E82AB5"/>
    <w:rsid w:val="00E9202B"/>
    <w:rsid w:val="00E93831"/>
    <w:rsid w:val="00E9586D"/>
    <w:rsid w:val="00EA4491"/>
    <w:rsid w:val="00EB1D8A"/>
    <w:rsid w:val="00EB265C"/>
    <w:rsid w:val="00EB5894"/>
    <w:rsid w:val="00EB6E16"/>
    <w:rsid w:val="00EB7728"/>
    <w:rsid w:val="00EC0C2A"/>
    <w:rsid w:val="00ED2373"/>
    <w:rsid w:val="00ED2747"/>
    <w:rsid w:val="00ED7A8A"/>
    <w:rsid w:val="00EE1AF0"/>
    <w:rsid w:val="00EE1EC3"/>
    <w:rsid w:val="00EE244A"/>
    <w:rsid w:val="00EE3217"/>
    <w:rsid w:val="00EE769E"/>
    <w:rsid w:val="00F012BD"/>
    <w:rsid w:val="00F054A9"/>
    <w:rsid w:val="00F10041"/>
    <w:rsid w:val="00F209A9"/>
    <w:rsid w:val="00F21281"/>
    <w:rsid w:val="00F272F0"/>
    <w:rsid w:val="00F31914"/>
    <w:rsid w:val="00F357E2"/>
    <w:rsid w:val="00F36277"/>
    <w:rsid w:val="00F50398"/>
    <w:rsid w:val="00F51258"/>
    <w:rsid w:val="00F55022"/>
    <w:rsid w:val="00F56F67"/>
    <w:rsid w:val="00F60EAC"/>
    <w:rsid w:val="00F870DF"/>
    <w:rsid w:val="00F90B36"/>
    <w:rsid w:val="00F97B97"/>
    <w:rsid w:val="00F97C5D"/>
    <w:rsid w:val="00FB1CD1"/>
    <w:rsid w:val="00FD1F58"/>
    <w:rsid w:val="00FD2930"/>
    <w:rsid w:val="00FD3321"/>
    <w:rsid w:val="00FD62C3"/>
    <w:rsid w:val="00FD6D57"/>
    <w:rsid w:val="00FD790F"/>
    <w:rsid w:val="00FE1C65"/>
    <w:rsid w:val="00FE240D"/>
    <w:rsid w:val="00FE7296"/>
    <w:rsid w:val="00FF1D02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ECB14"/>
  <w15:docId w15:val="{8ACF9C4C-8580-4F62-99DF-B8A7F00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53C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5353C"/>
    <w:pPr>
      <w:keepNext/>
      <w:jc w:val="center"/>
      <w:outlineLvl w:val="1"/>
    </w:pPr>
    <w:rPr>
      <w:rFonts w:ascii="PA-SansSerif" w:hAnsi="PA-SansSerif"/>
      <w:b/>
      <w:szCs w:val="20"/>
      <w:lang w:val="el-GR"/>
    </w:rPr>
  </w:style>
  <w:style w:type="paragraph" w:styleId="Heading3">
    <w:name w:val="heading 3"/>
    <w:basedOn w:val="Normal"/>
    <w:next w:val="Normal"/>
    <w:qFormat/>
    <w:rsid w:val="0045353C"/>
    <w:pPr>
      <w:keepNext/>
      <w:jc w:val="center"/>
      <w:outlineLvl w:val="2"/>
    </w:pPr>
    <w:rPr>
      <w:rFonts w:ascii="PA-SansSerif" w:hAnsi="PA-SansSerif"/>
      <w:b/>
      <w:sz w:val="22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5353C"/>
    <w:pPr>
      <w:jc w:val="both"/>
    </w:pPr>
    <w:rPr>
      <w:rFonts w:ascii="PA-SansSerif" w:hAnsi="PA-SansSerif"/>
      <w:sz w:val="22"/>
      <w:szCs w:val="20"/>
      <w:lang w:val="el-GR"/>
    </w:rPr>
  </w:style>
  <w:style w:type="paragraph" w:styleId="BodyText">
    <w:name w:val="Body Text"/>
    <w:basedOn w:val="Normal"/>
    <w:rsid w:val="0045353C"/>
    <w:pPr>
      <w:jc w:val="center"/>
    </w:pPr>
    <w:rPr>
      <w:rFonts w:ascii="Arial" w:hAnsi="Arial" w:cs="Arial"/>
      <w:b/>
      <w:bCs/>
      <w:sz w:val="22"/>
      <w:u w:val="single"/>
      <w:lang w:val="el-GR"/>
    </w:rPr>
  </w:style>
  <w:style w:type="paragraph" w:styleId="EndnoteText">
    <w:name w:val="endnote text"/>
    <w:basedOn w:val="Normal"/>
    <w:link w:val="EndnoteTextChar"/>
    <w:rsid w:val="003845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459E"/>
    <w:rPr>
      <w:lang w:val="en-GB"/>
    </w:rPr>
  </w:style>
  <w:style w:type="character" w:styleId="EndnoteReference">
    <w:name w:val="endnote reference"/>
    <w:basedOn w:val="DefaultParagraphFont"/>
    <w:rsid w:val="0038459E"/>
    <w:rPr>
      <w:vertAlign w:val="superscript"/>
    </w:rPr>
  </w:style>
  <w:style w:type="paragraph" w:styleId="FootnoteText">
    <w:name w:val="footnote text"/>
    <w:basedOn w:val="Normal"/>
    <w:link w:val="FootnoteTextChar"/>
    <w:rsid w:val="003845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459E"/>
    <w:rPr>
      <w:lang w:val="en-GB"/>
    </w:rPr>
  </w:style>
  <w:style w:type="character" w:styleId="FootnoteReference">
    <w:name w:val="footnote reference"/>
    <w:basedOn w:val="DefaultParagraphFont"/>
    <w:rsid w:val="0038459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736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D1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73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36D1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A32E3"/>
    <w:rPr>
      <w:rFonts w:ascii="PA-SansSerif" w:hAnsi="PA-SansSerif"/>
      <w:b/>
      <w:sz w:val="24"/>
      <w:lang w:val="el-GR"/>
    </w:rPr>
  </w:style>
  <w:style w:type="paragraph" w:styleId="NoSpacing">
    <w:name w:val="No Spacing"/>
    <w:uiPriority w:val="1"/>
    <w:qFormat/>
    <w:rsid w:val="00A24F89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9643F"/>
    <w:pPr>
      <w:ind w:left="720"/>
    </w:pPr>
  </w:style>
  <w:style w:type="paragraph" w:styleId="BalloonText">
    <w:name w:val="Balloon Text"/>
    <w:basedOn w:val="Normal"/>
    <w:link w:val="BalloonTextChar"/>
    <w:rsid w:val="0070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1B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B541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4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10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4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10B"/>
    <w:rPr>
      <w:b/>
      <w:bCs/>
      <w:lang w:val="en-GB" w:eastAsia="en-US"/>
    </w:rPr>
  </w:style>
  <w:style w:type="table" w:styleId="TableGrid">
    <w:name w:val="Table Grid"/>
    <w:basedOn w:val="TableNormal"/>
    <w:rsid w:val="00EB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BDD9-D4C0-49E4-89C9-4DE4B927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1023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ΠΕΡΙ ΠΑΝΕΠΙΣΤΗΜΙΟΥ ΚΥΠΡΟΥ ΝΟΜΟΣ</vt:lpstr>
    </vt:vector>
  </TitlesOfParts>
  <Company>University of Cyprus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ΠΕΡΙ ΠΑΝΕΠΙΣΤΗΜΙΟΥ ΚΥΠΡΟΥ ΝΟΜΟΣ</dc:title>
  <dc:creator>University of Cyprus</dc:creator>
  <cp:lastModifiedBy>CHRISTOFI THALIA</cp:lastModifiedBy>
  <cp:revision>23</cp:revision>
  <cp:lastPrinted>2022-04-12T06:19:00Z</cp:lastPrinted>
  <dcterms:created xsi:type="dcterms:W3CDTF">2022-04-04T09:13:00Z</dcterms:created>
  <dcterms:modified xsi:type="dcterms:W3CDTF">2022-04-12T07:16:00Z</dcterms:modified>
</cp:coreProperties>
</file>