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25E0" w14:textId="644342E5" w:rsidR="00A369FA" w:rsidRDefault="00E97C72" w:rsidP="00A369FA">
      <w:pPr>
        <w:spacing w:line="360" w:lineRule="auto"/>
        <w:jc w:val="center"/>
        <w:outlineLvl w:val="0"/>
        <w:rPr>
          <w:rFonts w:ascii="Arial" w:hAnsi="Arial" w:cs="Arial"/>
          <w:bCs/>
          <w:lang w:val="el-GR"/>
        </w:rPr>
      </w:pPr>
      <w:r w:rsidRPr="00FB37C1">
        <w:rPr>
          <w:rFonts w:ascii="Arial" w:hAnsi="Arial" w:cs="Arial"/>
          <w:bCs/>
          <w:lang w:val="el-GR"/>
        </w:rPr>
        <w:t xml:space="preserve">Ο ΠΕΡΙ ΤΗΣ </w:t>
      </w:r>
      <w:r w:rsidR="000912DF">
        <w:rPr>
          <w:rFonts w:ascii="Arial" w:hAnsi="Arial" w:cs="Arial"/>
          <w:bCs/>
          <w:lang w:val="el-GR"/>
        </w:rPr>
        <w:t xml:space="preserve">ΔΕΚΑΤΗΣ </w:t>
      </w:r>
      <w:r w:rsidR="005A0CE8">
        <w:rPr>
          <w:rFonts w:ascii="Arial" w:hAnsi="Arial" w:cs="Arial"/>
          <w:bCs/>
          <w:lang w:val="el-GR"/>
        </w:rPr>
        <w:t>ΕΒΔΟΜΗΣ</w:t>
      </w:r>
      <w:r w:rsidRPr="00FB37C1">
        <w:rPr>
          <w:rFonts w:ascii="Arial" w:hAnsi="Arial" w:cs="Arial"/>
          <w:bCs/>
          <w:lang w:val="el-GR"/>
        </w:rPr>
        <w:t xml:space="preserve"> ΤΡΟΠΟΠΟΙΗΣΗΣ Τ</w:t>
      </w:r>
      <w:r w:rsidR="00A369FA">
        <w:rPr>
          <w:rFonts w:ascii="Arial" w:hAnsi="Arial" w:cs="Arial"/>
          <w:bCs/>
          <w:lang w:val="el-GR"/>
        </w:rPr>
        <w:t>ΟΥ</w:t>
      </w:r>
    </w:p>
    <w:p w14:paraId="47EBDF36" w14:textId="77777777" w:rsidR="00245E33" w:rsidRPr="000912DF" w:rsidRDefault="00E97C72" w:rsidP="00A369FA">
      <w:pPr>
        <w:spacing w:line="360" w:lineRule="auto"/>
        <w:jc w:val="center"/>
        <w:outlineLvl w:val="0"/>
        <w:rPr>
          <w:rFonts w:ascii="Arial" w:hAnsi="Arial" w:cs="Arial"/>
          <w:bCs/>
          <w:lang w:val="el-GR"/>
        </w:rPr>
      </w:pPr>
      <w:r w:rsidRPr="00FB37C1">
        <w:rPr>
          <w:rFonts w:ascii="Arial" w:hAnsi="Arial" w:cs="Arial"/>
          <w:bCs/>
          <w:lang w:val="el-GR"/>
        </w:rPr>
        <w:t>ΣΥΝΤΑΓΜΑΤΟΣ</w:t>
      </w:r>
      <w:r w:rsidR="000912DF">
        <w:rPr>
          <w:rFonts w:ascii="Arial" w:hAnsi="Arial" w:cs="Arial"/>
          <w:bCs/>
          <w:lang w:val="el-GR"/>
        </w:rPr>
        <w:t xml:space="preserve"> ΝΟΜΟΣ ΤΟΥ 202</w:t>
      </w:r>
      <w:r w:rsidR="003A0D95">
        <w:rPr>
          <w:rFonts w:ascii="Arial" w:hAnsi="Arial" w:cs="Arial"/>
          <w:bCs/>
          <w:lang w:val="el-GR"/>
        </w:rPr>
        <w:t>2</w:t>
      </w:r>
    </w:p>
    <w:p w14:paraId="3EDEF67B" w14:textId="77777777" w:rsidR="005B4BFD" w:rsidRPr="00FB37C1" w:rsidRDefault="005B4BFD" w:rsidP="00AB6B11">
      <w:pPr>
        <w:spacing w:line="360" w:lineRule="auto"/>
        <w:jc w:val="center"/>
        <w:rPr>
          <w:rFonts w:ascii="Arial" w:hAnsi="Arial" w:cs="Arial"/>
          <w:bCs/>
          <w:lang w:val="el-GR"/>
        </w:rPr>
      </w:pPr>
    </w:p>
    <w:tbl>
      <w:tblPr>
        <w:tblW w:w="5049" w:type="pct"/>
        <w:jc w:val="center"/>
        <w:tblCellMar>
          <w:top w:w="57" w:type="dxa"/>
          <w:left w:w="85" w:type="dxa"/>
          <w:bottom w:w="227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190"/>
        <w:gridCol w:w="230"/>
        <w:gridCol w:w="6538"/>
        <w:gridCol w:w="29"/>
      </w:tblGrid>
      <w:tr w:rsidR="00B637CC" w:rsidRPr="00525562" w14:paraId="50E2C215" w14:textId="77777777" w:rsidTr="008B7C3E">
        <w:trPr>
          <w:gridAfter w:val="1"/>
          <w:wAfter w:w="29" w:type="dxa"/>
          <w:jc w:val="center"/>
        </w:trPr>
        <w:tc>
          <w:tcPr>
            <w:tcW w:w="2127" w:type="dxa"/>
          </w:tcPr>
          <w:p w14:paraId="0AA29AB0" w14:textId="77777777" w:rsidR="00B22033" w:rsidRPr="008B7C3E" w:rsidRDefault="00410C1D" w:rsidP="00FB37C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Προοίμιο.</w:t>
            </w:r>
          </w:p>
          <w:p w14:paraId="1B1508CA" w14:textId="77777777" w:rsidR="0077629B" w:rsidRPr="008B7C3E" w:rsidRDefault="0077629B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10FEDF5D" w14:textId="77777777" w:rsidR="0077629B" w:rsidRPr="008B7C3E" w:rsidRDefault="0077629B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1CCBAC2F" w14:textId="77777777" w:rsidR="0077629B" w:rsidRPr="008B7C3E" w:rsidRDefault="0077629B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14:paraId="31D192EE" w14:textId="77777777" w:rsidR="0077629B" w:rsidRPr="008B7C3E" w:rsidRDefault="0077629B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 xml:space="preserve">33 του 1964 </w:t>
            </w:r>
          </w:p>
          <w:p w14:paraId="4FFE768C" w14:textId="77777777" w:rsidR="0077629B" w:rsidRPr="008B7C3E" w:rsidRDefault="0077629B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 xml:space="preserve">35 του 1975 </w:t>
            </w:r>
          </w:p>
          <w:p w14:paraId="7016BAA3" w14:textId="77777777" w:rsidR="0077629B" w:rsidRPr="008B7C3E" w:rsidRDefault="0077629B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 xml:space="preserve">72 του 1977 </w:t>
            </w:r>
          </w:p>
          <w:p w14:paraId="330300FE" w14:textId="77777777" w:rsidR="0077629B" w:rsidRPr="008B7C3E" w:rsidRDefault="0077629B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 xml:space="preserve">59 του 1981 </w:t>
            </w:r>
          </w:p>
          <w:p w14:paraId="1549DAD4" w14:textId="77777777" w:rsidR="0077629B" w:rsidRPr="008B7C3E" w:rsidRDefault="0077629B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 xml:space="preserve">3 του 1987 </w:t>
            </w:r>
          </w:p>
          <w:p w14:paraId="4D5CC697" w14:textId="77777777" w:rsidR="0077629B" w:rsidRPr="008B7C3E" w:rsidRDefault="0077629B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 xml:space="preserve">158 του 1988 </w:t>
            </w:r>
          </w:p>
          <w:p w14:paraId="7B3B64F2" w14:textId="77777777" w:rsidR="0077629B" w:rsidRPr="008B7C3E" w:rsidRDefault="0077629B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109 του 1991</w:t>
            </w:r>
          </w:p>
          <w:p w14:paraId="309C8CCE" w14:textId="77777777" w:rsidR="00FB1875" w:rsidRPr="008B7C3E" w:rsidRDefault="00FB1875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132(Ι) του 2015.</w:t>
            </w:r>
          </w:p>
        </w:tc>
        <w:tc>
          <w:tcPr>
            <w:tcW w:w="6958" w:type="dxa"/>
            <w:gridSpan w:val="3"/>
          </w:tcPr>
          <w:p w14:paraId="00D27C1A" w14:textId="53479F6B" w:rsidR="00057C2B" w:rsidRPr="00057C2B" w:rsidRDefault="00057C2B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ΕΠΕΙΔΗ</w:t>
            </w:r>
            <w:r w:rsidR="00762FA6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το Σύνταγμα της Δ</w:t>
            </w:r>
            <w:r w:rsidR="0011642F">
              <w:rPr>
                <w:rFonts w:ascii="Arial" w:hAnsi="Arial" w:cs="Arial"/>
                <w:bCs/>
                <w:lang w:val="el-GR"/>
              </w:rPr>
              <w:t xml:space="preserve">ημοκρατίας προβλέπει </w:t>
            </w:r>
            <w:r w:rsidR="00CB78EE">
              <w:rPr>
                <w:rFonts w:ascii="Arial" w:hAnsi="Arial" w:cs="Arial"/>
                <w:bCs/>
                <w:lang w:val="el-GR"/>
              </w:rPr>
              <w:t xml:space="preserve">για την καθίδρυση και λειτουργία </w:t>
            </w:r>
            <w:proofErr w:type="spellStart"/>
            <w:r w:rsidR="00196C79">
              <w:rPr>
                <w:rFonts w:ascii="Arial" w:hAnsi="Arial" w:cs="Arial"/>
                <w:bCs/>
                <w:lang w:val="el-GR"/>
              </w:rPr>
              <w:t>Ανωτάτου</w:t>
            </w:r>
            <w:proofErr w:type="spellEnd"/>
            <w:r w:rsidR="00196C79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11642F">
              <w:rPr>
                <w:rFonts w:ascii="Arial" w:hAnsi="Arial" w:cs="Arial"/>
                <w:bCs/>
                <w:lang w:val="el-GR"/>
              </w:rPr>
              <w:t>Συνταγματικ</w:t>
            </w:r>
            <w:r w:rsidR="00CB78EE">
              <w:rPr>
                <w:rFonts w:ascii="Arial" w:hAnsi="Arial" w:cs="Arial"/>
                <w:bCs/>
                <w:lang w:val="el-GR"/>
              </w:rPr>
              <w:t>ού</w:t>
            </w:r>
            <w:r w:rsidR="0011642F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CB78EE">
              <w:rPr>
                <w:rFonts w:ascii="Arial" w:hAnsi="Arial" w:cs="Arial"/>
                <w:bCs/>
                <w:lang w:val="el-GR"/>
              </w:rPr>
              <w:t>Δικαστηρίου</w:t>
            </w:r>
            <w:r w:rsidR="0011642F">
              <w:rPr>
                <w:rFonts w:ascii="Arial" w:hAnsi="Arial" w:cs="Arial"/>
                <w:bCs/>
                <w:lang w:val="el-GR"/>
              </w:rPr>
              <w:t xml:space="preserve"> και </w:t>
            </w:r>
            <w:proofErr w:type="spellStart"/>
            <w:r w:rsidR="00196C79">
              <w:rPr>
                <w:rFonts w:ascii="Arial" w:hAnsi="Arial" w:cs="Arial"/>
                <w:bCs/>
                <w:lang w:val="el-GR"/>
              </w:rPr>
              <w:t>Ανωτάτου</w:t>
            </w:r>
            <w:proofErr w:type="spellEnd"/>
            <w:r w:rsidR="00196C79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CB78EE">
              <w:rPr>
                <w:rFonts w:ascii="Arial" w:hAnsi="Arial" w:cs="Arial"/>
                <w:bCs/>
                <w:lang w:val="el-GR"/>
              </w:rPr>
              <w:t xml:space="preserve">Δικαστηρίου </w:t>
            </w:r>
            <w:r w:rsidR="0011642F">
              <w:rPr>
                <w:rFonts w:ascii="Arial" w:hAnsi="Arial" w:cs="Arial"/>
                <w:bCs/>
                <w:lang w:val="el-GR"/>
              </w:rPr>
              <w:t>στη Δημοκρατία</w:t>
            </w:r>
            <w:r>
              <w:rPr>
                <w:rFonts w:ascii="Arial" w:hAnsi="Arial" w:cs="Arial"/>
                <w:bCs/>
                <w:lang w:val="el-GR"/>
              </w:rPr>
              <w:t>,</w:t>
            </w:r>
          </w:p>
          <w:p w14:paraId="25EFACF1" w14:textId="77777777" w:rsidR="00057C2B" w:rsidRDefault="00057C2B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76CA5591" w14:textId="2F58B235" w:rsidR="00BC3AE9" w:rsidRDefault="004C7B25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 xml:space="preserve">ΚΑΙ </w:t>
            </w:r>
            <w:r w:rsidR="00BC3AE9" w:rsidRPr="008823DE">
              <w:rPr>
                <w:rFonts w:ascii="Arial" w:hAnsi="Arial" w:cs="Arial"/>
                <w:bCs/>
                <w:lang w:val="el-GR"/>
              </w:rPr>
              <w:t>Ε</w:t>
            </w:r>
            <w:r w:rsidR="00BC3AE9">
              <w:rPr>
                <w:rFonts w:ascii="Arial" w:hAnsi="Arial" w:cs="Arial"/>
                <w:bCs/>
                <w:lang w:val="el-GR"/>
              </w:rPr>
              <w:t xml:space="preserve">ΠΕΙΔΗ, με βάση τις διατάξεις </w:t>
            </w:r>
            <w:r w:rsidR="00C66173">
              <w:rPr>
                <w:rFonts w:ascii="Arial" w:hAnsi="Arial" w:cs="Arial"/>
                <w:bCs/>
                <w:lang w:val="el-GR"/>
              </w:rPr>
              <w:t xml:space="preserve">του </w:t>
            </w:r>
            <w:r w:rsidR="00BC3AE9" w:rsidRPr="008823DE">
              <w:rPr>
                <w:rFonts w:ascii="Arial" w:hAnsi="Arial" w:cs="Arial"/>
                <w:bCs/>
                <w:lang w:val="el-GR"/>
              </w:rPr>
              <w:t>περί Απονομής της Δικαιο</w:t>
            </w:r>
            <w:r w:rsidR="00BC3AE9">
              <w:rPr>
                <w:rFonts w:ascii="Arial" w:hAnsi="Arial" w:cs="Arial"/>
                <w:bCs/>
                <w:lang w:val="el-GR"/>
              </w:rPr>
              <w:t>σύνης (</w:t>
            </w:r>
            <w:proofErr w:type="spellStart"/>
            <w:r w:rsidR="00BC3AE9">
              <w:rPr>
                <w:rFonts w:ascii="Arial" w:hAnsi="Arial" w:cs="Arial"/>
                <w:bCs/>
                <w:lang w:val="el-GR"/>
              </w:rPr>
              <w:t>Ποικίλαι</w:t>
            </w:r>
            <w:proofErr w:type="spellEnd"/>
            <w:r w:rsidR="00BC3AE9">
              <w:rPr>
                <w:rFonts w:ascii="Arial" w:hAnsi="Arial" w:cs="Arial"/>
                <w:bCs/>
                <w:lang w:val="el-GR"/>
              </w:rPr>
              <w:t xml:space="preserve"> Διατάξεις) Νόμ</w:t>
            </w:r>
            <w:r w:rsidR="00C66173">
              <w:rPr>
                <w:rFonts w:ascii="Arial" w:hAnsi="Arial" w:cs="Arial"/>
                <w:bCs/>
                <w:lang w:val="el-GR"/>
              </w:rPr>
              <w:t>ου</w:t>
            </w:r>
            <w:r w:rsidR="00BC3AE9">
              <w:rPr>
                <w:rFonts w:ascii="Arial" w:hAnsi="Arial" w:cs="Arial"/>
                <w:bCs/>
                <w:lang w:val="el-GR"/>
              </w:rPr>
              <w:t xml:space="preserve">, ο οποίος θεσπίσθηκε δυνάμει του </w:t>
            </w:r>
            <w:r w:rsidR="0057530A">
              <w:rPr>
                <w:rFonts w:ascii="Arial" w:hAnsi="Arial" w:cs="Arial"/>
                <w:bCs/>
                <w:lang w:val="el-GR"/>
              </w:rPr>
              <w:t>δ</w:t>
            </w:r>
            <w:r w:rsidR="00BC3AE9">
              <w:rPr>
                <w:rFonts w:ascii="Arial" w:hAnsi="Arial" w:cs="Arial"/>
                <w:bCs/>
                <w:lang w:val="el-GR"/>
              </w:rPr>
              <w:t xml:space="preserve">ικαίου της </w:t>
            </w:r>
            <w:r w:rsidR="0057530A">
              <w:rPr>
                <w:rFonts w:ascii="Arial" w:hAnsi="Arial" w:cs="Arial"/>
                <w:bCs/>
                <w:lang w:val="el-GR"/>
              </w:rPr>
              <w:t>α</w:t>
            </w:r>
            <w:r w:rsidR="00BC3AE9">
              <w:rPr>
                <w:rFonts w:ascii="Arial" w:hAnsi="Arial" w:cs="Arial"/>
                <w:bCs/>
                <w:lang w:val="el-GR"/>
              </w:rPr>
              <w:t>νάγκης, η προβλεπόμενη από το Σύνταγμα</w:t>
            </w:r>
            <w:r w:rsidR="00BC3AE9" w:rsidRPr="008823DE">
              <w:rPr>
                <w:rFonts w:ascii="Arial" w:hAnsi="Arial" w:cs="Arial"/>
                <w:bCs/>
                <w:lang w:val="el-GR"/>
              </w:rPr>
              <w:t xml:space="preserve"> δικαιοδοσία του </w:t>
            </w:r>
            <w:proofErr w:type="spellStart"/>
            <w:r w:rsidR="00BC3AE9" w:rsidRPr="008823DE">
              <w:rPr>
                <w:rFonts w:ascii="Arial" w:hAnsi="Arial" w:cs="Arial"/>
                <w:bCs/>
                <w:lang w:val="el-GR"/>
              </w:rPr>
              <w:t>Ανωτάτου</w:t>
            </w:r>
            <w:proofErr w:type="spellEnd"/>
            <w:r w:rsidR="00BC3AE9" w:rsidRPr="008823DE">
              <w:rPr>
                <w:rFonts w:ascii="Arial" w:hAnsi="Arial" w:cs="Arial"/>
                <w:bCs/>
                <w:lang w:val="el-GR"/>
              </w:rPr>
              <w:t xml:space="preserve"> Συνταγματικού Δικαστηρίου και του </w:t>
            </w:r>
            <w:proofErr w:type="spellStart"/>
            <w:r w:rsidR="00BC3AE9" w:rsidRPr="008823DE">
              <w:rPr>
                <w:rFonts w:ascii="Arial" w:hAnsi="Arial" w:cs="Arial"/>
                <w:bCs/>
                <w:lang w:val="el-GR"/>
              </w:rPr>
              <w:t>Ανωτάτου</w:t>
            </w:r>
            <w:proofErr w:type="spellEnd"/>
            <w:r w:rsidR="00BC3AE9" w:rsidRPr="008823DE">
              <w:rPr>
                <w:rFonts w:ascii="Arial" w:hAnsi="Arial" w:cs="Arial"/>
                <w:bCs/>
                <w:lang w:val="el-GR"/>
              </w:rPr>
              <w:t xml:space="preserve"> Δικαστηρίου έχει μεταβι</w:t>
            </w:r>
            <w:r w:rsidR="00BC3AE9">
              <w:rPr>
                <w:rFonts w:ascii="Arial" w:hAnsi="Arial" w:cs="Arial"/>
                <w:bCs/>
                <w:lang w:val="el-GR"/>
              </w:rPr>
              <w:t>βασθεί στο υπό τ</w:t>
            </w:r>
            <w:r w:rsidR="00762FA6">
              <w:rPr>
                <w:rFonts w:ascii="Arial" w:hAnsi="Arial" w:cs="Arial"/>
                <w:bCs/>
                <w:lang w:val="el-GR"/>
              </w:rPr>
              <w:t>ου</w:t>
            </w:r>
            <w:r w:rsidR="00BC3AE9">
              <w:rPr>
                <w:rFonts w:ascii="Arial" w:hAnsi="Arial" w:cs="Arial"/>
                <w:bCs/>
                <w:lang w:val="el-GR"/>
              </w:rPr>
              <w:t xml:space="preserve"> ως άνω Νόμ</w:t>
            </w:r>
            <w:r w:rsidR="00762FA6">
              <w:rPr>
                <w:rFonts w:ascii="Arial" w:hAnsi="Arial" w:cs="Arial"/>
                <w:bCs/>
                <w:lang w:val="el-GR"/>
              </w:rPr>
              <w:t>ου</w:t>
            </w:r>
            <w:r w:rsidR="00BC3AE9" w:rsidRPr="008823DE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="00A52D5E">
              <w:rPr>
                <w:rFonts w:ascii="Arial" w:hAnsi="Arial" w:cs="Arial"/>
                <w:bCs/>
                <w:lang w:val="el-GR"/>
              </w:rPr>
              <w:t>καθ</w:t>
            </w:r>
            <w:r w:rsidR="00BC3AE9" w:rsidRPr="008823DE">
              <w:rPr>
                <w:rFonts w:ascii="Arial" w:hAnsi="Arial" w:cs="Arial"/>
                <w:bCs/>
                <w:lang w:val="el-GR"/>
              </w:rPr>
              <w:t>ιδρυθέν</w:t>
            </w:r>
            <w:proofErr w:type="spellEnd"/>
            <w:r w:rsidR="00BC3AE9" w:rsidRPr="008823DE">
              <w:rPr>
                <w:rFonts w:ascii="Arial" w:hAnsi="Arial" w:cs="Arial"/>
                <w:bCs/>
                <w:lang w:val="el-GR"/>
              </w:rPr>
              <w:t xml:space="preserve"> Ανώτατο Δικαστήριο,</w:t>
            </w:r>
          </w:p>
          <w:p w14:paraId="4B4193F9" w14:textId="77777777" w:rsidR="00FB37C1" w:rsidRDefault="00FB37C1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2DD69618" w14:textId="32BF73FE" w:rsidR="004D66B0" w:rsidRDefault="004D66B0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75D19E27" w14:textId="77777777" w:rsidR="00762FA6" w:rsidRDefault="00762FA6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1C48DA02" w14:textId="78A9554C" w:rsidR="00BC3AE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ΚΑΙ ΕΠΕΙΔΗ</w:t>
            </w:r>
            <w:r w:rsidR="00762FA6">
              <w:rPr>
                <w:rFonts w:ascii="Arial" w:hAnsi="Arial" w:cs="Arial"/>
                <w:bCs/>
                <w:lang w:val="el-GR"/>
              </w:rPr>
              <w:t>,</w:t>
            </w:r>
            <w:r w:rsidRPr="00627D83">
              <w:rPr>
                <w:rFonts w:ascii="Arial" w:hAnsi="Arial" w:cs="Arial"/>
                <w:bCs/>
                <w:lang w:val="el-GR"/>
              </w:rPr>
              <w:t xml:space="preserve"> η αποκλειστική δικαιοδοσία του </w:t>
            </w:r>
            <w:proofErr w:type="spellStart"/>
            <w:r w:rsidRPr="00627D83">
              <w:rPr>
                <w:rFonts w:ascii="Arial" w:hAnsi="Arial" w:cs="Arial"/>
                <w:bCs/>
                <w:lang w:val="el-GR"/>
              </w:rPr>
              <w:t>Ανωτά</w:t>
            </w:r>
            <w:r>
              <w:rPr>
                <w:rFonts w:ascii="Arial" w:hAnsi="Arial" w:cs="Arial"/>
                <w:bCs/>
                <w:lang w:val="el-GR"/>
              </w:rPr>
              <w:t>του</w:t>
            </w:r>
            <w:proofErr w:type="spellEnd"/>
            <w:r>
              <w:rPr>
                <w:rFonts w:ascii="Arial" w:hAnsi="Arial" w:cs="Arial"/>
                <w:bCs/>
                <w:lang w:val="el-GR"/>
              </w:rPr>
              <w:t xml:space="preserve"> Δικαστηρίου</w:t>
            </w:r>
            <w:r w:rsidR="00FB37C1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762FA6">
              <w:rPr>
                <w:rFonts w:ascii="Arial" w:hAnsi="Arial" w:cs="Arial"/>
                <w:bCs/>
                <w:lang w:val="el-GR"/>
              </w:rPr>
              <w:t xml:space="preserve">η οποία </w:t>
            </w:r>
            <w:r>
              <w:rPr>
                <w:rFonts w:ascii="Arial" w:hAnsi="Arial" w:cs="Arial"/>
                <w:bCs/>
                <w:lang w:val="el-GR"/>
              </w:rPr>
              <w:t>προβλέπεται στο</w:t>
            </w:r>
            <w:r w:rsidR="00762FA6">
              <w:rPr>
                <w:rFonts w:ascii="Arial" w:hAnsi="Arial" w:cs="Arial"/>
                <w:bCs/>
                <w:lang w:val="el-GR"/>
              </w:rPr>
              <w:t>ν</w:t>
            </w:r>
            <w:r>
              <w:rPr>
                <w:rFonts w:ascii="Arial" w:hAnsi="Arial" w:cs="Arial"/>
                <w:bCs/>
                <w:lang w:val="el-GR"/>
              </w:rPr>
              <w:t xml:space="preserve"> περί Απονομής της Δικαιοσύνης (</w:t>
            </w:r>
            <w:proofErr w:type="spellStart"/>
            <w:r>
              <w:rPr>
                <w:rFonts w:ascii="Arial" w:hAnsi="Arial" w:cs="Arial"/>
                <w:bCs/>
                <w:lang w:val="el-GR"/>
              </w:rPr>
              <w:t>Ποικίλαι</w:t>
            </w:r>
            <w:proofErr w:type="spellEnd"/>
            <w:r>
              <w:rPr>
                <w:rFonts w:ascii="Arial" w:hAnsi="Arial" w:cs="Arial"/>
                <w:bCs/>
                <w:lang w:val="el-GR"/>
              </w:rPr>
              <w:t xml:space="preserve"> Διατάξεις) Νόμο,</w:t>
            </w:r>
            <w:r w:rsidRPr="00627D83">
              <w:rPr>
                <w:rFonts w:ascii="Arial" w:hAnsi="Arial" w:cs="Arial"/>
                <w:bCs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lang w:val="el-GR"/>
              </w:rPr>
              <w:t xml:space="preserve">έχει </w:t>
            </w:r>
            <w:r w:rsidR="00196C79">
              <w:rPr>
                <w:rFonts w:ascii="Arial" w:hAnsi="Arial" w:cs="Arial"/>
                <w:bCs/>
                <w:lang w:val="el-GR"/>
              </w:rPr>
              <w:t>προϊόντος του χρόνου</w:t>
            </w:r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r w:rsidRPr="00627D83">
              <w:rPr>
                <w:rFonts w:ascii="Arial" w:hAnsi="Arial" w:cs="Arial"/>
                <w:bCs/>
                <w:lang w:val="el-GR"/>
              </w:rPr>
              <w:t>δυσχερ</w:t>
            </w:r>
            <w:r>
              <w:rPr>
                <w:rFonts w:ascii="Arial" w:hAnsi="Arial" w:cs="Arial"/>
                <w:bCs/>
                <w:lang w:val="el-GR"/>
              </w:rPr>
              <w:t>ά</w:t>
            </w:r>
            <w:r w:rsidRPr="00627D83">
              <w:rPr>
                <w:rFonts w:ascii="Arial" w:hAnsi="Arial" w:cs="Arial"/>
                <w:bCs/>
                <w:lang w:val="el-GR"/>
              </w:rPr>
              <w:t xml:space="preserve">νει το έργο του Δικαστηρίου </w:t>
            </w:r>
            <w:r w:rsidR="00A52D5E">
              <w:rPr>
                <w:rFonts w:ascii="Arial" w:hAnsi="Arial" w:cs="Arial"/>
                <w:bCs/>
                <w:lang w:val="el-GR"/>
              </w:rPr>
              <w:t xml:space="preserve">αυτού </w:t>
            </w:r>
            <w:r w:rsidRPr="00627D83">
              <w:rPr>
                <w:rFonts w:ascii="Arial" w:hAnsi="Arial" w:cs="Arial"/>
                <w:bCs/>
                <w:lang w:val="el-GR"/>
              </w:rPr>
              <w:t>και δεν συμβάλλει στην ταχεία απονομή της δικαιοσύνης</w:t>
            </w:r>
            <w:r>
              <w:rPr>
                <w:rFonts w:ascii="Arial" w:hAnsi="Arial" w:cs="Arial"/>
                <w:bCs/>
                <w:lang w:val="el-GR"/>
              </w:rPr>
              <w:t>,</w:t>
            </w:r>
          </w:p>
          <w:p w14:paraId="31E0368D" w14:textId="77777777" w:rsidR="00BC3AE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01997F11" w14:textId="486D3AD1" w:rsidR="00BC3AE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ΚΑΙ ΕΠΕΙΔΗ</w:t>
            </w:r>
            <w:r w:rsidR="004C0684">
              <w:rPr>
                <w:rFonts w:ascii="Arial" w:hAnsi="Arial" w:cs="Arial"/>
                <w:bCs/>
                <w:lang w:val="el-GR"/>
              </w:rPr>
              <w:t>,</w:t>
            </w:r>
            <w:r w:rsidRPr="00627D83">
              <w:rPr>
                <w:rFonts w:ascii="Arial" w:hAnsi="Arial" w:cs="Arial"/>
                <w:bCs/>
                <w:lang w:val="el-GR"/>
              </w:rPr>
              <w:t xml:space="preserve"> κρίνεται αναγκαί</w:t>
            </w:r>
            <w:r w:rsidR="004C0684">
              <w:rPr>
                <w:rFonts w:ascii="Arial" w:hAnsi="Arial" w:cs="Arial"/>
                <w:bCs/>
                <w:lang w:val="el-GR"/>
              </w:rPr>
              <w:t>α η λήψη</w:t>
            </w:r>
            <w:r w:rsidRPr="00627D83">
              <w:rPr>
                <w:rFonts w:ascii="Arial" w:hAnsi="Arial" w:cs="Arial"/>
                <w:bCs/>
                <w:lang w:val="el-GR"/>
              </w:rPr>
              <w:t xml:space="preserve"> μέτρ</w:t>
            </w:r>
            <w:r w:rsidR="004C0684">
              <w:rPr>
                <w:rFonts w:ascii="Arial" w:hAnsi="Arial" w:cs="Arial"/>
                <w:bCs/>
                <w:lang w:val="el-GR"/>
              </w:rPr>
              <w:t>ων</w:t>
            </w:r>
            <w:r w:rsidR="007616A2">
              <w:rPr>
                <w:rFonts w:ascii="Arial" w:hAnsi="Arial" w:cs="Arial"/>
                <w:bCs/>
                <w:lang w:val="el-GR"/>
              </w:rPr>
              <w:t xml:space="preserve"> </w:t>
            </w:r>
            <w:r w:rsidRPr="00627D83">
              <w:rPr>
                <w:rFonts w:ascii="Arial" w:hAnsi="Arial" w:cs="Arial"/>
                <w:bCs/>
                <w:lang w:val="el-GR"/>
              </w:rPr>
              <w:t xml:space="preserve">για την ταχεία απονομή της δικαιοσύνης </w:t>
            </w:r>
            <w:r w:rsidR="00196C79">
              <w:rPr>
                <w:rFonts w:ascii="Arial" w:hAnsi="Arial" w:cs="Arial"/>
                <w:bCs/>
                <w:lang w:val="el-GR"/>
              </w:rPr>
              <w:t xml:space="preserve">εν γένει </w:t>
            </w:r>
            <w:r w:rsidRPr="00627D83">
              <w:rPr>
                <w:rFonts w:ascii="Arial" w:hAnsi="Arial" w:cs="Arial"/>
                <w:bCs/>
                <w:lang w:val="el-GR"/>
              </w:rPr>
              <w:t>και</w:t>
            </w:r>
            <w:r w:rsidR="007616A2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A52D5E">
              <w:rPr>
                <w:rFonts w:ascii="Arial" w:hAnsi="Arial" w:cs="Arial"/>
                <w:bCs/>
                <w:lang w:val="el-GR"/>
              </w:rPr>
              <w:t xml:space="preserve">την ομαλή και απρόσκοπτη λειτουργία </w:t>
            </w:r>
            <w:r w:rsidRPr="00627D83">
              <w:rPr>
                <w:rFonts w:ascii="Arial" w:hAnsi="Arial" w:cs="Arial"/>
                <w:bCs/>
                <w:lang w:val="el-GR"/>
              </w:rPr>
              <w:t xml:space="preserve">της </w:t>
            </w:r>
            <w:r w:rsidR="00196C79">
              <w:rPr>
                <w:rFonts w:ascii="Arial" w:hAnsi="Arial" w:cs="Arial"/>
                <w:bCs/>
                <w:lang w:val="el-GR"/>
              </w:rPr>
              <w:t xml:space="preserve">ασκούμενης σήμερα από το Ανώτατο Δικαστήριο </w:t>
            </w:r>
            <w:r>
              <w:rPr>
                <w:rFonts w:ascii="Arial" w:hAnsi="Arial" w:cs="Arial"/>
                <w:bCs/>
                <w:lang w:val="el-GR"/>
              </w:rPr>
              <w:t>δευτεροβάθμιας δικαιοδοσίας</w:t>
            </w:r>
            <w:r w:rsidR="007616A2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με το</w:t>
            </w:r>
            <w:r w:rsidR="003A0D95">
              <w:rPr>
                <w:rFonts w:ascii="Arial" w:hAnsi="Arial" w:cs="Arial"/>
                <w:bCs/>
                <w:lang w:val="el-GR"/>
              </w:rPr>
              <w:t>ν</w:t>
            </w:r>
            <w:r>
              <w:rPr>
                <w:rFonts w:ascii="Arial" w:hAnsi="Arial" w:cs="Arial"/>
                <w:bCs/>
                <w:lang w:val="el-GR"/>
              </w:rPr>
              <w:t xml:space="preserve"> διαχωρισμό της δικαιοδοσίας </w:t>
            </w:r>
            <w:r w:rsidR="00196C79">
              <w:rPr>
                <w:rFonts w:ascii="Arial" w:hAnsi="Arial" w:cs="Arial"/>
                <w:bCs/>
                <w:lang w:val="el-GR"/>
              </w:rPr>
              <w:t>αυτού</w:t>
            </w:r>
            <w:r w:rsidRPr="00627D83">
              <w:rPr>
                <w:rFonts w:ascii="Arial" w:hAnsi="Arial" w:cs="Arial"/>
                <w:bCs/>
                <w:lang w:val="el-GR"/>
              </w:rPr>
              <w:t xml:space="preserve">,   </w:t>
            </w:r>
          </w:p>
          <w:p w14:paraId="78AC595B" w14:textId="77777777" w:rsidR="00BC3AE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06ED0262" w14:textId="3B794731" w:rsidR="00BC3AE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ΚΑΙ ΕΠΕΙΔΗ</w:t>
            </w:r>
            <w:r w:rsidR="00F410AA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εξακολουθούν να </w:t>
            </w:r>
            <w:r w:rsidR="00F410AA">
              <w:rPr>
                <w:rFonts w:ascii="Arial" w:hAnsi="Arial" w:cs="Arial"/>
                <w:bCs/>
                <w:lang w:val="el-GR"/>
              </w:rPr>
              <w:t xml:space="preserve">υφίστανται </w:t>
            </w:r>
            <w:r>
              <w:rPr>
                <w:rFonts w:ascii="Arial" w:hAnsi="Arial" w:cs="Arial"/>
                <w:bCs/>
                <w:lang w:val="el-GR"/>
              </w:rPr>
              <w:t xml:space="preserve">τα γεγονότα που  </w:t>
            </w:r>
            <w:r w:rsidR="00B44FDB">
              <w:rPr>
                <w:rFonts w:ascii="Arial" w:hAnsi="Arial" w:cs="Arial"/>
                <w:bCs/>
                <w:lang w:val="el-GR"/>
              </w:rPr>
              <w:t xml:space="preserve">δεν </w:t>
            </w:r>
            <w:r w:rsidR="00A369FA">
              <w:rPr>
                <w:rFonts w:ascii="Arial" w:hAnsi="Arial" w:cs="Arial"/>
                <w:bCs/>
                <w:lang w:val="el-GR"/>
              </w:rPr>
              <w:t xml:space="preserve">επιτρέπουν </w:t>
            </w:r>
            <w:r>
              <w:rPr>
                <w:rFonts w:ascii="Arial" w:hAnsi="Arial" w:cs="Arial"/>
                <w:bCs/>
                <w:lang w:val="el-GR"/>
              </w:rPr>
              <w:t xml:space="preserve">τη λειτουργία του </w:t>
            </w:r>
            <w:proofErr w:type="spellStart"/>
            <w:r>
              <w:rPr>
                <w:rFonts w:ascii="Arial" w:hAnsi="Arial" w:cs="Arial"/>
                <w:bCs/>
                <w:lang w:val="el-GR"/>
              </w:rPr>
              <w:t>Ανωτάτου</w:t>
            </w:r>
            <w:proofErr w:type="spellEnd"/>
            <w:r>
              <w:rPr>
                <w:rFonts w:ascii="Arial" w:hAnsi="Arial" w:cs="Arial"/>
                <w:bCs/>
                <w:lang w:val="el-GR"/>
              </w:rPr>
              <w:t xml:space="preserve"> Συνταγματικού Δικαστηρίου και του </w:t>
            </w:r>
            <w:proofErr w:type="spellStart"/>
            <w:r>
              <w:rPr>
                <w:rFonts w:ascii="Arial" w:hAnsi="Arial" w:cs="Arial"/>
                <w:bCs/>
                <w:lang w:val="el-GR"/>
              </w:rPr>
              <w:t>Ανωτάτου</w:t>
            </w:r>
            <w:proofErr w:type="spellEnd"/>
            <w:r>
              <w:rPr>
                <w:rFonts w:ascii="Arial" w:hAnsi="Arial" w:cs="Arial"/>
                <w:bCs/>
                <w:lang w:val="el-GR"/>
              </w:rPr>
              <w:t xml:space="preserve"> Δικαστηρίου</w:t>
            </w:r>
            <w:r w:rsidRPr="00A0652B">
              <w:rPr>
                <w:rFonts w:ascii="Arial" w:hAnsi="Arial" w:cs="Arial"/>
                <w:bCs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lang w:val="el-GR"/>
              </w:rPr>
              <w:t>σύμφωνα με τις διατάξεις του Συντάγματος και</w:t>
            </w:r>
            <w:r w:rsidR="00F6073C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κατά συνέπεια</w:t>
            </w:r>
            <w:r w:rsidR="00F6073C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F410AA">
              <w:rPr>
                <w:rFonts w:ascii="Arial" w:hAnsi="Arial" w:cs="Arial"/>
                <w:bCs/>
                <w:lang w:val="el-GR"/>
              </w:rPr>
              <w:t>κάθε</w:t>
            </w:r>
            <w:r>
              <w:rPr>
                <w:rFonts w:ascii="Arial" w:hAnsi="Arial" w:cs="Arial"/>
                <w:bCs/>
                <w:lang w:val="el-GR"/>
              </w:rPr>
              <w:t xml:space="preserve"> νομοθετική ρύθμιση που αποκλίνει από τις συνταγματικές διατάξεις για τα εν </w:t>
            </w:r>
            <w:r>
              <w:rPr>
                <w:rFonts w:ascii="Arial" w:hAnsi="Arial" w:cs="Arial"/>
                <w:bCs/>
                <w:lang w:val="el-GR"/>
              </w:rPr>
              <w:lastRenderedPageBreak/>
              <w:t xml:space="preserve">λόγω </w:t>
            </w:r>
            <w:r w:rsidR="00B44A77">
              <w:rPr>
                <w:rFonts w:ascii="Arial" w:hAnsi="Arial" w:cs="Arial"/>
                <w:bCs/>
                <w:lang w:val="el-GR"/>
              </w:rPr>
              <w:t>δ</w:t>
            </w:r>
            <w:r>
              <w:rPr>
                <w:rFonts w:ascii="Arial" w:hAnsi="Arial" w:cs="Arial"/>
                <w:bCs/>
                <w:lang w:val="el-GR"/>
              </w:rPr>
              <w:t xml:space="preserve">ικαστήρια εξακολουθεί να δικαιολογείται από το </w:t>
            </w:r>
            <w:r w:rsidR="00B44A77">
              <w:rPr>
                <w:rFonts w:ascii="Arial" w:hAnsi="Arial" w:cs="Arial"/>
                <w:bCs/>
                <w:lang w:val="el-GR"/>
              </w:rPr>
              <w:t>δ</w:t>
            </w:r>
            <w:r>
              <w:rPr>
                <w:rFonts w:ascii="Arial" w:hAnsi="Arial" w:cs="Arial"/>
                <w:bCs/>
                <w:lang w:val="el-GR"/>
              </w:rPr>
              <w:t xml:space="preserve">ίκαιο της </w:t>
            </w:r>
            <w:r w:rsidR="00B44A77">
              <w:rPr>
                <w:rFonts w:ascii="Arial" w:hAnsi="Arial" w:cs="Arial"/>
                <w:bCs/>
                <w:lang w:val="el-GR"/>
              </w:rPr>
              <w:t>α</w:t>
            </w:r>
            <w:r>
              <w:rPr>
                <w:rFonts w:ascii="Arial" w:hAnsi="Arial" w:cs="Arial"/>
                <w:bCs/>
                <w:lang w:val="el-GR"/>
              </w:rPr>
              <w:t xml:space="preserve">νάγκης, </w:t>
            </w:r>
          </w:p>
          <w:p w14:paraId="4D810E17" w14:textId="77777777" w:rsidR="00BC3AE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6B0673CD" w14:textId="616D6FFC" w:rsidR="00DB6EC5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ΚΑΙ ΕΠΕΙΔΗ</w:t>
            </w:r>
            <w:r w:rsidR="00FB37C1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135EF8">
              <w:rPr>
                <w:rFonts w:ascii="Arial" w:hAnsi="Arial" w:cs="Arial"/>
                <w:bCs/>
                <w:lang w:val="el-GR"/>
              </w:rPr>
              <w:t xml:space="preserve">η </w:t>
            </w:r>
            <w:r>
              <w:rPr>
                <w:rFonts w:ascii="Arial" w:hAnsi="Arial" w:cs="Arial"/>
                <w:bCs/>
                <w:lang w:val="el-GR"/>
              </w:rPr>
              <w:t>συγχώνευση των δύο αν</w:t>
            </w:r>
            <w:r w:rsidR="00135EF8">
              <w:rPr>
                <w:rFonts w:ascii="Arial" w:hAnsi="Arial" w:cs="Arial"/>
                <w:bCs/>
                <w:lang w:val="el-GR"/>
              </w:rPr>
              <w:t>ώ</w:t>
            </w:r>
            <w:r>
              <w:rPr>
                <w:rFonts w:ascii="Arial" w:hAnsi="Arial" w:cs="Arial"/>
                <w:bCs/>
                <w:lang w:val="el-GR"/>
              </w:rPr>
              <w:t>τ</w:t>
            </w:r>
            <w:r w:rsidR="00135EF8">
              <w:rPr>
                <w:rFonts w:ascii="Arial" w:hAnsi="Arial" w:cs="Arial"/>
                <w:bCs/>
                <w:lang w:val="el-GR"/>
              </w:rPr>
              <w:t>α</w:t>
            </w:r>
            <w:r>
              <w:rPr>
                <w:rFonts w:ascii="Arial" w:hAnsi="Arial" w:cs="Arial"/>
                <w:bCs/>
                <w:lang w:val="el-GR"/>
              </w:rPr>
              <w:t xml:space="preserve">των δικαιοδοτικών οργάνων του Συντάγματος στο </w:t>
            </w:r>
            <w:proofErr w:type="spellStart"/>
            <w:r w:rsidR="00135EF8">
              <w:rPr>
                <w:rFonts w:ascii="Arial" w:hAnsi="Arial" w:cs="Arial"/>
                <w:bCs/>
                <w:lang w:val="el-GR"/>
              </w:rPr>
              <w:t>καθιδρυθέν</w:t>
            </w:r>
            <w:proofErr w:type="spellEnd"/>
            <w:r w:rsidR="00135EF8">
              <w:rPr>
                <w:rFonts w:ascii="Arial" w:hAnsi="Arial" w:cs="Arial"/>
                <w:bCs/>
                <w:lang w:val="el-GR"/>
              </w:rPr>
              <w:t xml:space="preserve"> υπό των περί Απονομής της Δικαιοσύνης (</w:t>
            </w:r>
            <w:proofErr w:type="spellStart"/>
            <w:r w:rsidR="00135EF8">
              <w:rPr>
                <w:rFonts w:ascii="Arial" w:hAnsi="Arial" w:cs="Arial"/>
                <w:bCs/>
                <w:lang w:val="el-GR"/>
              </w:rPr>
              <w:t>Ποικίλαι</w:t>
            </w:r>
            <w:proofErr w:type="spellEnd"/>
            <w:r w:rsidR="00135EF8">
              <w:rPr>
                <w:rFonts w:ascii="Arial" w:hAnsi="Arial" w:cs="Arial"/>
                <w:bCs/>
                <w:lang w:val="el-GR"/>
              </w:rPr>
              <w:t xml:space="preserve"> Διατάξεις) Νόμων του 1964 έως 2015 </w:t>
            </w:r>
            <w:r>
              <w:rPr>
                <w:rFonts w:ascii="Arial" w:hAnsi="Arial" w:cs="Arial"/>
                <w:bCs/>
                <w:lang w:val="el-GR"/>
              </w:rPr>
              <w:t xml:space="preserve">Ανώτατο Δικαστήριο </w:t>
            </w:r>
            <w:r w:rsidR="00135EF8">
              <w:rPr>
                <w:rFonts w:ascii="Arial" w:hAnsi="Arial" w:cs="Arial"/>
                <w:bCs/>
                <w:lang w:val="el-GR"/>
              </w:rPr>
              <w:t xml:space="preserve">έχει ως αποτέλεσμα τη συγκέντρωση </w:t>
            </w:r>
            <w:r w:rsidR="004D66B0">
              <w:rPr>
                <w:rFonts w:ascii="Arial" w:hAnsi="Arial" w:cs="Arial"/>
                <w:bCs/>
                <w:lang w:val="el-GR"/>
              </w:rPr>
              <w:t>μεγάλο</w:t>
            </w:r>
            <w:r w:rsidR="00135EF8">
              <w:rPr>
                <w:rFonts w:ascii="Arial" w:hAnsi="Arial" w:cs="Arial"/>
                <w:bCs/>
                <w:lang w:val="el-GR"/>
              </w:rPr>
              <w:t>υ</w:t>
            </w:r>
            <w:r w:rsidR="004D66B0">
              <w:rPr>
                <w:rFonts w:ascii="Arial" w:hAnsi="Arial" w:cs="Arial"/>
                <w:bCs/>
                <w:lang w:val="el-GR"/>
              </w:rPr>
              <w:t xml:space="preserve"> εύρο</w:t>
            </w:r>
            <w:r w:rsidR="00135EF8">
              <w:rPr>
                <w:rFonts w:ascii="Arial" w:hAnsi="Arial" w:cs="Arial"/>
                <w:bCs/>
                <w:lang w:val="el-GR"/>
              </w:rPr>
              <w:t>υ</w:t>
            </w:r>
            <w:r w:rsidR="004D66B0">
              <w:rPr>
                <w:rFonts w:ascii="Arial" w:hAnsi="Arial" w:cs="Arial"/>
                <w:bCs/>
                <w:lang w:val="el-GR"/>
              </w:rPr>
              <w:t>ς δικαιοδοσίας,</w:t>
            </w:r>
            <w:r w:rsidR="00BE4FA1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F6073C">
              <w:rPr>
                <w:rFonts w:ascii="Arial" w:hAnsi="Arial" w:cs="Arial"/>
                <w:bCs/>
                <w:lang w:val="el-GR"/>
              </w:rPr>
              <w:t xml:space="preserve">αρμοδιοτήτων </w:t>
            </w:r>
            <w:r w:rsidR="00135EF8">
              <w:rPr>
                <w:rFonts w:ascii="Arial" w:hAnsi="Arial" w:cs="Arial"/>
                <w:bCs/>
                <w:lang w:val="el-GR"/>
              </w:rPr>
              <w:t>και ευθυνών σ</w:t>
            </w:r>
            <w:r w:rsidR="00F6073C">
              <w:rPr>
                <w:rFonts w:ascii="Arial" w:hAnsi="Arial" w:cs="Arial"/>
                <w:bCs/>
                <w:lang w:val="el-GR"/>
              </w:rPr>
              <w:t>τ</w:t>
            </w:r>
            <w:r w:rsidR="00135EF8">
              <w:rPr>
                <w:rFonts w:ascii="Arial" w:hAnsi="Arial" w:cs="Arial"/>
                <w:bCs/>
                <w:lang w:val="el-GR"/>
              </w:rPr>
              <w:t>ο δικαστήριο αυτό</w:t>
            </w:r>
            <w:r w:rsidR="001506B7">
              <w:rPr>
                <w:rFonts w:ascii="Arial" w:hAnsi="Arial" w:cs="Arial"/>
                <w:bCs/>
                <w:lang w:val="el-GR"/>
              </w:rPr>
              <w:t xml:space="preserve">, </w:t>
            </w:r>
          </w:p>
          <w:p w14:paraId="71956B71" w14:textId="77777777" w:rsidR="00DB6EC5" w:rsidRDefault="00DB6EC5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384AB62C" w14:textId="70917A1A" w:rsidR="00DB6EC5" w:rsidRDefault="00DB6EC5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ΚΑΙ ΕΠΕΙΔΗ</w:t>
            </w:r>
            <w:r w:rsidR="00A52D5E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κανένα δικαστικό όργανο</w:t>
            </w:r>
            <w:r w:rsidR="00135EF8">
              <w:rPr>
                <w:rFonts w:ascii="Arial" w:hAnsi="Arial" w:cs="Arial"/>
                <w:bCs/>
                <w:lang w:val="el-GR"/>
              </w:rPr>
              <w:t xml:space="preserve">, ανεξαρτήτως του </w:t>
            </w:r>
            <w:r>
              <w:rPr>
                <w:rFonts w:ascii="Arial" w:hAnsi="Arial" w:cs="Arial"/>
                <w:bCs/>
                <w:lang w:val="el-GR"/>
              </w:rPr>
              <w:t>υψηλ</w:t>
            </w:r>
            <w:r w:rsidR="00135EF8">
              <w:rPr>
                <w:rFonts w:ascii="Arial" w:hAnsi="Arial" w:cs="Arial"/>
                <w:bCs/>
                <w:lang w:val="el-GR"/>
              </w:rPr>
              <w:t xml:space="preserve">ού επιπέδου </w:t>
            </w:r>
            <w:r>
              <w:rPr>
                <w:rFonts w:ascii="Arial" w:hAnsi="Arial" w:cs="Arial"/>
                <w:bCs/>
                <w:lang w:val="el-GR"/>
              </w:rPr>
              <w:t>ανεξαρτησίας του</w:t>
            </w:r>
            <w:r w:rsidR="00135EF8">
              <w:rPr>
                <w:rFonts w:ascii="Arial" w:hAnsi="Arial" w:cs="Arial"/>
                <w:bCs/>
                <w:lang w:val="el-GR"/>
              </w:rPr>
              <w:t xml:space="preserve">, </w:t>
            </w:r>
            <w:r w:rsidR="00F6073C">
              <w:rPr>
                <w:rFonts w:ascii="Arial" w:hAnsi="Arial" w:cs="Arial"/>
                <w:bCs/>
                <w:lang w:val="el-GR"/>
              </w:rPr>
              <w:t xml:space="preserve">δεν πρέπει να </w:t>
            </w:r>
            <w:r w:rsidR="00135EF8">
              <w:rPr>
                <w:rFonts w:ascii="Arial" w:hAnsi="Arial" w:cs="Arial"/>
                <w:bCs/>
                <w:lang w:val="el-GR"/>
              </w:rPr>
              <w:t>συγκεντρώνει τέτοιο</w:t>
            </w:r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4D66B0">
              <w:rPr>
                <w:rFonts w:ascii="Arial" w:hAnsi="Arial" w:cs="Arial"/>
                <w:bCs/>
                <w:lang w:val="el-GR"/>
              </w:rPr>
              <w:t xml:space="preserve">εύρος δικαιοδοσίας, </w:t>
            </w:r>
            <w:r w:rsidR="00F6073C">
              <w:rPr>
                <w:rFonts w:ascii="Arial" w:hAnsi="Arial" w:cs="Arial"/>
                <w:bCs/>
                <w:lang w:val="el-GR"/>
              </w:rPr>
              <w:t xml:space="preserve">αρμοδιοτήτων </w:t>
            </w:r>
            <w:r>
              <w:rPr>
                <w:rFonts w:ascii="Arial" w:hAnsi="Arial" w:cs="Arial"/>
                <w:bCs/>
                <w:lang w:val="el-GR"/>
              </w:rPr>
              <w:t>και ευθυνών,</w:t>
            </w:r>
            <w:r w:rsidR="00BE4FA1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135EF8">
              <w:rPr>
                <w:rFonts w:ascii="Arial" w:hAnsi="Arial" w:cs="Arial"/>
                <w:bCs/>
                <w:lang w:val="el-GR"/>
              </w:rPr>
              <w:t xml:space="preserve">όπως </w:t>
            </w:r>
            <w:r w:rsidR="003664BE">
              <w:rPr>
                <w:rFonts w:ascii="Arial" w:hAnsi="Arial" w:cs="Arial"/>
                <w:bCs/>
                <w:lang w:val="el-GR"/>
              </w:rPr>
              <w:t>επισημαίνεται από την Ευρωπαϊκή Επιτροπή για τη Δημοκρατία μέσω του Νόμου (</w:t>
            </w:r>
            <w:r w:rsidR="00135EF8">
              <w:rPr>
                <w:rFonts w:ascii="Arial" w:hAnsi="Arial" w:cs="Arial"/>
                <w:bCs/>
                <w:lang w:val="el-GR"/>
              </w:rPr>
              <w:t xml:space="preserve">καλούμενη </w:t>
            </w:r>
            <w:r w:rsidR="00F6073C">
              <w:rPr>
                <w:rFonts w:ascii="Arial" w:hAnsi="Arial" w:cs="Arial"/>
                <w:bCs/>
                <w:lang w:val="el-GR"/>
              </w:rPr>
              <w:t>«</w:t>
            </w:r>
            <w:r w:rsidR="003664BE">
              <w:rPr>
                <w:rFonts w:ascii="Arial" w:hAnsi="Arial" w:cs="Arial"/>
                <w:bCs/>
                <w:lang w:val="el-GR"/>
              </w:rPr>
              <w:t>Επιτροπή Βενετίας</w:t>
            </w:r>
            <w:r w:rsidR="00F6073C">
              <w:rPr>
                <w:rFonts w:ascii="Arial" w:hAnsi="Arial" w:cs="Arial"/>
                <w:bCs/>
                <w:lang w:val="el-GR"/>
              </w:rPr>
              <w:t>»</w:t>
            </w:r>
            <w:r w:rsidR="003664BE">
              <w:rPr>
                <w:rFonts w:ascii="Arial" w:hAnsi="Arial" w:cs="Arial"/>
                <w:bCs/>
                <w:lang w:val="el-GR"/>
              </w:rPr>
              <w:t>),</w:t>
            </w:r>
          </w:p>
          <w:p w14:paraId="44745930" w14:textId="77777777" w:rsidR="008B7C3E" w:rsidRPr="000B491F" w:rsidRDefault="008B7C3E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253B94FF" w14:textId="624EC8F5" w:rsidR="00BC3AE9" w:rsidRDefault="00DB6EC5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ΚΑΙ ΕΠΕΙΔΗ</w:t>
            </w:r>
            <w:r w:rsidR="00B375A4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BC3AE9">
              <w:rPr>
                <w:rFonts w:ascii="Arial" w:hAnsi="Arial" w:cs="Arial"/>
                <w:bCs/>
                <w:lang w:val="el-GR"/>
              </w:rPr>
              <w:t xml:space="preserve">η λειτουργία  </w:t>
            </w:r>
            <w:proofErr w:type="spellStart"/>
            <w:r w:rsidR="00BC3AE9">
              <w:rPr>
                <w:rFonts w:ascii="Arial" w:hAnsi="Arial" w:cs="Arial"/>
                <w:bCs/>
                <w:lang w:val="el-GR"/>
              </w:rPr>
              <w:t>Ανωτάτου</w:t>
            </w:r>
            <w:proofErr w:type="spellEnd"/>
            <w:r w:rsidR="00BC3AE9">
              <w:rPr>
                <w:rFonts w:ascii="Arial" w:hAnsi="Arial" w:cs="Arial"/>
                <w:bCs/>
                <w:lang w:val="el-GR"/>
              </w:rPr>
              <w:t xml:space="preserve"> Συνταγματικού Δικαστηρίου και  </w:t>
            </w:r>
            <w:proofErr w:type="spellStart"/>
            <w:r w:rsidR="00BC3AE9">
              <w:rPr>
                <w:rFonts w:ascii="Arial" w:hAnsi="Arial" w:cs="Arial"/>
                <w:bCs/>
                <w:lang w:val="el-GR"/>
              </w:rPr>
              <w:t>Ανωτάτου</w:t>
            </w:r>
            <w:proofErr w:type="spellEnd"/>
            <w:r w:rsidR="00BC3AE9">
              <w:rPr>
                <w:rFonts w:ascii="Arial" w:hAnsi="Arial" w:cs="Arial"/>
                <w:bCs/>
                <w:lang w:val="el-GR"/>
              </w:rPr>
              <w:t xml:space="preserve"> Δικαστηρίου </w:t>
            </w:r>
            <w:r w:rsidR="00B375A4">
              <w:rPr>
                <w:rFonts w:ascii="Arial" w:hAnsi="Arial" w:cs="Arial"/>
                <w:bCs/>
                <w:lang w:val="el-GR"/>
              </w:rPr>
              <w:t xml:space="preserve">χρήζει </w:t>
            </w:r>
            <w:r w:rsidR="00BC3AE9">
              <w:rPr>
                <w:rFonts w:ascii="Arial" w:hAnsi="Arial" w:cs="Arial"/>
                <w:bCs/>
                <w:lang w:val="el-GR"/>
              </w:rPr>
              <w:t xml:space="preserve">παράλληλα </w:t>
            </w:r>
            <w:r w:rsidR="00B375A4">
              <w:rPr>
                <w:rFonts w:ascii="Arial" w:hAnsi="Arial" w:cs="Arial"/>
                <w:bCs/>
                <w:lang w:val="el-GR"/>
              </w:rPr>
              <w:t xml:space="preserve">στήριξης </w:t>
            </w:r>
            <w:r w:rsidR="00BC3AE9">
              <w:rPr>
                <w:rFonts w:ascii="Arial" w:hAnsi="Arial" w:cs="Arial"/>
                <w:bCs/>
                <w:lang w:val="el-GR"/>
              </w:rPr>
              <w:t>με ρυθμίσεις που</w:t>
            </w:r>
            <w:r w:rsidR="00B375A4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762B54">
              <w:rPr>
                <w:rFonts w:ascii="Arial" w:hAnsi="Arial" w:cs="Arial"/>
                <w:bCs/>
                <w:lang w:val="el-GR"/>
              </w:rPr>
              <w:t xml:space="preserve">να </w:t>
            </w:r>
            <w:r w:rsidR="003A0D95">
              <w:rPr>
                <w:rFonts w:ascii="Arial" w:hAnsi="Arial" w:cs="Arial"/>
                <w:bCs/>
                <w:lang w:val="el-GR"/>
              </w:rPr>
              <w:t>δι</w:t>
            </w:r>
            <w:r w:rsidR="00BC3AE9">
              <w:rPr>
                <w:rFonts w:ascii="Arial" w:hAnsi="Arial" w:cs="Arial"/>
                <w:bCs/>
                <w:lang w:val="el-GR"/>
              </w:rPr>
              <w:t>ασφαλίζουν</w:t>
            </w:r>
            <w:r w:rsidR="00A52D5E">
              <w:rPr>
                <w:rFonts w:ascii="Arial" w:hAnsi="Arial" w:cs="Arial"/>
                <w:bCs/>
                <w:lang w:val="el-GR"/>
              </w:rPr>
              <w:t xml:space="preserve"> την</w:t>
            </w:r>
            <w:r w:rsidR="00BC3AE9">
              <w:rPr>
                <w:rFonts w:ascii="Arial" w:hAnsi="Arial" w:cs="Arial"/>
                <w:bCs/>
                <w:lang w:val="el-GR"/>
              </w:rPr>
              <w:t xml:space="preserve"> πραγματικά αποτελεσματική απονομή της δικαιοσύνης</w:t>
            </w:r>
            <w:r w:rsidR="00B375A4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BC3AE9">
              <w:rPr>
                <w:rFonts w:ascii="Arial" w:hAnsi="Arial" w:cs="Arial"/>
                <w:bCs/>
                <w:lang w:val="el-GR"/>
              </w:rPr>
              <w:t xml:space="preserve">και </w:t>
            </w:r>
            <w:r w:rsidR="00762B54">
              <w:rPr>
                <w:rFonts w:ascii="Arial" w:hAnsi="Arial" w:cs="Arial"/>
                <w:bCs/>
                <w:lang w:val="el-GR"/>
              </w:rPr>
              <w:t xml:space="preserve">να </w:t>
            </w:r>
            <w:r w:rsidR="00BC3AE9">
              <w:rPr>
                <w:rFonts w:ascii="Arial" w:hAnsi="Arial" w:cs="Arial"/>
                <w:bCs/>
                <w:lang w:val="el-GR"/>
              </w:rPr>
              <w:t xml:space="preserve">ανταποκρίνονται στις απαιτήσεις ενός σύγχρονου </w:t>
            </w:r>
            <w:r w:rsidR="00B375A4">
              <w:rPr>
                <w:rFonts w:ascii="Arial" w:hAnsi="Arial" w:cs="Arial"/>
                <w:bCs/>
                <w:lang w:val="el-GR"/>
              </w:rPr>
              <w:t>κ</w:t>
            </w:r>
            <w:r w:rsidR="00BC3AE9">
              <w:rPr>
                <w:rFonts w:ascii="Arial" w:hAnsi="Arial" w:cs="Arial"/>
                <w:bCs/>
                <w:lang w:val="el-GR"/>
              </w:rPr>
              <w:t>ράτους</w:t>
            </w:r>
            <w:r w:rsidR="000B491F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B375A4">
              <w:rPr>
                <w:rFonts w:ascii="Arial" w:hAnsi="Arial" w:cs="Arial"/>
                <w:bCs/>
                <w:lang w:val="el-GR"/>
              </w:rPr>
              <w:t>δ</w:t>
            </w:r>
            <w:r w:rsidR="00BC3AE9">
              <w:rPr>
                <w:rFonts w:ascii="Arial" w:hAnsi="Arial" w:cs="Arial"/>
                <w:bCs/>
                <w:lang w:val="el-GR"/>
              </w:rPr>
              <w:t>ικαίου,</w:t>
            </w:r>
          </w:p>
          <w:p w14:paraId="79CFBA66" w14:textId="77777777" w:rsidR="00B70975" w:rsidRDefault="00B70975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312ECB00" w14:textId="2A68E33F" w:rsidR="00BC3AE9" w:rsidRDefault="00B70975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ΚΑΙ ΕΠΕΙΔΗ</w:t>
            </w:r>
            <w:r w:rsidR="00A52D5E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η δημιουργία </w:t>
            </w:r>
            <w:r w:rsidR="005B30E0">
              <w:rPr>
                <w:rFonts w:ascii="Arial" w:hAnsi="Arial" w:cs="Arial"/>
                <w:bCs/>
                <w:lang w:val="el-GR"/>
              </w:rPr>
              <w:t>δευτεροβάθμιου δικαστικού</w:t>
            </w:r>
            <w:r>
              <w:rPr>
                <w:rFonts w:ascii="Arial" w:hAnsi="Arial" w:cs="Arial"/>
                <w:bCs/>
                <w:lang w:val="el-GR"/>
              </w:rPr>
              <w:t xml:space="preserve"> οργάνου ως ξεχωριστού θεσμικού οργάνου </w:t>
            </w:r>
            <w:r w:rsidR="005B30E0">
              <w:rPr>
                <w:rFonts w:ascii="Arial" w:hAnsi="Arial" w:cs="Arial"/>
                <w:bCs/>
                <w:lang w:val="el-GR"/>
              </w:rPr>
              <w:t xml:space="preserve">τείνει να </w:t>
            </w:r>
            <w:r>
              <w:rPr>
                <w:rFonts w:ascii="Arial" w:hAnsi="Arial" w:cs="Arial"/>
                <w:bCs/>
                <w:lang w:val="el-GR"/>
              </w:rPr>
              <w:t>διευκολύνει τη</w:t>
            </w:r>
            <w:r w:rsidR="00857B9A">
              <w:rPr>
                <w:rFonts w:ascii="Arial" w:hAnsi="Arial" w:cs="Arial"/>
                <w:bCs/>
                <w:lang w:val="el-GR"/>
              </w:rPr>
              <w:t>ν</w:t>
            </w:r>
            <w:r>
              <w:rPr>
                <w:rFonts w:ascii="Arial" w:hAnsi="Arial" w:cs="Arial"/>
                <w:bCs/>
                <w:lang w:val="el-GR"/>
              </w:rPr>
              <w:t xml:space="preserve"> προώθηση και την ασφάλεια του κράτους δικαίου κατά την εφαρμογή αυτού σε μια δεδομένη χώρα,</w:t>
            </w:r>
            <w:r w:rsidR="003664BE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5B30E0">
              <w:rPr>
                <w:rFonts w:ascii="Arial" w:hAnsi="Arial" w:cs="Arial"/>
                <w:bCs/>
                <w:lang w:val="el-GR"/>
              </w:rPr>
              <w:t xml:space="preserve">όπως </w:t>
            </w:r>
            <w:r w:rsidR="003664BE">
              <w:rPr>
                <w:rFonts w:ascii="Arial" w:hAnsi="Arial" w:cs="Arial"/>
                <w:bCs/>
                <w:lang w:val="el-GR"/>
              </w:rPr>
              <w:t>επισημαίνεται από την Επιτροπή Βενετίας,</w:t>
            </w:r>
          </w:p>
          <w:p w14:paraId="6B2E80DC" w14:textId="77777777" w:rsidR="00857B9A" w:rsidRDefault="00857B9A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72126B29" w14:textId="5890E0DD" w:rsidR="00BC3AE9" w:rsidRPr="00B21FA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 xml:space="preserve">ΚΑΙ ΕΠΕΙΔΗ, </w:t>
            </w:r>
            <w:r w:rsidR="005B30E0">
              <w:rPr>
                <w:rFonts w:ascii="Arial" w:hAnsi="Arial" w:cs="Arial"/>
                <w:bCs/>
                <w:lang w:val="el-GR"/>
              </w:rPr>
              <w:t>για τους πιο πάνω λόγους</w:t>
            </w:r>
            <w:r>
              <w:rPr>
                <w:rFonts w:ascii="Arial" w:hAnsi="Arial" w:cs="Arial"/>
                <w:bCs/>
                <w:lang w:val="el-GR"/>
              </w:rPr>
              <w:t xml:space="preserve">, είναι αναγκαίο όπως </w:t>
            </w:r>
            <w:r w:rsidR="005B30E0">
              <w:rPr>
                <w:rFonts w:ascii="Arial" w:hAnsi="Arial" w:cs="Arial"/>
                <w:bCs/>
                <w:lang w:val="el-GR"/>
              </w:rPr>
              <w:t xml:space="preserve">καθιδρυθεί </w:t>
            </w:r>
            <w:r>
              <w:rPr>
                <w:rFonts w:ascii="Arial" w:hAnsi="Arial" w:cs="Arial"/>
                <w:bCs/>
                <w:lang w:val="el-GR"/>
              </w:rPr>
              <w:t>Εφετείο</w:t>
            </w:r>
            <w:r w:rsidR="00F86DE8">
              <w:rPr>
                <w:rFonts w:ascii="Arial" w:hAnsi="Arial" w:cs="Arial"/>
                <w:bCs/>
                <w:lang w:val="el-GR"/>
              </w:rPr>
              <w:t xml:space="preserve"> ως δευτεροβάθμιο δικαστήριο</w:t>
            </w:r>
            <w:r>
              <w:rPr>
                <w:rFonts w:ascii="Arial" w:hAnsi="Arial" w:cs="Arial"/>
                <w:bCs/>
                <w:lang w:val="el-GR"/>
              </w:rPr>
              <w:t>,</w:t>
            </w:r>
          </w:p>
          <w:p w14:paraId="47A5EBD2" w14:textId="77777777" w:rsidR="00BC3AE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4354AEBB" w14:textId="750A32BD" w:rsidR="00BC3AE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lastRenderedPageBreak/>
              <w:t>ΚΑΙ ΕΠΕΙΔΗ</w:t>
            </w:r>
            <w:r w:rsidR="00762B54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είναι αναγκαίο </w:t>
            </w:r>
            <w:r w:rsidR="00280096">
              <w:rPr>
                <w:rFonts w:ascii="Arial" w:hAnsi="Arial" w:cs="Arial"/>
                <w:bCs/>
                <w:lang w:val="el-GR"/>
              </w:rPr>
              <w:t xml:space="preserve">όπως </w:t>
            </w:r>
            <w:r>
              <w:rPr>
                <w:rFonts w:ascii="Arial" w:hAnsi="Arial" w:cs="Arial"/>
                <w:bCs/>
                <w:lang w:val="el-GR"/>
              </w:rPr>
              <w:t xml:space="preserve">προβλεφθεί </w:t>
            </w:r>
            <w:r w:rsidR="00762B54">
              <w:rPr>
                <w:rFonts w:ascii="Arial" w:hAnsi="Arial" w:cs="Arial"/>
                <w:bCs/>
                <w:lang w:val="el-GR"/>
              </w:rPr>
              <w:t xml:space="preserve">τρίτος βαθμός δικαιοδοσίας για </w:t>
            </w:r>
            <w:r>
              <w:rPr>
                <w:rFonts w:ascii="Arial" w:hAnsi="Arial" w:cs="Arial"/>
                <w:bCs/>
                <w:lang w:val="el-GR"/>
              </w:rPr>
              <w:t xml:space="preserve">ορισμένες περιπτώσεις, ώστε να </w:t>
            </w:r>
            <w:r w:rsidR="003A0D95">
              <w:rPr>
                <w:rFonts w:ascii="Arial" w:hAnsi="Arial" w:cs="Arial"/>
                <w:bCs/>
                <w:lang w:val="el-GR"/>
              </w:rPr>
              <w:t>δι</w:t>
            </w:r>
            <w:r>
              <w:rPr>
                <w:rFonts w:ascii="Arial" w:hAnsi="Arial" w:cs="Arial"/>
                <w:bCs/>
                <w:lang w:val="el-GR"/>
              </w:rPr>
              <w:t xml:space="preserve">ασφαλίζεται ενιαία η ορθή </w:t>
            </w:r>
            <w:r w:rsidR="000D4FF0">
              <w:rPr>
                <w:rFonts w:ascii="Arial" w:hAnsi="Arial" w:cs="Arial"/>
                <w:bCs/>
                <w:lang w:val="el-GR"/>
              </w:rPr>
              <w:t>ερμηνε</w:t>
            </w:r>
            <w:r w:rsidR="00FC2BA1">
              <w:rPr>
                <w:rFonts w:ascii="Arial" w:hAnsi="Arial" w:cs="Arial"/>
                <w:bCs/>
                <w:lang w:val="el-GR"/>
              </w:rPr>
              <w:t>ία</w:t>
            </w:r>
            <w:r>
              <w:rPr>
                <w:rFonts w:ascii="Arial" w:hAnsi="Arial" w:cs="Arial"/>
                <w:bCs/>
                <w:lang w:val="el-GR"/>
              </w:rPr>
              <w:t xml:space="preserve"> τ</w:t>
            </w:r>
            <w:r w:rsidR="00280096">
              <w:rPr>
                <w:rFonts w:ascii="Arial" w:hAnsi="Arial" w:cs="Arial"/>
                <w:bCs/>
                <w:lang w:val="el-GR"/>
              </w:rPr>
              <w:t>ων</w:t>
            </w:r>
            <w:r>
              <w:rPr>
                <w:rFonts w:ascii="Arial" w:hAnsi="Arial" w:cs="Arial"/>
                <w:bCs/>
                <w:lang w:val="el-GR"/>
              </w:rPr>
              <w:t xml:space="preserve"> νόμ</w:t>
            </w:r>
            <w:r w:rsidR="00280096">
              <w:rPr>
                <w:rFonts w:ascii="Arial" w:hAnsi="Arial" w:cs="Arial"/>
                <w:bCs/>
                <w:lang w:val="el-GR"/>
              </w:rPr>
              <w:t>ων</w:t>
            </w:r>
            <w:r>
              <w:rPr>
                <w:rFonts w:ascii="Arial" w:hAnsi="Arial" w:cs="Arial"/>
                <w:bCs/>
                <w:lang w:val="el-GR"/>
              </w:rPr>
              <w:t>, η συνοχή και εξέλιξη της νομολογίας και</w:t>
            </w:r>
            <w:r w:rsidR="00762B54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επομένως</w:t>
            </w:r>
            <w:r w:rsidR="00762B54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η ασφάλεια του δικαίου,</w:t>
            </w:r>
          </w:p>
          <w:p w14:paraId="22C014CD" w14:textId="77777777" w:rsidR="00BC3AE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3DEAC049" w14:textId="3DDEAA04" w:rsidR="00BA4846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 xml:space="preserve">ΚΑΙ ΕΠΕΙΔΗ, </w:t>
            </w:r>
            <w:r w:rsidR="00E86049">
              <w:rPr>
                <w:rFonts w:ascii="Arial" w:hAnsi="Arial" w:cs="Arial"/>
                <w:bCs/>
                <w:lang w:val="el-GR"/>
              </w:rPr>
              <w:t xml:space="preserve">επιπροσθέτως απαιτείται η διασφάλιση του </w:t>
            </w:r>
            <w:r>
              <w:rPr>
                <w:rFonts w:ascii="Arial" w:hAnsi="Arial" w:cs="Arial"/>
                <w:bCs/>
                <w:lang w:val="el-GR"/>
              </w:rPr>
              <w:t>αναγκαίο</w:t>
            </w:r>
            <w:r w:rsidR="00E86049">
              <w:rPr>
                <w:rFonts w:ascii="Arial" w:hAnsi="Arial" w:cs="Arial"/>
                <w:bCs/>
                <w:lang w:val="el-GR"/>
              </w:rPr>
              <w:t>υ</w:t>
            </w:r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="00E86049">
              <w:rPr>
                <w:rFonts w:ascii="Arial" w:hAnsi="Arial" w:cs="Arial"/>
                <w:bCs/>
                <w:lang w:val="el-GR"/>
              </w:rPr>
              <w:t>αλληλοελέγχου</w:t>
            </w:r>
            <w:proofErr w:type="spellEnd"/>
            <w:r w:rsidR="00E86049">
              <w:rPr>
                <w:rFonts w:ascii="Arial" w:hAnsi="Arial" w:cs="Arial"/>
                <w:bCs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lang w:val="el-GR"/>
              </w:rPr>
              <w:t xml:space="preserve">στην ανώτατη βαθμίδα της δομής της δικαιοσύνης, </w:t>
            </w:r>
            <w:r w:rsidR="00E86049">
              <w:rPr>
                <w:rFonts w:ascii="Arial" w:hAnsi="Arial" w:cs="Arial"/>
                <w:bCs/>
                <w:lang w:val="el-GR"/>
              </w:rPr>
              <w:t xml:space="preserve">ήτοι </w:t>
            </w:r>
            <w:r>
              <w:rPr>
                <w:rFonts w:ascii="Arial" w:hAnsi="Arial" w:cs="Arial"/>
                <w:bCs/>
                <w:lang w:val="el-GR"/>
              </w:rPr>
              <w:t xml:space="preserve">μεταξύ των </w:t>
            </w:r>
            <w:r w:rsidR="00E86049">
              <w:rPr>
                <w:rFonts w:ascii="Arial" w:hAnsi="Arial" w:cs="Arial"/>
                <w:bCs/>
                <w:lang w:val="el-GR"/>
              </w:rPr>
              <w:t>δ</w:t>
            </w:r>
            <w:r w:rsidR="000D4FF0">
              <w:rPr>
                <w:rFonts w:ascii="Arial" w:hAnsi="Arial" w:cs="Arial"/>
                <w:bCs/>
                <w:lang w:val="el-GR"/>
              </w:rPr>
              <w:t xml:space="preserve">ικαστών </w:t>
            </w:r>
            <w:r w:rsidR="00E86049">
              <w:rPr>
                <w:rFonts w:ascii="Arial" w:hAnsi="Arial" w:cs="Arial"/>
                <w:bCs/>
                <w:lang w:val="el-GR"/>
              </w:rPr>
              <w:t xml:space="preserve">του </w:t>
            </w:r>
            <w:proofErr w:type="spellStart"/>
            <w:r w:rsidR="00E86049">
              <w:rPr>
                <w:rFonts w:ascii="Arial" w:hAnsi="Arial" w:cs="Arial"/>
                <w:bCs/>
                <w:lang w:val="el-GR"/>
              </w:rPr>
              <w:t>Ανωτάτου</w:t>
            </w:r>
            <w:proofErr w:type="spellEnd"/>
            <w:r w:rsidR="00E86049">
              <w:rPr>
                <w:rFonts w:ascii="Arial" w:hAnsi="Arial" w:cs="Arial"/>
                <w:bCs/>
                <w:lang w:val="el-GR"/>
              </w:rPr>
              <w:t xml:space="preserve"> Συνταγματικού Δικαστηρίου και του </w:t>
            </w:r>
            <w:proofErr w:type="spellStart"/>
            <w:r w:rsidR="00E86049">
              <w:rPr>
                <w:rFonts w:ascii="Arial" w:hAnsi="Arial" w:cs="Arial"/>
                <w:bCs/>
                <w:lang w:val="el-GR"/>
              </w:rPr>
              <w:t>Ανωτάτου</w:t>
            </w:r>
            <w:proofErr w:type="spellEnd"/>
            <w:r w:rsidR="00E86049">
              <w:rPr>
                <w:rFonts w:ascii="Arial" w:hAnsi="Arial" w:cs="Arial"/>
                <w:bCs/>
                <w:lang w:val="el-GR"/>
              </w:rPr>
              <w:t xml:space="preserve"> Δικαστηρίου δυνάμει των διατάξεων των Άρθρων </w:t>
            </w:r>
            <w:r w:rsidR="000D4FF0">
              <w:rPr>
                <w:rFonts w:ascii="Arial" w:hAnsi="Arial" w:cs="Arial"/>
                <w:bCs/>
                <w:lang w:val="el-GR"/>
              </w:rPr>
              <w:t xml:space="preserve">133.8 και 153.8 του Συντάγματος, </w:t>
            </w:r>
          </w:p>
          <w:p w14:paraId="71DF72C1" w14:textId="77777777" w:rsidR="00BA4846" w:rsidRDefault="00BA4846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244245D5" w14:textId="047B51DA" w:rsidR="00BC3AE9" w:rsidRDefault="00BC3AE9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ΚΑΙ ΕΠΕΙΔΗ</w:t>
            </w:r>
            <w:r w:rsidR="00B37764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οι ως άνω σκοποί </w:t>
            </w:r>
            <w:r w:rsidR="00B80EDF">
              <w:rPr>
                <w:rFonts w:ascii="Arial" w:hAnsi="Arial" w:cs="Arial"/>
                <w:bCs/>
                <w:lang w:val="el-GR"/>
              </w:rPr>
              <w:t xml:space="preserve">δικαιολογούν </w:t>
            </w:r>
            <w:r w:rsidR="00FB37C1">
              <w:rPr>
                <w:rFonts w:ascii="Arial" w:hAnsi="Arial" w:cs="Arial"/>
                <w:bCs/>
                <w:lang w:val="el-GR"/>
              </w:rPr>
              <w:t xml:space="preserve">την επίκληση του </w:t>
            </w:r>
            <w:r w:rsidR="00B37764">
              <w:rPr>
                <w:rFonts w:ascii="Arial" w:hAnsi="Arial" w:cs="Arial"/>
                <w:bCs/>
                <w:lang w:val="el-GR"/>
              </w:rPr>
              <w:t>δ</w:t>
            </w:r>
            <w:r>
              <w:rPr>
                <w:rFonts w:ascii="Arial" w:hAnsi="Arial" w:cs="Arial"/>
                <w:bCs/>
                <w:lang w:val="el-GR"/>
              </w:rPr>
              <w:t xml:space="preserve">ικαίου της </w:t>
            </w:r>
            <w:r w:rsidR="00B37764">
              <w:rPr>
                <w:rFonts w:ascii="Arial" w:hAnsi="Arial" w:cs="Arial"/>
                <w:bCs/>
                <w:lang w:val="el-GR"/>
              </w:rPr>
              <w:t>α</w:t>
            </w:r>
            <w:r>
              <w:rPr>
                <w:rFonts w:ascii="Arial" w:hAnsi="Arial" w:cs="Arial"/>
                <w:bCs/>
                <w:lang w:val="el-GR"/>
              </w:rPr>
              <w:t xml:space="preserve">νάγκης, </w:t>
            </w:r>
            <w:r w:rsidR="00B37764">
              <w:rPr>
                <w:rFonts w:ascii="Arial" w:hAnsi="Arial" w:cs="Arial"/>
                <w:bCs/>
                <w:lang w:val="el-GR"/>
              </w:rPr>
              <w:t xml:space="preserve">καθότι </w:t>
            </w:r>
            <w:r>
              <w:rPr>
                <w:rFonts w:ascii="Arial" w:hAnsi="Arial" w:cs="Arial"/>
                <w:bCs/>
                <w:lang w:val="el-GR"/>
              </w:rPr>
              <w:t xml:space="preserve">στοχεύουν στη διάσωση και εύρυθμη λειτουργία της </w:t>
            </w:r>
            <w:r w:rsidR="00B37764">
              <w:rPr>
                <w:rFonts w:ascii="Arial" w:hAnsi="Arial" w:cs="Arial"/>
                <w:bCs/>
                <w:lang w:val="el-GR"/>
              </w:rPr>
              <w:t>δ</w:t>
            </w:r>
            <w:r>
              <w:rPr>
                <w:rFonts w:ascii="Arial" w:hAnsi="Arial" w:cs="Arial"/>
                <w:bCs/>
                <w:lang w:val="el-GR"/>
              </w:rPr>
              <w:t>ικαιοσύνης</w:t>
            </w:r>
            <w:r w:rsidR="00B37764">
              <w:rPr>
                <w:rFonts w:ascii="Arial" w:hAnsi="Arial" w:cs="Arial"/>
                <w:bCs/>
                <w:lang w:val="el-GR"/>
              </w:rPr>
              <w:t xml:space="preserve"> ως</w:t>
            </w:r>
            <w:r>
              <w:rPr>
                <w:rFonts w:ascii="Arial" w:hAnsi="Arial" w:cs="Arial"/>
                <w:bCs/>
                <w:lang w:val="el-GR"/>
              </w:rPr>
              <w:t xml:space="preserve"> βασικής και ουσιώδους λειτουργίας του κράτους, </w:t>
            </w:r>
          </w:p>
          <w:p w14:paraId="1D7DCFA0" w14:textId="77777777" w:rsidR="00A97745" w:rsidRDefault="00A97745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7E92FF65" w14:textId="09FFD5DD" w:rsidR="00DA66C5" w:rsidRDefault="00DC1DA7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ΚΑΙ ΕΠΕΙΔΗ</w:t>
            </w:r>
            <w:r w:rsidR="00B37764">
              <w:rPr>
                <w:rFonts w:ascii="Arial" w:hAnsi="Arial" w:cs="Arial"/>
                <w:bCs/>
                <w:lang w:val="el-GR"/>
              </w:rPr>
              <w:t>,</w:t>
            </w:r>
            <w:r w:rsidR="007139B4">
              <w:rPr>
                <w:rFonts w:ascii="Arial" w:hAnsi="Arial" w:cs="Arial"/>
                <w:bCs/>
                <w:lang w:val="el-GR"/>
              </w:rPr>
              <w:t xml:space="preserve"> τα Άρθρα</w:t>
            </w:r>
            <w:r w:rsidR="0024214E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D121B4" w:rsidRPr="00D121B4">
              <w:rPr>
                <w:rFonts w:ascii="Arial" w:hAnsi="Arial" w:cs="Arial"/>
                <w:bCs/>
                <w:lang w:val="el-GR"/>
              </w:rPr>
              <w:t xml:space="preserve">136, </w:t>
            </w:r>
            <w:r w:rsidR="0024214E">
              <w:rPr>
                <w:rFonts w:ascii="Arial" w:hAnsi="Arial" w:cs="Arial"/>
                <w:bCs/>
                <w:lang w:val="el-GR"/>
              </w:rPr>
              <w:t>144,</w:t>
            </w:r>
            <w:r w:rsidR="00267B2D">
              <w:rPr>
                <w:rFonts w:ascii="Arial" w:hAnsi="Arial" w:cs="Arial"/>
                <w:bCs/>
                <w:lang w:val="el-GR"/>
              </w:rPr>
              <w:t xml:space="preserve"> </w:t>
            </w:r>
            <w:r w:rsidRPr="00DC1DA7">
              <w:rPr>
                <w:rFonts w:ascii="Arial" w:hAnsi="Arial" w:cs="Arial"/>
                <w:bCs/>
                <w:lang w:val="el-GR"/>
              </w:rPr>
              <w:t>146</w:t>
            </w:r>
            <w:r w:rsidR="00245E33">
              <w:rPr>
                <w:rFonts w:ascii="Arial" w:hAnsi="Arial" w:cs="Arial"/>
                <w:bCs/>
                <w:lang w:val="el-GR"/>
              </w:rPr>
              <w:t xml:space="preserve"> και</w:t>
            </w:r>
            <w:r w:rsidR="00B20B14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C633FA">
              <w:rPr>
                <w:rFonts w:ascii="Arial" w:hAnsi="Arial" w:cs="Arial"/>
                <w:bCs/>
                <w:lang w:val="el-GR"/>
              </w:rPr>
              <w:t>155</w:t>
            </w:r>
            <w:r w:rsidRPr="00DC1DA7">
              <w:rPr>
                <w:rFonts w:ascii="Arial" w:hAnsi="Arial" w:cs="Arial"/>
                <w:bCs/>
                <w:lang w:val="el-GR"/>
              </w:rPr>
              <w:t xml:space="preserve"> του Συντ</w:t>
            </w:r>
            <w:r w:rsidR="007139B4">
              <w:rPr>
                <w:rFonts w:ascii="Arial" w:hAnsi="Arial" w:cs="Arial"/>
                <w:bCs/>
                <w:lang w:val="el-GR"/>
              </w:rPr>
              <w:t>άγματος δεν περιλαμβάνον</w:t>
            </w:r>
            <w:r w:rsidR="00DA66C5">
              <w:rPr>
                <w:rFonts w:ascii="Arial" w:hAnsi="Arial" w:cs="Arial"/>
                <w:bCs/>
                <w:lang w:val="el-GR"/>
              </w:rPr>
              <w:t xml:space="preserve">ται στα </w:t>
            </w:r>
            <w:r w:rsidRPr="00DC1DA7">
              <w:rPr>
                <w:rFonts w:ascii="Arial" w:hAnsi="Arial" w:cs="Arial"/>
                <w:bCs/>
                <w:lang w:val="el-GR"/>
              </w:rPr>
              <w:t>θεμελιώδη Άρθρα του Συντάγματος</w:t>
            </w:r>
            <w:r w:rsidR="00B37764">
              <w:rPr>
                <w:rFonts w:ascii="Arial" w:hAnsi="Arial" w:cs="Arial"/>
                <w:bCs/>
                <w:lang w:val="el-GR"/>
              </w:rPr>
              <w:t>,</w:t>
            </w:r>
            <w:r w:rsidRPr="00DC1DA7">
              <w:rPr>
                <w:rFonts w:ascii="Arial" w:hAnsi="Arial" w:cs="Arial"/>
                <w:bCs/>
                <w:lang w:val="el-GR"/>
              </w:rPr>
              <w:t xml:space="preserve"> τα οποία δεν </w:t>
            </w:r>
            <w:r w:rsidR="00B37764">
              <w:rPr>
                <w:rFonts w:ascii="Arial" w:hAnsi="Arial" w:cs="Arial"/>
                <w:bCs/>
                <w:lang w:val="el-GR"/>
              </w:rPr>
              <w:t xml:space="preserve">δύναται καθ’ οιονδήποτε </w:t>
            </w:r>
            <w:r w:rsidRPr="00DC1DA7">
              <w:rPr>
                <w:rFonts w:ascii="Arial" w:hAnsi="Arial" w:cs="Arial"/>
                <w:bCs/>
                <w:lang w:val="el-GR"/>
              </w:rPr>
              <w:t xml:space="preserve">τρόπο να τροποποιηθούν ή καταργηθούν,  </w:t>
            </w:r>
          </w:p>
          <w:p w14:paraId="685CB076" w14:textId="77777777" w:rsidR="00DA66C5" w:rsidRDefault="00DA66C5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46EA98ED" w14:textId="36BC4592" w:rsidR="00DA66C5" w:rsidRDefault="00DC1DA7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 w:rsidRPr="00DC1DA7">
              <w:rPr>
                <w:rFonts w:ascii="Arial" w:hAnsi="Arial" w:cs="Arial"/>
                <w:bCs/>
                <w:lang w:val="el-GR"/>
              </w:rPr>
              <w:t xml:space="preserve">ΚΑΙ ΕΠΕΙΔΗ, λόγω της συνεχιζόμενης τουρκικής κατοχής και των ιδιαζουσών συνθηκών που επικρατούν στη Δημοκρατία, οι Τουρκοκύπριοι δεν συμμετέχουν στην εκλογή και λειτουργία της Βουλής των Αντιπροσώπων,    </w:t>
            </w:r>
          </w:p>
          <w:p w14:paraId="30F991D1" w14:textId="77777777" w:rsidR="00DA66C5" w:rsidRDefault="00DA66C5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715BD0F8" w14:textId="0E99318A" w:rsidR="00DC1DA7" w:rsidRPr="00DC1DA7" w:rsidRDefault="00FB37C1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ΚΑΙ ΕΠΕΙΔΗ</w:t>
            </w:r>
            <w:r w:rsidR="00B37764">
              <w:rPr>
                <w:rFonts w:ascii="Arial" w:hAnsi="Arial" w:cs="Arial"/>
                <w:bCs/>
                <w:lang w:val="el-GR"/>
              </w:rPr>
              <w:t>,</w:t>
            </w:r>
            <w:r>
              <w:rPr>
                <w:rFonts w:ascii="Arial" w:hAnsi="Arial" w:cs="Arial"/>
                <w:bCs/>
                <w:lang w:val="el-GR"/>
              </w:rPr>
              <w:t xml:space="preserve"> το </w:t>
            </w:r>
            <w:r w:rsidR="00B37764">
              <w:rPr>
                <w:rFonts w:ascii="Arial" w:hAnsi="Arial" w:cs="Arial"/>
                <w:bCs/>
                <w:lang w:val="el-GR"/>
              </w:rPr>
              <w:t>δ</w:t>
            </w:r>
            <w:r w:rsidR="00DC1DA7" w:rsidRPr="00DC1DA7">
              <w:rPr>
                <w:rFonts w:ascii="Arial" w:hAnsi="Arial" w:cs="Arial"/>
                <w:bCs/>
                <w:lang w:val="el-GR"/>
              </w:rPr>
              <w:t xml:space="preserve">ίκαιο της </w:t>
            </w:r>
            <w:r w:rsidR="00B37764">
              <w:rPr>
                <w:rFonts w:ascii="Arial" w:hAnsi="Arial" w:cs="Arial"/>
                <w:bCs/>
                <w:lang w:val="el-GR"/>
              </w:rPr>
              <w:t>α</w:t>
            </w:r>
            <w:r w:rsidR="00DC1DA7" w:rsidRPr="00DC1DA7">
              <w:rPr>
                <w:rFonts w:ascii="Arial" w:hAnsi="Arial" w:cs="Arial"/>
                <w:bCs/>
                <w:lang w:val="el-GR"/>
              </w:rPr>
              <w:t xml:space="preserve">νάγκης δικαιολογεί τη διατήρηση της εξουσίας της Βουλής των Αντιπροσώπων να τροποποιεί μη θεμελιώδεις διατάξεις του Συντάγματος,  </w:t>
            </w:r>
          </w:p>
          <w:p w14:paraId="6A6CB653" w14:textId="77777777" w:rsidR="00410C1D" w:rsidRDefault="00410C1D" w:rsidP="00FB37C1">
            <w:pPr>
              <w:spacing w:line="360" w:lineRule="auto"/>
              <w:jc w:val="both"/>
              <w:rPr>
                <w:rFonts w:ascii="Arial" w:hAnsi="Arial" w:cs="Arial"/>
                <w:bCs/>
                <w:lang w:val="el-GR"/>
              </w:rPr>
            </w:pPr>
          </w:p>
          <w:p w14:paraId="679B6E49" w14:textId="260E344E" w:rsidR="002E1F33" w:rsidRPr="00AB6B11" w:rsidRDefault="00410C1D" w:rsidP="00FB37C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Για όλους τους </w:t>
            </w:r>
            <w:r w:rsidR="00B37764">
              <w:rPr>
                <w:rFonts w:ascii="Arial" w:hAnsi="Arial" w:cs="Arial"/>
                <w:lang w:val="el-GR"/>
              </w:rPr>
              <w:t xml:space="preserve">πιο πάνω </w:t>
            </w:r>
            <w:r>
              <w:rPr>
                <w:rFonts w:ascii="Arial" w:hAnsi="Arial" w:cs="Arial"/>
                <w:lang w:val="el-GR"/>
              </w:rPr>
              <w:t>λόγους</w:t>
            </w:r>
            <w:r w:rsidR="00B27656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η</w:t>
            </w:r>
            <w:r w:rsidRPr="00AB6B11">
              <w:rPr>
                <w:rFonts w:ascii="Arial" w:hAnsi="Arial" w:cs="Arial"/>
                <w:lang w:val="el-GR"/>
              </w:rPr>
              <w:t xml:space="preserve"> Βουλή των Αντιπροσώπων ψηφίζει ως ακολούθως:</w:t>
            </w:r>
          </w:p>
        </w:tc>
      </w:tr>
      <w:tr w:rsidR="00FB37C1" w:rsidRPr="00525562" w14:paraId="50431623" w14:textId="77777777" w:rsidTr="008B7C3E">
        <w:trPr>
          <w:gridAfter w:val="1"/>
          <w:wAfter w:w="29" w:type="dxa"/>
          <w:jc w:val="center"/>
        </w:trPr>
        <w:tc>
          <w:tcPr>
            <w:tcW w:w="2127" w:type="dxa"/>
          </w:tcPr>
          <w:p w14:paraId="263C781F" w14:textId="77777777" w:rsidR="00FB37C1" w:rsidRPr="008B7C3E" w:rsidRDefault="00FB37C1" w:rsidP="00FB37C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lastRenderedPageBreak/>
              <w:t>Συνοπτικός</w:t>
            </w:r>
          </w:p>
          <w:p w14:paraId="78D90497" w14:textId="77777777" w:rsidR="00FB37C1" w:rsidRPr="008B7C3E" w:rsidRDefault="00BC31B4" w:rsidP="00FB37C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τ</w:t>
            </w:r>
            <w:r w:rsidR="00FB37C1" w:rsidRPr="008B7C3E">
              <w:rPr>
                <w:rFonts w:ascii="Arial" w:hAnsi="Arial" w:cs="Arial"/>
                <w:lang w:val="el-GR"/>
              </w:rPr>
              <w:t>ίτλος.</w:t>
            </w:r>
          </w:p>
          <w:p w14:paraId="38921210" w14:textId="77777777" w:rsidR="0053522D" w:rsidRPr="008B7C3E" w:rsidRDefault="0053522D" w:rsidP="0053522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95 του 1989</w:t>
            </w:r>
          </w:p>
          <w:p w14:paraId="56CBB75E" w14:textId="09F95E85" w:rsidR="0053522D" w:rsidRPr="008B7C3E" w:rsidRDefault="0053522D" w:rsidP="0053522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10</w:t>
            </w:r>
            <w:r w:rsidR="003D19DC">
              <w:rPr>
                <w:rFonts w:ascii="Arial" w:hAnsi="Arial" w:cs="Arial"/>
                <w:lang w:val="el-GR"/>
              </w:rPr>
              <w:t>6</w:t>
            </w:r>
            <w:r w:rsidRPr="008B7C3E">
              <w:rPr>
                <w:rFonts w:ascii="Arial" w:hAnsi="Arial" w:cs="Arial"/>
                <w:lang w:val="el-GR"/>
              </w:rPr>
              <w:t>(Ι) του 1996</w:t>
            </w:r>
          </w:p>
          <w:p w14:paraId="60467CE5" w14:textId="77777777" w:rsidR="0053522D" w:rsidRPr="008B7C3E" w:rsidRDefault="0053522D" w:rsidP="0053522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115(Ι) του 1996</w:t>
            </w:r>
          </w:p>
          <w:p w14:paraId="0B323EAD" w14:textId="77777777" w:rsidR="0053522D" w:rsidRPr="008B7C3E" w:rsidRDefault="0053522D" w:rsidP="0053522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104(Ι) του 2002</w:t>
            </w:r>
          </w:p>
          <w:p w14:paraId="219B3264" w14:textId="77777777" w:rsidR="0053522D" w:rsidRPr="008B7C3E" w:rsidRDefault="0053522D" w:rsidP="0053522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127(Ι) του 2006</w:t>
            </w:r>
          </w:p>
          <w:p w14:paraId="59E8DB00" w14:textId="77777777" w:rsidR="0053522D" w:rsidRPr="008B7C3E" w:rsidRDefault="0053522D" w:rsidP="0053522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51(Ι) του 2010</w:t>
            </w:r>
          </w:p>
          <w:p w14:paraId="55268370" w14:textId="77777777" w:rsidR="0053522D" w:rsidRPr="008B7C3E" w:rsidRDefault="0053522D" w:rsidP="0053522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68(Ι) του 2013</w:t>
            </w:r>
          </w:p>
          <w:p w14:paraId="418D43DE" w14:textId="77777777" w:rsidR="0053522D" w:rsidRPr="008B7C3E" w:rsidRDefault="0053522D" w:rsidP="0053522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130(Ι) του 2015</w:t>
            </w:r>
          </w:p>
          <w:p w14:paraId="63716FDE" w14:textId="3EABC10D" w:rsidR="0053522D" w:rsidRPr="008B7C3E" w:rsidRDefault="0053522D" w:rsidP="0053522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69(Ι) του 2016</w:t>
            </w:r>
          </w:p>
          <w:p w14:paraId="11DD77C9" w14:textId="77777777" w:rsidR="007C2ED4" w:rsidRPr="008B7C3E" w:rsidRDefault="0053522D" w:rsidP="0053522D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93(Ι) του 2016</w:t>
            </w:r>
          </w:p>
          <w:p w14:paraId="78490F37" w14:textId="77777777" w:rsidR="007C2ED4" w:rsidRPr="008B7C3E" w:rsidRDefault="007C2ED4" w:rsidP="007C2ED4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100(Ι) του 2019</w:t>
            </w:r>
          </w:p>
          <w:p w14:paraId="25D9AFD6" w14:textId="77777777" w:rsidR="007C2ED4" w:rsidRPr="008B7C3E" w:rsidRDefault="007C2ED4" w:rsidP="007C2ED4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128(Ι) του 2019</w:t>
            </w:r>
          </w:p>
          <w:p w14:paraId="2B3B6C27" w14:textId="77777777" w:rsidR="007C2ED4" w:rsidRPr="008B7C3E" w:rsidRDefault="007C2ED4" w:rsidP="007C2ED4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160(Ι) του 2019</w:t>
            </w:r>
          </w:p>
          <w:p w14:paraId="21B0CB9E" w14:textId="77777777" w:rsidR="007C2ED4" w:rsidRPr="008B7C3E" w:rsidRDefault="007C2ED4" w:rsidP="007C2ED4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161(Ι) του 2019</w:t>
            </w:r>
          </w:p>
          <w:p w14:paraId="540BA7C7" w14:textId="77777777" w:rsidR="00C25065" w:rsidRDefault="007C2ED4" w:rsidP="00FE55D0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135(Ι) του 2020</w:t>
            </w:r>
          </w:p>
          <w:p w14:paraId="74F3CECC" w14:textId="54A8D0E1" w:rsidR="0053522D" w:rsidRPr="008B7C3E" w:rsidRDefault="00C25065" w:rsidP="00FE55D0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 w:rsidRPr="00C25065">
              <w:rPr>
                <w:rFonts w:ascii="Arial" w:hAnsi="Arial" w:cs="Arial"/>
                <w:lang w:val="el-GR"/>
              </w:rPr>
              <w:t>67(I)</w:t>
            </w:r>
            <w:r>
              <w:rPr>
                <w:rFonts w:ascii="Arial" w:hAnsi="Arial" w:cs="Arial"/>
                <w:lang w:val="el-GR"/>
              </w:rPr>
              <w:t xml:space="preserve"> του </w:t>
            </w:r>
            <w:r w:rsidRPr="00C25065">
              <w:rPr>
                <w:rFonts w:ascii="Arial" w:hAnsi="Arial" w:cs="Arial"/>
                <w:lang w:val="el-GR"/>
              </w:rPr>
              <w:t>2022</w:t>
            </w:r>
            <w:r w:rsidR="00462B09" w:rsidRPr="008B7C3E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6958" w:type="dxa"/>
            <w:gridSpan w:val="3"/>
          </w:tcPr>
          <w:p w14:paraId="31A98AEB" w14:textId="1A69B308" w:rsidR="0053522D" w:rsidRPr="00AB6B11" w:rsidRDefault="00FB37C1" w:rsidP="00FE55D0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AB6B11">
              <w:rPr>
                <w:rFonts w:ascii="Arial" w:hAnsi="Arial" w:cs="Arial"/>
                <w:lang w:val="el-GR"/>
              </w:rPr>
              <w:t>1.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AB6B11">
              <w:rPr>
                <w:rFonts w:ascii="Arial" w:hAnsi="Arial" w:cs="Arial"/>
                <w:lang w:val="el-GR"/>
              </w:rPr>
              <w:t xml:space="preserve">Ο παρών Νόμος θα </w:t>
            </w:r>
            <w:r>
              <w:rPr>
                <w:rFonts w:ascii="Arial" w:hAnsi="Arial" w:cs="Arial"/>
                <w:lang w:val="el-GR"/>
              </w:rPr>
              <w:t xml:space="preserve">αναφέρεται ως ο περί της </w:t>
            </w:r>
            <w:r w:rsidR="007C2ED4">
              <w:rPr>
                <w:rFonts w:ascii="Arial" w:hAnsi="Arial" w:cs="Arial"/>
                <w:lang w:val="el-GR"/>
              </w:rPr>
              <w:t xml:space="preserve">Δέκατης </w:t>
            </w:r>
            <w:r w:rsidR="00C25065">
              <w:rPr>
                <w:rFonts w:ascii="Arial" w:hAnsi="Arial" w:cs="Arial"/>
                <w:lang w:val="el-GR"/>
              </w:rPr>
              <w:t>Έβδομης</w:t>
            </w:r>
            <w:r>
              <w:rPr>
                <w:rFonts w:ascii="Arial" w:hAnsi="Arial" w:cs="Arial"/>
                <w:lang w:val="el-GR"/>
              </w:rPr>
              <w:t xml:space="preserve"> Τροποποίησης του Συντάγματος Νόμος του 20</w:t>
            </w:r>
            <w:r w:rsidR="0074299F">
              <w:rPr>
                <w:rFonts w:ascii="Arial" w:hAnsi="Arial" w:cs="Arial"/>
                <w:lang w:val="el-GR"/>
              </w:rPr>
              <w:t>2</w:t>
            </w:r>
            <w:r w:rsidR="003A0D95">
              <w:rPr>
                <w:rFonts w:ascii="Arial" w:hAnsi="Arial" w:cs="Arial"/>
                <w:lang w:val="el-GR"/>
              </w:rPr>
              <w:t>2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</w:tr>
      <w:tr w:rsidR="003D19DC" w:rsidRPr="00525562" w14:paraId="565A2075" w14:textId="77777777" w:rsidTr="008B7C3E">
        <w:trPr>
          <w:gridAfter w:val="1"/>
          <w:wAfter w:w="29" w:type="dxa"/>
          <w:trHeight w:val="420"/>
          <w:jc w:val="center"/>
        </w:trPr>
        <w:tc>
          <w:tcPr>
            <w:tcW w:w="2127" w:type="dxa"/>
          </w:tcPr>
          <w:p w14:paraId="2525E822" w14:textId="4966C60E" w:rsidR="003D19DC" w:rsidRPr="003D19DC" w:rsidRDefault="003D19DC" w:rsidP="003D19DC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>Τροποποίηση του Άρθρου 136 του Συντάγματος.</w:t>
            </w:r>
          </w:p>
        </w:tc>
        <w:tc>
          <w:tcPr>
            <w:tcW w:w="6958" w:type="dxa"/>
            <w:gridSpan w:val="3"/>
          </w:tcPr>
          <w:p w14:paraId="3A4724C3" w14:textId="3A1CE1E2" w:rsidR="003D19DC" w:rsidRPr="00AB6B11" w:rsidRDefault="00FE55D0" w:rsidP="00FB37C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2. </w:t>
            </w:r>
            <w:r w:rsidRPr="007E6BF2">
              <w:rPr>
                <w:rFonts w:ascii="Arial" w:hAnsi="Arial" w:cs="Arial"/>
                <w:lang w:val="el-GR"/>
              </w:rPr>
              <w:t xml:space="preserve">Το Άρθρο 136 του Συντάγματος τροποποιείται με </w:t>
            </w:r>
            <w:r>
              <w:rPr>
                <w:rFonts w:ascii="Arial" w:hAnsi="Arial" w:cs="Arial"/>
                <w:lang w:val="el-GR"/>
              </w:rPr>
              <w:t>την προσθήκη, αμέσως μετά τη λέξη «</w:t>
            </w:r>
            <w:proofErr w:type="spellStart"/>
            <w:r>
              <w:rPr>
                <w:rFonts w:ascii="Arial" w:hAnsi="Arial" w:cs="Arial"/>
                <w:lang w:val="el-GR"/>
              </w:rPr>
              <w:t>άρθροις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» (τρίτη γραμμή), </w:t>
            </w:r>
            <w:r w:rsidRPr="007E6BF2">
              <w:rPr>
                <w:rFonts w:ascii="Arial" w:hAnsi="Arial" w:cs="Arial"/>
                <w:lang w:val="el-GR"/>
              </w:rPr>
              <w:t>της φράσης «</w:t>
            </w:r>
            <w:r>
              <w:rPr>
                <w:rFonts w:ascii="Arial" w:hAnsi="Arial" w:cs="Arial"/>
                <w:lang w:val="el-GR"/>
              </w:rPr>
              <w:t xml:space="preserve">, </w:t>
            </w:r>
            <w:r w:rsidRPr="007E6BF2">
              <w:rPr>
                <w:rFonts w:ascii="Arial" w:hAnsi="Arial" w:cs="Arial"/>
                <w:lang w:val="el-GR"/>
              </w:rPr>
              <w:t>ως επίσης και επί θεμάτων ως νόμος ήθελε ειδικά ορίσει</w:t>
            </w:r>
            <w:r>
              <w:rPr>
                <w:rFonts w:ascii="Arial" w:hAnsi="Arial" w:cs="Arial"/>
                <w:lang w:val="el-GR"/>
              </w:rPr>
              <w:t xml:space="preserve">». </w:t>
            </w:r>
            <w:r w:rsidRPr="007E6BF2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BC31B4" w:rsidRPr="00525562" w14:paraId="2557DCFC" w14:textId="77777777" w:rsidTr="008B7C3E">
        <w:trPr>
          <w:gridAfter w:val="1"/>
          <w:wAfter w:w="29" w:type="dxa"/>
          <w:trHeight w:val="1086"/>
          <w:jc w:val="center"/>
        </w:trPr>
        <w:tc>
          <w:tcPr>
            <w:tcW w:w="2127" w:type="dxa"/>
          </w:tcPr>
          <w:p w14:paraId="38B52278" w14:textId="77777777" w:rsidR="00E17656" w:rsidRPr="008B7C3E" w:rsidRDefault="00BC31B4" w:rsidP="007C3F8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t xml:space="preserve">Τροποποίηση </w:t>
            </w:r>
            <w:r w:rsidR="007C3F8B" w:rsidRPr="008B7C3E">
              <w:rPr>
                <w:rFonts w:ascii="Arial" w:hAnsi="Arial" w:cs="Arial"/>
                <w:lang w:val="el-GR"/>
              </w:rPr>
              <w:t>του Άρθρου 144 του Συντάγματος.</w:t>
            </w:r>
          </w:p>
        </w:tc>
        <w:tc>
          <w:tcPr>
            <w:tcW w:w="6958" w:type="dxa"/>
            <w:gridSpan w:val="3"/>
          </w:tcPr>
          <w:p w14:paraId="17F822B3" w14:textId="4FCDE3D7" w:rsidR="00BC31B4" w:rsidRPr="00AB6B11" w:rsidRDefault="0053522D" w:rsidP="00462B09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  <w:r w:rsidR="00BC31B4">
              <w:rPr>
                <w:rFonts w:ascii="Arial" w:hAnsi="Arial" w:cs="Arial"/>
                <w:lang w:val="el-GR"/>
              </w:rPr>
              <w:t xml:space="preserve">. </w:t>
            </w:r>
            <w:r w:rsidR="00FE55D0">
              <w:rPr>
                <w:rFonts w:ascii="Arial" w:hAnsi="Arial" w:cs="Arial"/>
                <w:lang w:val="el-GR"/>
              </w:rPr>
              <w:t xml:space="preserve">Το </w:t>
            </w:r>
            <w:r w:rsidR="00BC31B4">
              <w:rPr>
                <w:rFonts w:ascii="Arial" w:hAnsi="Arial" w:cs="Arial"/>
                <w:lang w:val="el-GR"/>
              </w:rPr>
              <w:t>Άρθρο 144 του Συντάγματος</w:t>
            </w:r>
            <w:r w:rsidR="00462B09">
              <w:rPr>
                <w:rFonts w:ascii="Arial" w:hAnsi="Arial" w:cs="Arial"/>
                <w:lang w:val="el-GR"/>
              </w:rPr>
              <w:t xml:space="preserve"> </w:t>
            </w:r>
            <w:r w:rsidR="00FE55D0">
              <w:rPr>
                <w:rFonts w:ascii="Arial" w:hAnsi="Arial" w:cs="Arial"/>
                <w:lang w:val="el-GR"/>
              </w:rPr>
              <w:t>τροποποιείται με την αντικατάσταση της παραγράφου 1 αυτού</w:t>
            </w:r>
            <w:r w:rsidR="00762B54">
              <w:rPr>
                <w:rFonts w:ascii="Arial" w:hAnsi="Arial" w:cs="Arial"/>
                <w:lang w:val="el-GR"/>
              </w:rPr>
              <w:t>,</w:t>
            </w:r>
            <w:r w:rsidR="00FE55D0">
              <w:rPr>
                <w:rFonts w:ascii="Arial" w:hAnsi="Arial" w:cs="Arial"/>
                <w:lang w:val="el-GR"/>
              </w:rPr>
              <w:t xml:space="preserve"> </w:t>
            </w:r>
            <w:r w:rsidR="00762B54">
              <w:rPr>
                <w:rFonts w:ascii="Arial" w:hAnsi="Arial" w:cs="Arial"/>
                <w:lang w:val="el-GR"/>
              </w:rPr>
              <w:t xml:space="preserve">με </w:t>
            </w:r>
            <w:r w:rsidR="00462B09">
              <w:rPr>
                <w:rFonts w:ascii="Arial" w:hAnsi="Arial" w:cs="Arial"/>
                <w:lang w:val="el-GR"/>
              </w:rPr>
              <w:t>την ακόλουθη παράγραφο:</w:t>
            </w:r>
            <w:r w:rsidR="00BC31B4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991223" w:rsidRPr="00525562" w14:paraId="297EF4AC" w14:textId="77777777" w:rsidTr="008B7C3E">
        <w:trPr>
          <w:gridAfter w:val="1"/>
          <w:wAfter w:w="29" w:type="dxa"/>
          <w:trHeight w:val="23"/>
          <w:jc w:val="center"/>
        </w:trPr>
        <w:tc>
          <w:tcPr>
            <w:tcW w:w="2127" w:type="dxa"/>
          </w:tcPr>
          <w:p w14:paraId="36C56C9D" w14:textId="77777777" w:rsidR="00991223" w:rsidRPr="008B7C3E" w:rsidRDefault="00991223" w:rsidP="007C3F8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420" w:type="dxa"/>
            <w:gridSpan w:val="2"/>
          </w:tcPr>
          <w:p w14:paraId="4EE49E4C" w14:textId="77777777" w:rsidR="00991223" w:rsidRDefault="00991223" w:rsidP="007C3F8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538" w:type="dxa"/>
            <w:tcBorders>
              <w:left w:val="nil"/>
            </w:tcBorders>
          </w:tcPr>
          <w:p w14:paraId="3399AC97" w14:textId="2819ED2C" w:rsidR="00991223" w:rsidRDefault="00161601" w:rsidP="007616A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</w:t>
            </w:r>
            <w:r w:rsidR="00991223">
              <w:rPr>
                <w:rFonts w:ascii="Arial" w:hAnsi="Arial" w:cs="Arial"/>
                <w:lang w:val="el-GR"/>
              </w:rPr>
              <w:t>1.</w:t>
            </w:r>
            <w:r w:rsidR="00DA3CB1">
              <w:rPr>
                <w:rFonts w:ascii="Arial" w:hAnsi="Arial" w:cs="Arial"/>
                <w:lang w:val="el-GR"/>
              </w:rPr>
              <w:t xml:space="preserve"> </w:t>
            </w:r>
            <w:r w:rsidR="00991223">
              <w:rPr>
                <w:rFonts w:ascii="Arial" w:hAnsi="Arial" w:cs="Arial"/>
                <w:lang w:val="el-GR"/>
              </w:rPr>
              <w:t>(1)  Κάθε διάδικος δικαιούται, σε οποιοδήποτε στάδιο της διαδικασίας</w:t>
            </w:r>
            <w:r w:rsidR="00DA3CB1">
              <w:rPr>
                <w:rFonts w:ascii="Arial" w:hAnsi="Arial" w:cs="Arial"/>
                <w:lang w:val="el-GR"/>
              </w:rPr>
              <w:t>,</w:t>
            </w:r>
            <w:r w:rsidR="00991223">
              <w:rPr>
                <w:rFonts w:ascii="Arial" w:hAnsi="Arial" w:cs="Arial"/>
                <w:lang w:val="el-GR"/>
              </w:rPr>
              <w:t xml:space="preserve"> περιλαμβανομένης και της κατ’ έφεση</w:t>
            </w:r>
            <w:r w:rsidR="00DA3CB1">
              <w:rPr>
                <w:rFonts w:ascii="Arial" w:hAnsi="Arial" w:cs="Arial"/>
                <w:lang w:val="el-GR"/>
              </w:rPr>
              <w:t xml:space="preserve"> διαδικασίας</w:t>
            </w:r>
            <w:r w:rsidR="00991223">
              <w:rPr>
                <w:rFonts w:ascii="Arial" w:hAnsi="Arial" w:cs="Arial"/>
                <w:lang w:val="el-GR"/>
              </w:rPr>
              <w:t xml:space="preserve">, να εγείρει ζήτημα αντισυνταγματικότητας νόμου ή απόφασης ή διάταξης αυτών, το οποίο είναι ουσιώδες για </w:t>
            </w:r>
            <w:r w:rsidR="00991223">
              <w:rPr>
                <w:rFonts w:ascii="Arial" w:hAnsi="Arial" w:cs="Arial"/>
                <w:lang w:val="el-GR"/>
              </w:rPr>
              <w:lastRenderedPageBreak/>
              <w:t xml:space="preserve">τη διάγνωση της </w:t>
            </w:r>
            <w:proofErr w:type="spellStart"/>
            <w:r w:rsidR="00991223">
              <w:rPr>
                <w:rFonts w:ascii="Arial" w:hAnsi="Arial" w:cs="Arial"/>
                <w:lang w:val="el-GR"/>
              </w:rPr>
              <w:t>εκ</w:t>
            </w:r>
            <w:r w:rsidR="00BA4846">
              <w:rPr>
                <w:rFonts w:ascii="Arial" w:hAnsi="Arial" w:cs="Arial"/>
                <w:lang w:val="el-GR"/>
              </w:rPr>
              <w:t>κ</w:t>
            </w:r>
            <w:r w:rsidR="00991223">
              <w:rPr>
                <w:rFonts w:ascii="Arial" w:hAnsi="Arial" w:cs="Arial"/>
                <w:lang w:val="el-GR"/>
              </w:rPr>
              <w:t>ρεμούσας</w:t>
            </w:r>
            <w:proofErr w:type="spellEnd"/>
            <w:r w:rsidR="00991223">
              <w:rPr>
                <w:rFonts w:ascii="Arial" w:hAnsi="Arial" w:cs="Arial"/>
                <w:lang w:val="el-GR"/>
              </w:rPr>
              <w:t xml:space="preserve"> </w:t>
            </w:r>
            <w:r w:rsidR="007253A7">
              <w:rPr>
                <w:rFonts w:ascii="Arial" w:hAnsi="Arial" w:cs="Arial"/>
                <w:lang w:val="el-GR"/>
              </w:rPr>
              <w:t>ενώπιον του δικαστηρίου υπόθεσης.</w:t>
            </w:r>
          </w:p>
        </w:tc>
      </w:tr>
      <w:tr w:rsidR="00991223" w:rsidRPr="00525562" w14:paraId="671FDDD3" w14:textId="77777777" w:rsidTr="008B7C3E">
        <w:trPr>
          <w:gridAfter w:val="1"/>
          <w:wAfter w:w="29" w:type="dxa"/>
          <w:trHeight w:val="23"/>
          <w:jc w:val="center"/>
        </w:trPr>
        <w:tc>
          <w:tcPr>
            <w:tcW w:w="2127" w:type="dxa"/>
          </w:tcPr>
          <w:p w14:paraId="067D3FD5" w14:textId="77777777" w:rsidR="00991223" w:rsidRPr="00242443" w:rsidRDefault="00991223" w:rsidP="007C3F8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420" w:type="dxa"/>
            <w:gridSpan w:val="2"/>
          </w:tcPr>
          <w:p w14:paraId="0E067D96" w14:textId="77777777" w:rsidR="00991223" w:rsidRDefault="00991223" w:rsidP="007C3F8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538" w:type="dxa"/>
            <w:tcBorders>
              <w:left w:val="nil"/>
            </w:tcBorders>
          </w:tcPr>
          <w:p w14:paraId="2A0CA79B" w14:textId="086539BF" w:rsidR="007253A7" w:rsidRDefault="007253A7" w:rsidP="004D66B0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(2)</w:t>
            </w:r>
            <w:r w:rsidR="008B7C3E">
              <w:rPr>
                <w:rFonts w:ascii="Arial" w:hAnsi="Arial" w:cs="Arial"/>
                <w:lang w:val="el-GR"/>
              </w:rPr>
              <w:t xml:space="preserve"> </w:t>
            </w:r>
            <w:r w:rsidR="00242443">
              <w:rPr>
                <w:rFonts w:ascii="Arial" w:hAnsi="Arial" w:cs="Arial"/>
                <w:lang w:val="el-GR"/>
              </w:rPr>
              <w:t>Δ</w:t>
            </w:r>
            <w:r>
              <w:rPr>
                <w:rFonts w:ascii="Arial" w:hAnsi="Arial" w:cs="Arial"/>
                <w:lang w:val="el-GR"/>
              </w:rPr>
              <w:t>ικαστήριο</w:t>
            </w:r>
            <w:r w:rsidR="00096F12">
              <w:rPr>
                <w:rFonts w:ascii="Arial" w:hAnsi="Arial" w:cs="Arial"/>
                <w:lang w:val="el-GR"/>
              </w:rPr>
              <w:t xml:space="preserve"> ενώπιον του οποίου εγείρεται ζήτημα αντισυνταγματικότητας νόμου ή απόφασης ή διάταξης αυτών, το οποίο είναι ουσιώδες για τη διάγνωση της </w:t>
            </w:r>
            <w:proofErr w:type="spellStart"/>
            <w:r w:rsidR="00096F12">
              <w:rPr>
                <w:rFonts w:ascii="Arial" w:hAnsi="Arial" w:cs="Arial"/>
                <w:lang w:val="el-GR"/>
              </w:rPr>
              <w:t>εκκρεμούσας</w:t>
            </w:r>
            <w:proofErr w:type="spellEnd"/>
            <w:r w:rsidR="00096F12">
              <w:rPr>
                <w:rFonts w:ascii="Arial" w:hAnsi="Arial" w:cs="Arial"/>
                <w:lang w:val="el-GR"/>
              </w:rPr>
              <w:t xml:space="preserve"> υπόθεσης </w:t>
            </w:r>
            <w:proofErr w:type="spellStart"/>
            <w:r w:rsidR="00096F12">
              <w:rPr>
                <w:rFonts w:ascii="Arial" w:hAnsi="Arial" w:cs="Arial"/>
                <w:lang w:val="el-GR"/>
              </w:rPr>
              <w:t>ενώπι</w:t>
            </w:r>
            <w:r w:rsidR="00242443">
              <w:rPr>
                <w:rFonts w:ascii="Arial" w:hAnsi="Arial" w:cs="Arial"/>
                <w:lang w:val="el-GR"/>
              </w:rPr>
              <w:t>ό</w:t>
            </w:r>
            <w:r w:rsidR="00096F12">
              <w:rPr>
                <w:rFonts w:ascii="Arial" w:hAnsi="Arial" w:cs="Arial"/>
                <w:lang w:val="el-GR"/>
              </w:rPr>
              <w:t>ν</w:t>
            </w:r>
            <w:proofErr w:type="spellEnd"/>
            <w:r w:rsidR="00096F12">
              <w:rPr>
                <w:rFonts w:ascii="Arial" w:hAnsi="Arial" w:cs="Arial"/>
                <w:lang w:val="el-GR"/>
              </w:rPr>
              <w:t xml:space="preserve"> του,</w:t>
            </w:r>
            <w:r>
              <w:rPr>
                <w:rFonts w:ascii="Arial" w:hAnsi="Arial" w:cs="Arial"/>
                <w:lang w:val="el-GR"/>
              </w:rPr>
              <w:t xml:space="preserve"> δύναται να παραπέμ</w:t>
            </w:r>
            <w:r w:rsidR="00AE0B97">
              <w:rPr>
                <w:rFonts w:ascii="Arial" w:hAnsi="Arial" w:cs="Arial"/>
                <w:lang w:val="el-GR"/>
              </w:rPr>
              <w:t>ψ</w:t>
            </w:r>
            <w:r>
              <w:rPr>
                <w:rFonts w:ascii="Arial" w:hAnsi="Arial" w:cs="Arial"/>
                <w:lang w:val="el-GR"/>
              </w:rPr>
              <w:t xml:space="preserve">ει </w:t>
            </w:r>
            <w:r w:rsidR="00096F12">
              <w:rPr>
                <w:rFonts w:ascii="Arial" w:hAnsi="Arial" w:cs="Arial"/>
                <w:lang w:val="el-GR"/>
              </w:rPr>
              <w:t xml:space="preserve">τούτο </w:t>
            </w:r>
            <w:r>
              <w:rPr>
                <w:rFonts w:ascii="Arial" w:hAnsi="Arial" w:cs="Arial"/>
                <w:lang w:val="el-GR"/>
              </w:rPr>
              <w:t xml:space="preserve">ενώπιον του </w:t>
            </w:r>
            <w:proofErr w:type="spellStart"/>
            <w:r>
              <w:rPr>
                <w:rFonts w:ascii="Arial" w:hAnsi="Arial" w:cs="Arial"/>
                <w:lang w:val="el-GR"/>
              </w:rPr>
              <w:t>Ανωτάτου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Συνταγματικού </w:t>
            </w:r>
            <w:r w:rsidR="007616A2">
              <w:rPr>
                <w:rFonts w:ascii="Arial" w:hAnsi="Arial" w:cs="Arial"/>
                <w:lang w:val="el-GR"/>
              </w:rPr>
              <w:t>Δικαστηρίου</w:t>
            </w:r>
            <w:r w:rsidR="00242443">
              <w:rPr>
                <w:rFonts w:ascii="Arial" w:hAnsi="Arial" w:cs="Arial"/>
                <w:lang w:val="el-GR"/>
              </w:rPr>
              <w:t>, ως νόμος ήθελε προβλέψει</w:t>
            </w:r>
            <w:r w:rsidR="00762B54">
              <w:rPr>
                <w:rFonts w:ascii="Arial" w:hAnsi="Arial" w:cs="Arial"/>
                <w:lang w:val="el-GR"/>
              </w:rPr>
              <w:t>,</w:t>
            </w:r>
            <w:r w:rsidR="00986B83">
              <w:rPr>
                <w:rFonts w:ascii="Arial" w:hAnsi="Arial" w:cs="Arial"/>
                <w:lang w:val="el-GR"/>
              </w:rPr>
              <w:t xml:space="preserve"> και σε τέτοια περίπτωση αναστέλλει την πρόοδο της διαδικασίας </w:t>
            </w:r>
            <w:proofErr w:type="spellStart"/>
            <w:r w:rsidR="002730C8">
              <w:rPr>
                <w:rFonts w:ascii="Arial" w:hAnsi="Arial" w:cs="Arial"/>
                <w:lang w:val="el-GR"/>
              </w:rPr>
              <w:t>ενώπιό</w:t>
            </w:r>
            <w:r w:rsidR="00986B83">
              <w:rPr>
                <w:rFonts w:ascii="Arial" w:hAnsi="Arial" w:cs="Arial"/>
                <w:lang w:val="el-GR"/>
              </w:rPr>
              <w:t>ν</w:t>
            </w:r>
            <w:proofErr w:type="spellEnd"/>
            <w:r w:rsidR="00986B83">
              <w:rPr>
                <w:rFonts w:ascii="Arial" w:hAnsi="Arial" w:cs="Arial"/>
                <w:lang w:val="el-GR"/>
              </w:rPr>
              <w:t xml:space="preserve"> του, μέχρις ότου το Ανώτατο Συνταγματικό Δικαστήριο αποφανθεί σχετικά, ως </w:t>
            </w:r>
            <w:r w:rsidR="00762B54">
              <w:rPr>
                <w:rFonts w:ascii="Arial" w:hAnsi="Arial" w:cs="Arial"/>
                <w:lang w:val="el-GR"/>
              </w:rPr>
              <w:t>προβλέπεται σ</w:t>
            </w:r>
            <w:r w:rsidR="00986B83">
              <w:rPr>
                <w:rFonts w:ascii="Arial" w:hAnsi="Arial" w:cs="Arial"/>
                <w:lang w:val="el-GR"/>
              </w:rPr>
              <w:t>το εδάφιο (3)</w:t>
            </w:r>
            <w:r w:rsidR="00F67B08">
              <w:rPr>
                <w:rFonts w:ascii="Arial" w:hAnsi="Arial" w:cs="Arial"/>
                <w:lang w:val="el-GR"/>
              </w:rPr>
              <w:t>.</w:t>
            </w:r>
          </w:p>
          <w:p w14:paraId="42869D0E" w14:textId="77777777" w:rsidR="00C627D8" w:rsidRDefault="00C627D8" w:rsidP="004D66B0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41440152" w14:textId="0D15F1D4" w:rsidR="0054664C" w:rsidRDefault="00B53838" w:rsidP="007C3F8B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(3) </w:t>
            </w:r>
            <w:r w:rsidR="0054664C">
              <w:rPr>
                <w:rFonts w:ascii="Arial" w:hAnsi="Arial" w:cs="Arial"/>
                <w:lang w:val="el-GR"/>
              </w:rPr>
              <w:t>Το Ανώτατο Συνταγματικό Δικαστήριο δύναται να αποδεχ</w:t>
            </w:r>
            <w:r w:rsidR="00C92F1D">
              <w:rPr>
                <w:rFonts w:ascii="Arial" w:hAnsi="Arial" w:cs="Arial"/>
                <w:lang w:val="el-GR"/>
              </w:rPr>
              <w:t>θ</w:t>
            </w:r>
            <w:r w:rsidR="0054664C">
              <w:rPr>
                <w:rFonts w:ascii="Arial" w:hAnsi="Arial" w:cs="Arial"/>
                <w:lang w:val="el-GR"/>
              </w:rPr>
              <w:t xml:space="preserve">εί την παραπομπή, εκδικάζοντας το </w:t>
            </w:r>
            <w:proofErr w:type="spellStart"/>
            <w:r w:rsidR="0054664C">
              <w:rPr>
                <w:rFonts w:ascii="Arial" w:hAnsi="Arial" w:cs="Arial"/>
                <w:lang w:val="el-GR"/>
              </w:rPr>
              <w:t>παραπεμφθέν</w:t>
            </w:r>
            <w:proofErr w:type="spellEnd"/>
            <w:r w:rsidR="0054664C">
              <w:rPr>
                <w:rFonts w:ascii="Arial" w:hAnsi="Arial" w:cs="Arial"/>
                <w:lang w:val="el-GR"/>
              </w:rPr>
              <w:t xml:space="preserve"> σε αυτό ζήτημα σύμφωνα με την παράγραφο</w:t>
            </w:r>
            <w:r w:rsidR="00834677">
              <w:rPr>
                <w:rFonts w:ascii="Arial" w:hAnsi="Arial" w:cs="Arial"/>
                <w:lang w:val="el-GR"/>
              </w:rPr>
              <w:t xml:space="preserve"> 2</w:t>
            </w:r>
            <w:r w:rsidR="0054664C">
              <w:rPr>
                <w:rFonts w:ascii="Arial" w:hAnsi="Arial" w:cs="Arial"/>
                <w:lang w:val="el-GR"/>
              </w:rPr>
              <w:t xml:space="preserve">, ή να απορρίψει την παραπομπή ενημερώνοντας συναφώς το παραπέμψαν </w:t>
            </w:r>
            <w:r w:rsidR="007616A2">
              <w:rPr>
                <w:rFonts w:ascii="Arial" w:hAnsi="Arial" w:cs="Arial"/>
                <w:lang w:val="el-GR"/>
              </w:rPr>
              <w:t xml:space="preserve">το ζήτημα </w:t>
            </w:r>
            <w:r w:rsidR="0054664C">
              <w:rPr>
                <w:rFonts w:ascii="Arial" w:hAnsi="Arial" w:cs="Arial"/>
                <w:lang w:val="el-GR"/>
              </w:rPr>
              <w:t>δικαστήριο</w:t>
            </w:r>
            <w:r w:rsidR="00C92F1D">
              <w:rPr>
                <w:rFonts w:ascii="Arial" w:hAnsi="Arial" w:cs="Arial"/>
                <w:lang w:val="el-GR"/>
              </w:rPr>
              <w:t>,</w:t>
            </w:r>
            <w:r w:rsidR="0054664C">
              <w:rPr>
                <w:rFonts w:ascii="Arial" w:hAnsi="Arial" w:cs="Arial"/>
                <w:lang w:val="el-GR"/>
              </w:rPr>
              <w:t xml:space="preserve"> </w:t>
            </w:r>
            <w:r w:rsidR="00834677">
              <w:rPr>
                <w:rFonts w:ascii="Arial" w:hAnsi="Arial" w:cs="Arial"/>
                <w:lang w:val="el-GR"/>
              </w:rPr>
              <w:t>σ</w:t>
            </w:r>
            <w:r w:rsidR="0054664C">
              <w:rPr>
                <w:rFonts w:ascii="Arial" w:hAnsi="Arial" w:cs="Arial"/>
                <w:lang w:val="el-GR"/>
              </w:rPr>
              <w:t>ε περίπτωση</w:t>
            </w:r>
            <w:r w:rsidR="00834677">
              <w:rPr>
                <w:rFonts w:ascii="Arial" w:hAnsi="Arial" w:cs="Arial"/>
                <w:lang w:val="el-GR"/>
              </w:rPr>
              <w:t xml:space="preserve"> δε</w:t>
            </w:r>
            <w:r w:rsidR="0054664C">
              <w:rPr>
                <w:rFonts w:ascii="Arial" w:hAnsi="Arial" w:cs="Arial"/>
                <w:lang w:val="el-GR"/>
              </w:rPr>
              <w:t xml:space="preserve"> που το Ανώτατο Συνταγματικό Δικαστήριο απορρίπτει την παραπομπή, το παραπεμπόμενο ζήτημα εκδικάζεται από το παραπέμψαν</w:t>
            </w:r>
            <w:r w:rsidR="007616A2">
              <w:rPr>
                <w:rFonts w:ascii="Arial" w:hAnsi="Arial" w:cs="Arial"/>
                <w:lang w:val="el-GR"/>
              </w:rPr>
              <w:t xml:space="preserve"> </w:t>
            </w:r>
            <w:r w:rsidR="00161601">
              <w:rPr>
                <w:rFonts w:ascii="Arial" w:hAnsi="Arial" w:cs="Arial"/>
                <w:lang w:val="el-GR"/>
              </w:rPr>
              <w:t xml:space="preserve">το ζήτημα </w:t>
            </w:r>
            <w:r w:rsidR="0054664C">
              <w:rPr>
                <w:rFonts w:ascii="Arial" w:hAnsi="Arial" w:cs="Arial"/>
                <w:lang w:val="el-GR"/>
              </w:rPr>
              <w:t>δικαστήριο.</w:t>
            </w:r>
          </w:p>
          <w:p w14:paraId="68F37B75" w14:textId="77777777" w:rsidR="0054664C" w:rsidRDefault="0054664C" w:rsidP="002610B8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5FD41B15" w14:textId="5A86B83B" w:rsidR="0054664C" w:rsidRDefault="00560516" w:rsidP="00096F1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(</w:t>
            </w:r>
            <w:r w:rsidR="00B53838">
              <w:rPr>
                <w:rFonts w:ascii="Arial" w:hAnsi="Arial" w:cs="Arial"/>
                <w:lang w:val="el-GR"/>
              </w:rPr>
              <w:t>4</w:t>
            </w:r>
            <w:r>
              <w:rPr>
                <w:rFonts w:ascii="Arial" w:hAnsi="Arial" w:cs="Arial"/>
                <w:lang w:val="el-GR"/>
              </w:rPr>
              <w:t>) Παρά τις διατάξεις του εδαφίου (</w:t>
            </w:r>
            <w:r w:rsidR="00B53838">
              <w:rPr>
                <w:rFonts w:ascii="Arial" w:hAnsi="Arial" w:cs="Arial"/>
                <w:lang w:val="el-GR"/>
              </w:rPr>
              <w:t>3</w:t>
            </w:r>
            <w:r>
              <w:rPr>
                <w:rFonts w:ascii="Arial" w:hAnsi="Arial" w:cs="Arial"/>
                <w:lang w:val="el-GR"/>
              </w:rPr>
              <w:t xml:space="preserve">), σε περίπτωση </w:t>
            </w:r>
            <w:r w:rsidR="00834677">
              <w:rPr>
                <w:rFonts w:ascii="Arial" w:hAnsi="Arial" w:cs="Arial"/>
                <w:lang w:val="el-GR"/>
              </w:rPr>
              <w:t xml:space="preserve">κατά την οποία </w:t>
            </w:r>
            <w:r>
              <w:rPr>
                <w:rFonts w:ascii="Arial" w:hAnsi="Arial" w:cs="Arial"/>
                <w:lang w:val="el-GR"/>
              </w:rPr>
              <w:t xml:space="preserve">ενώπιον του </w:t>
            </w:r>
            <w:proofErr w:type="spellStart"/>
            <w:r>
              <w:rPr>
                <w:rFonts w:ascii="Arial" w:hAnsi="Arial" w:cs="Arial"/>
                <w:lang w:val="el-GR"/>
              </w:rPr>
              <w:t>Ανωτάτου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Δικαστηρίου εγείρεται ζήτημα αντισυνταγματικότητας νόμου ή απόφασης ή διάταξης αυτών, το οποίο είναι ουσιώδες για τη διάγνωση της </w:t>
            </w:r>
            <w:proofErr w:type="spellStart"/>
            <w:r>
              <w:rPr>
                <w:rFonts w:ascii="Arial" w:hAnsi="Arial" w:cs="Arial"/>
                <w:lang w:val="el-GR"/>
              </w:rPr>
              <w:t>εκκρεμούσας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υπόθεσης ενώπιον </w:t>
            </w:r>
            <w:r w:rsidR="00C9121A">
              <w:rPr>
                <w:rFonts w:ascii="Arial" w:hAnsi="Arial" w:cs="Arial"/>
                <w:lang w:val="el-GR"/>
              </w:rPr>
              <w:t xml:space="preserve">του </w:t>
            </w:r>
            <w:proofErr w:type="spellStart"/>
            <w:r w:rsidR="00C9121A">
              <w:rPr>
                <w:rFonts w:ascii="Arial" w:hAnsi="Arial" w:cs="Arial"/>
                <w:lang w:val="el-GR"/>
              </w:rPr>
              <w:t>Ανωτάτου</w:t>
            </w:r>
            <w:proofErr w:type="spellEnd"/>
            <w:r w:rsidR="00C9121A">
              <w:rPr>
                <w:rFonts w:ascii="Arial" w:hAnsi="Arial" w:cs="Arial"/>
                <w:lang w:val="el-GR"/>
              </w:rPr>
              <w:t xml:space="preserve"> Δ</w:t>
            </w:r>
            <w:r>
              <w:rPr>
                <w:rFonts w:ascii="Arial" w:hAnsi="Arial" w:cs="Arial"/>
                <w:lang w:val="el-GR"/>
              </w:rPr>
              <w:t xml:space="preserve">ικαστηρίου, το </w:t>
            </w:r>
            <w:r w:rsidR="00C9121A">
              <w:rPr>
                <w:rFonts w:ascii="Arial" w:hAnsi="Arial" w:cs="Arial"/>
                <w:lang w:val="el-GR"/>
              </w:rPr>
              <w:t>Ανώτατο Δ</w:t>
            </w:r>
            <w:r>
              <w:rPr>
                <w:rFonts w:ascii="Arial" w:hAnsi="Arial" w:cs="Arial"/>
                <w:lang w:val="el-GR"/>
              </w:rPr>
              <w:t xml:space="preserve">ικαστήριο παραπέμπει παρευθύς το ζήτημα ενώπιον του </w:t>
            </w:r>
            <w:proofErr w:type="spellStart"/>
            <w:r>
              <w:rPr>
                <w:rFonts w:ascii="Arial" w:hAnsi="Arial" w:cs="Arial"/>
                <w:lang w:val="el-GR"/>
              </w:rPr>
              <w:t>Ανωτάτου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Συνταγματικού Δικαστηρίου και αναστέλλει την πρόοδο της διαδικασίας </w:t>
            </w:r>
            <w:proofErr w:type="spellStart"/>
            <w:r w:rsidR="00834677">
              <w:rPr>
                <w:rFonts w:ascii="Arial" w:hAnsi="Arial" w:cs="Arial"/>
                <w:lang w:val="el-GR"/>
              </w:rPr>
              <w:t>ενώπιόν</w:t>
            </w:r>
            <w:proofErr w:type="spellEnd"/>
            <w:r w:rsidR="00834677">
              <w:rPr>
                <w:rFonts w:ascii="Arial" w:hAnsi="Arial" w:cs="Arial"/>
                <w:lang w:val="el-GR"/>
              </w:rPr>
              <w:t xml:space="preserve"> του</w:t>
            </w:r>
            <w:r w:rsidR="00C92F1D">
              <w:rPr>
                <w:rFonts w:ascii="Arial" w:hAnsi="Arial" w:cs="Arial"/>
                <w:lang w:val="el-GR"/>
              </w:rPr>
              <w:t>,</w:t>
            </w:r>
            <w:r w:rsidR="0083467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μέχρις ότου το Ανώτατο Συνταγματικό Δικαστήριο</w:t>
            </w:r>
            <w:r w:rsidR="0083467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εκδικάσει</w:t>
            </w:r>
            <w:r w:rsidR="007616A2">
              <w:rPr>
                <w:rFonts w:ascii="Arial" w:hAnsi="Arial" w:cs="Arial"/>
                <w:lang w:val="el-GR"/>
              </w:rPr>
              <w:t xml:space="preserve"> το ζήτημα</w:t>
            </w:r>
            <w:r>
              <w:rPr>
                <w:rFonts w:ascii="Arial" w:hAnsi="Arial" w:cs="Arial"/>
                <w:lang w:val="el-GR"/>
              </w:rPr>
              <w:t xml:space="preserve"> σύμφωνα με τη</w:t>
            </w:r>
            <w:r w:rsidR="00834677">
              <w:rPr>
                <w:rFonts w:ascii="Arial" w:hAnsi="Arial" w:cs="Arial"/>
                <w:lang w:val="el-GR"/>
              </w:rPr>
              <w:t>ν</w:t>
            </w:r>
            <w:r>
              <w:rPr>
                <w:rFonts w:ascii="Arial" w:hAnsi="Arial" w:cs="Arial"/>
                <w:lang w:val="el-GR"/>
              </w:rPr>
              <w:t xml:space="preserve"> παράγραφο</w:t>
            </w:r>
            <w:r w:rsidR="00834677">
              <w:rPr>
                <w:rFonts w:ascii="Arial" w:hAnsi="Arial" w:cs="Arial"/>
                <w:lang w:val="el-GR"/>
              </w:rPr>
              <w:t xml:space="preserve"> </w:t>
            </w:r>
            <w:r w:rsidR="00834677">
              <w:rPr>
                <w:rFonts w:ascii="Arial" w:hAnsi="Arial" w:cs="Arial"/>
                <w:lang w:val="el-GR"/>
              </w:rPr>
              <w:lastRenderedPageBreak/>
              <w:t>2 και</w:t>
            </w:r>
            <w:r>
              <w:rPr>
                <w:rFonts w:ascii="Arial" w:hAnsi="Arial" w:cs="Arial"/>
                <w:lang w:val="el-GR"/>
              </w:rPr>
              <w:t xml:space="preserve"> αποφανθεί επί του παραπεμπόμενου σε αυτό ζητήματος.». </w:t>
            </w:r>
          </w:p>
        </w:tc>
      </w:tr>
      <w:tr w:rsidR="00410C1D" w:rsidRPr="00525562" w14:paraId="241E3D83" w14:textId="77777777" w:rsidTr="008B7C3E">
        <w:trPr>
          <w:gridAfter w:val="1"/>
          <w:wAfter w:w="29" w:type="dxa"/>
          <w:trHeight w:val="915"/>
          <w:jc w:val="center"/>
        </w:trPr>
        <w:tc>
          <w:tcPr>
            <w:tcW w:w="2127" w:type="dxa"/>
          </w:tcPr>
          <w:p w14:paraId="4C8DE8C1" w14:textId="77777777" w:rsidR="00576CA9" w:rsidRPr="008B7C3E" w:rsidRDefault="006F37BB" w:rsidP="00FB37C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lastRenderedPageBreak/>
              <w:t>Τροποποίηση του Άρθρου 14</w:t>
            </w:r>
            <w:r w:rsidR="00576CA9" w:rsidRPr="008B7C3E">
              <w:rPr>
                <w:rFonts w:ascii="Arial" w:hAnsi="Arial" w:cs="Arial"/>
                <w:lang w:val="el-GR"/>
              </w:rPr>
              <w:t>6 του Συντάγματος.</w:t>
            </w:r>
          </w:p>
        </w:tc>
        <w:tc>
          <w:tcPr>
            <w:tcW w:w="6958" w:type="dxa"/>
            <w:gridSpan w:val="3"/>
          </w:tcPr>
          <w:p w14:paraId="7B270CAD" w14:textId="77777777" w:rsidR="00576CA9" w:rsidRPr="0006211B" w:rsidRDefault="005B2D28" w:rsidP="00FB37C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  <w:r w:rsidR="00064A79">
              <w:rPr>
                <w:rFonts w:ascii="Arial" w:hAnsi="Arial" w:cs="Arial"/>
                <w:lang w:val="el-GR"/>
              </w:rPr>
              <w:t xml:space="preserve">. </w:t>
            </w:r>
            <w:r w:rsidR="0006211B">
              <w:rPr>
                <w:rFonts w:ascii="Arial" w:hAnsi="Arial" w:cs="Arial"/>
                <w:lang w:val="el-GR"/>
              </w:rPr>
              <w:t xml:space="preserve">Το Άρθρο 146 του Συντάγματος τροποποιείται </w:t>
            </w:r>
            <w:r w:rsidR="00141708">
              <w:rPr>
                <w:rFonts w:ascii="Arial" w:hAnsi="Arial" w:cs="Arial"/>
                <w:lang w:val="el-GR"/>
              </w:rPr>
              <w:t>ως ακολούθως</w:t>
            </w:r>
            <w:r w:rsidR="0006211B" w:rsidRPr="0006211B">
              <w:rPr>
                <w:rFonts w:ascii="Arial" w:hAnsi="Arial" w:cs="Arial"/>
                <w:lang w:val="el-GR"/>
              </w:rPr>
              <w:t>:</w:t>
            </w:r>
          </w:p>
        </w:tc>
      </w:tr>
      <w:tr w:rsidR="00FB37C1" w:rsidRPr="00525562" w14:paraId="331CEEC4" w14:textId="77777777" w:rsidTr="008B7C3E">
        <w:trPr>
          <w:trHeight w:val="141"/>
          <w:jc w:val="center"/>
        </w:trPr>
        <w:tc>
          <w:tcPr>
            <w:tcW w:w="2127" w:type="dxa"/>
          </w:tcPr>
          <w:p w14:paraId="372A9D63" w14:textId="77777777" w:rsidR="00FB37C1" w:rsidRPr="008B7C3E" w:rsidRDefault="00FB37C1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190" w:type="dxa"/>
          </w:tcPr>
          <w:p w14:paraId="78E4ADC9" w14:textId="77777777" w:rsidR="00FB37C1" w:rsidRDefault="00FB37C1" w:rsidP="00FB37C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797" w:type="dxa"/>
            <w:gridSpan w:val="3"/>
            <w:tcBorders>
              <w:left w:val="nil"/>
            </w:tcBorders>
          </w:tcPr>
          <w:p w14:paraId="42A3F022" w14:textId="34019A2A" w:rsidR="0059771E" w:rsidRDefault="0059771E" w:rsidP="007616A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(α)</w:t>
            </w:r>
            <w:r>
              <w:rPr>
                <w:rFonts w:ascii="Arial" w:hAnsi="Arial" w:cs="Arial"/>
                <w:lang w:val="el-GR"/>
              </w:rPr>
              <w:tab/>
              <w:t>Με την τροποποίηση της παραγράφου 1 αυτού ως ακολούθως:</w:t>
            </w:r>
          </w:p>
          <w:p w14:paraId="0410B320" w14:textId="77777777" w:rsidR="0059771E" w:rsidRDefault="0059771E" w:rsidP="007616A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lang w:val="el-GR"/>
              </w:rPr>
            </w:pPr>
          </w:p>
          <w:p w14:paraId="77EBFB84" w14:textId="1C8175EA" w:rsidR="00FB37C1" w:rsidRDefault="00FB37C1" w:rsidP="0059771E">
            <w:pPr>
              <w:spacing w:line="360" w:lineRule="auto"/>
              <w:ind w:left="1144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proofErr w:type="spellStart"/>
            <w:r w:rsidR="0059771E"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) </w:t>
            </w:r>
            <w:r w:rsidR="007616A2">
              <w:rPr>
                <w:rFonts w:ascii="Arial" w:hAnsi="Arial" w:cs="Arial"/>
                <w:lang w:val="el-GR"/>
              </w:rPr>
              <w:tab/>
            </w:r>
            <w:r w:rsidR="006557FA">
              <w:rPr>
                <w:rFonts w:ascii="Arial" w:hAnsi="Arial" w:cs="Arial"/>
                <w:lang w:val="el-GR"/>
              </w:rPr>
              <w:t>Μ</w:t>
            </w:r>
            <w:r>
              <w:rPr>
                <w:rFonts w:ascii="Arial" w:hAnsi="Arial" w:cs="Arial"/>
                <w:lang w:val="el-GR"/>
              </w:rPr>
              <w:t>ε</w:t>
            </w:r>
            <w:r w:rsidR="00A75078">
              <w:rPr>
                <w:rFonts w:ascii="Arial" w:hAnsi="Arial" w:cs="Arial"/>
                <w:lang w:val="el-GR"/>
              </w:rPr>
              <w:t xml:space="preserve"> την</w:t>
            </w:r>
            <w:r w:rsidR="00560516">
              <w:rPr>
                <w:rFonts w:ascii="Arial" w:hAnsi="Arial" w:cs="Arial"/>
                <w:lang w:val="el-GR"/>
              </w:rPr>
              <w:t xml:space="preserve"> αντικατάσταση</w:t>
            </w:r>
            <w:r w:rsidR="006557FA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της φράσης «</w:t>
            </w:r>
            <w:proofErr w:type="spellStart"/>
            <w:r>
              <w:rPr>
                <w:rFonts w:ascii="Arial" w:hAnsi="Arial" w:cs="Arial"/>
                <w:lang w:val="el-GR"/>
              </w:rPr>
              <w:t>κέκτηται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l-GR"/>
              </w:rPr>
              <w:t>αποκλειστικήν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δικαιοδοσία να αποφασίζει επί πάσης εφέσεως» (πρώτη και δεύτερη γραμμή)</w:t>
            </w:r>
            <w:r w:rsidR="006557FA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με τη φράση</w:t>
            </w:r>
            <w:r w:rsidR="0031686D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«</w:t>
            </w:r>
            <w:r w:rsidR="0031686D">
              <w:rPr>
                <w:rFonts w:ascii="Arial" w:hAnsi="Arial" w:cs="Arial"/>
                <w:lang w:val="el-GR"/>
              </w:rPr>
              <w:t>, σε δι</w:t>
            </w:r>
            <w:r w:rsidR="00C92F1D">
              <w:rPr>
                <w:rFonts w:ascii="Arial" w:hAnsi="Arial" w:cs="Arial"/>
                <w:lang w:val="el-GR"/>
              </w:rPr>
              <w:t>ά</w:t>
            </w:r>
            <w:r w:rsidR="0031686D">
              <w:rPr>
                <w:rFonts w:ascii="Arial" w:hAnsi="Arial" w:cs="Arial"/>
                <w:lang w:val="el-GR"/>
              </w:rPr>
              <w:t xml:space="preserve"> νόμου προβλεπόμενη περίπτωση κατά την οποία </w:t>
            </w:r>
            <w:r>
              <w:rPr>
                <w:rFonts w:ascii="Arial" w:hAnsi="Arial" w:cs="Arial"/>
                <w:lang w:val="el-GR"/>
              </w:rPr>
              <w:t xml:space="preserve">έφεση παραπέμπεται σε αυτό από το Εφετείο, </w:t>
            </w:r>
            <w:r w:rsidR="0031686D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="0031686D">
              <w:rPr>
                <w:rFonts w:ascii="Arial" w:hAnsi="Arial" w:cs="Arial"/>
                <w:lang w:val="el-GR"/>
              </w:rPr>
              <w:t>κέκτηται</w:t>
            </w:r>
            <w:proofErr w:type="spellEnd"/>
            <w:r w:rsidR="007616A2">
              <w:rPr>
                <w:rFonts w:ascii="Arial" w:hAnsi="Arial" w:cs="Arial"/>
                <w:lang w:val="el-GR"/>
              </w:rPr>
              <w:t>,</w:t>
            </w:r>
            <w:r w:rsidR="0031686D">
              <w:rPr>
                <w:rFonts w:ascii="Arial" w:hAnsi="Arial" w:cs="Arial"/>
                <w:lang w:val="el-GR"/>
              </w:rPr>
              <w:t xml:space="preserve"> ως νόμος ήθελε ορίσει, δικαιοδοσία να αποφασίζει επί τέτοιας έφεσης </w:t>
            </w:r>
            <w:r>
              <w:rPr>
                <w:rFonts w:ascii="Arial" w:hAnsi="Arial" w:cs="Arial"/>
                <w:lang w:val="el-GR"/>
              </w:rPr>
              <w:t xml:space="preserve">και το Εφετείο, σε κάθε άλλη περίπτωση, </w:t>
            </w:r>
            <w:proofErr w:type="spellStart"/>
            <w:r w:rsidRPr="00FE61C6">
              <w:rPr>
                <w:rFonts w:ascii="Arial" w:hAnsi="Arial" w:cs="Arial"/>
                <w:lang w:val="el-GR"/>
              </w:rPr>
              <w:t>κέκτηται</w:t>
            </w:r>
            <w:proofErr w:type="spellEnd"/>
            <w:r w:rsidRPr="00FE61C6">
              <w:rPr>
                <w:rFonts w:ascii="Arial" w:hAnsi="Arial" w:cs="Arial"/>
                <w:lang w:val="el-GR"/>
              </w:rPr>
              <w:t xml:space="preserve"> δικαιοδοσία να αποφασίζ</w:t>
            </w:r>
            <w:r w:rsidR="0031686D">
              <w:rPr>
                <w:rFonts w:ascii="Arial" w:hAnsi="Arial" w:cs="Arial"/>
                <w:lang w:val="el-GR"/>
              </w:rPr>
              <w:t>ει</w:t>
            </w:r>
            <w:r w:rsidRPr="00FE61C6">
              <w:rPr>
                <w:rFonts w:ascii="Arial" w:hAnsi="Arial" w:cs="Arial"/>
                <w:lang w:val="el-GR"/>
              </w:rPr>
              <w:t xml:space="preserve"> επί εφέσεως</w:t>
            </w:r>
            <w:r w:rsidR="0031686D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»· </w:t>
            </w:r>
            <w:r w:rsidR="006557FA">
              <w:rPr>
                <w:rFonts w:ascii="Arial" w:hAnsi="Arial" w:cs="Arial"/>
                <w:lang w:val="el-GR"/>
              </w:rPr>
              <w:t>και</w:t>
            </w:r>
          </w:p>
        </w:tc>
      </w:tr>
      <w:tr w:rsidR="00FB37C1" w:rsidRPr="00525562" w14:paraId="702A7D29" w14:textId="77777777" w:rsidTr="008B7C3E">
        <w:trPr>
          <w:trHeight w:val="78"/>
          <w:jc w:val="center"/>
        </w:trPr>
        <w:tc>
          <w:tcPr>
            <w:tcW w:w="2127" w:type="dxa"/>
          </w:tcPr>
          <w:p w14:paraId="780099C2" w14:textId="77777777" w:rsidR="00FB37C1" w:rsidRPr="008B7C3E" w:rsidRDefault="00FB37C1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190" w:type="dxa"/>
          </w:tcPr>
          <w:p w14:paraId="4A17AF65" w14:textId="77777777" w:rsidR="00FB37C1" w:rsidRDefault="00FB37C1" w:rsidP="00FB37C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797" w:type="dxa"/>
            <w:gridSpan w:val="3"/>
            <w:tcBorders>
              <w:left w:val="nil"/>
            </w:tcBorders>
          </w:tcPr>
          <w:p w14:paraId="09B0A2B7" w14:textId="571DE399" w:rsidR="00FB37C1" w:rsidRDefault="00FB37C1" w:rsidP="008B7C3E">
            <w:pPr>
              <w:spacing w:line="360" w:lineRule="auto"/>
              <w:ind w:left="1144" w:hanging="42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6557FA"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  <w:lang w:val="el-GR"/>
              </w:rPr>
              <w:t xml:space="preserve">) </w:t>
            </w:r>
            <w:r>
              <w:rPr>
                <w:rFonts w:ascii="Arial" w:hAnsi="Arial" w:cs="Arial"/>
                <w:lang w:val="el-GR"/>
              </w:rPr>
              <w:tab/>
              <w:t xml:space="preserve">με την προσθήκη στο τέλος </w:t>
            </w:r>
            <w:r w:rsidR="006557FA">
              <w:rPr>
                <w:rFonts w:ascii="Arial" w:hAnsi="Arial" w:cs="Arial"/>
                <w:lang w:val="el-GR"/>
              </w:rPr>
              <w:t>αυτής</w:t>
            </w:r>
            <w:r>
              <w:rPr>
                <w:rFonts w:ascii="Arial" w:hAnsi="Arial" w:cs="Arial"/>
                <w:lang w:val="el-GR"/>
              </w:rPr>
              <w:t xml:space="preserve"> της ακόλουθης νέας πρότασης:  </w:t>
            </w:r>
          </w:p>
          <w:p w14:paraId="585F04F8" w14:textId="77777777" w:rsidR="00FB37C1" w:rsidRDefault="00FB37C1" w:rsidP="00FB37C1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lang w:val="el-GR"/>
              </w:rPr>
            </w:pPr>
          </w:p>
          <w:p w14:paraId="504E8AAA" w14:textId="0378AD34" w:rsidR="00FB37C1" w:rsidRDefault="00FB37C1" w:rsidP="008B7C3E">
            <w:pPr>
              <w:spacing w:line="360" w:lineRule="auto"/>
              <w:ind w:left="1144" w:hanging="6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«Επιπρ</w:t>
            </w:r>
            <w:r w:rsidR="006557FA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σθ</w:t>
            </w:r>
            <w:r w:rsidR="006557FA">
              <w:rPr>
                <w:rFonts w:ascii="Arial" w:hAnsi="Arial" w:cs="Arial"/>
                <w:lang w:val="el-GR"/>
              </w:rPr>
              <w:t>έτως</w:t>
            </w:r>
            <w:r>
              <w:rPr>
                <w:rFonts w:ascii="Arial" w:hAnsi="Arial" w:cs="Arial"/>
                <w:lang w:val="el-GR"/>
              </w:rPr>
              <w:t xml:space="preserve">, το Ανώτατο Συνταγματικό Δικαστήριο </w:t>
            </w:r>
            <w:proofErr w:type="spellStart"/>
            <w:r>
              <w:rPr>
                <w:rFonts w:ascii="Arial" w:hAnsi="Arial" w:cs="Arial"/>
                <w:lang w:val="el-GR"/>
              </w:rPr>
              <w:t>κέκτηται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δικαιοδοσία να αποφασίζει</w:t>
            </w:r>
            <w:r w:rsidR="0031686D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σε </w:t>
            </w:r>
            <w:r w:rsidR="00C92F1D">
              <w:rPr>
                <w:rFonts w:ascii="Arial" w:hAnsi="Arial" w:cs="Arial"/>
                <w:lang w:val="el-GR"/>
              </w:rPr>
              <w:t xml:space="preserve">διά </w:t>
            </w:r>
            <w:r w:rsidR="0031686D">
              <w:rPr>
                <w:rFonts w:ascii="Arial" w:hAnsi="Arial" w:cs="Arial"/>
                <w:lang w:val="el-GR"/>
              </w:rPr>
              <w:t xml:space="preserve">νόμου προβλεπόμενη περίπτωση και ως νόμος ήθελε ορίσει, </w:t>
            </w:r>
            <w:r>
              <w:rPr>
                <w:rFonts w:ascii="Arial" w:hAnsi="Arial" w:cs="Arial"/>
                <w:lang w:val="el-GR"/>
              </w:rPr>
              <w:t>επί απ</w:t>
            </w:r>
            <w:r w:rsidR="0031686D">
              <w:rPr>
                <w:rFonts w:ascii="Arial" w:hAnsi="Arial" w:cs="Arial"/>
                <w:lang w:val="el-GR"/>
              </w:rPr>
              <w:t>όφασης</w:t>
            </w:r>
            <w:r w:rsidR="007616A2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εκδιδ</w:t>
            </w:r>
            <w:r w:rsidR="00A7527C">
              <w:rPr>
                <w:rFonts w:ascii="Arial" w:hAnsi="Arial" w:cs="Arial"/>
                <w:lang w:val="el-GR"/>
              </w:rPr>
              <w:t>ο</w:t>
            </w:r>
            <w:r w:rsidR="0031686D">
              <w:rPr>
                <w:rFonts w:ascii="Arial" w:hAnsi="Arial" w:cs="Arial"/>
                <w:lang w:val="el-GR"/>
              </w:rPr>
              <w:t>μ</w:t>
            </w:r>
            <w:r w:rsidR="00A7527C">
              <w:rPr>
                <w:rFonts w:ascii="Arial" w:hAnsi="Arial" w:cs="Arial"/>
                <w:lang w:val="el-GR"/>
              </w:rPr>
              <w:t>έ</w:t>
            </w:r>
            <w:r w:rsidR="0031686D">
              <w:rPr>
                <w:rFonts w:ascii="Arial" w:hAnsi="Arial" w:cs="Arial"/>
                <w:lang w:val="el-GR"/>
              </w:rPr>
              <w:t>νης</w:t>
            </w:r>
            <w:r w:rsidR="007616A2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 από το Εφετείο σε</w:t>
            </w:r>
            <w:r w:rsidR="0031686D">
              <w:rPr>
                <w:rFonts w:ascii="Arial" w:hAnsi="Arial" w:cs="Arial"/>
                <w:lang w:val="el-GR"/>
              </w:rPr>
              <w:t xml:space="preserve"> ενώπιον του τελευταίου έφεσης</w:t>
            </w:r>
            <w:r>
              <w:rPr>
                <w:rFonts w:ascii="Arial" w:hAnsi="Arial" w:cs="Arial"/>
                <w:lang w:val="el-GR"/>
              </w:rPr>
              <w:t xml:space="preserve"> κατά απ</w:t>
            </w:r>
            <w:r w:rsidR="0031686D">
              <w:rPr>
                <w:rFonts w:ascii="Arial" w:hAnsi="Arial" w:cs="Arial"/>
                <w:lang w:val="el-GR"/>
              </w:rPr>
              <w:t>όφασης</w:t>
            </w:r>
            <w:r w:rsidR="007616A2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Διοικητικού Δικαστηρίου.»·</w:t>
            </w:r>
            <w:r w:rsidR="006557FA">
              <w:rPr>
                <w:rFonts w:ascii="Arial" w:hAnsi="Arial" w:cs="Arial"/>
                <w:lang w:val="el-GR"/>
              </w:rPr>
              <w:t xml:space="preserve"> και</w:t>
            </w:r>
          </w:p>
        </w:tc>
      </w:tr>
      <w:tr w:rsidR="00FB37C1" w:rsidRPr="00525562" w14:paraId="2BAA41EB" w14:textId="77777777" w:rsidTr="008B7C3E">
        <w:trPr>
          <w:jc w:val="center"/>
        </w:trPr>
        <w:tc>
          <w:tcPr>
            <w:tcW w:w="2127" w:type="dxa"/>
          </w:tcPr>
          <w:p w14:paraId="29109332" w14:textId="77777777" w:rsidR="00FB37C1" w:rsidRPr="008B7C3E" w:rsidRDefault="00FB37C1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190" w:type="dxa"/>
          </w:tcPr>
          <w:p w14:paraId="7BEB9E08" w14:textId="77777777" w:rsidR="00FB37C1" w:rsidRDefault="00FB37C1" w:rsidP="00FB37C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797" w:type="dxa"/>
            <w:gridSpan w:val="3"/>
            <w:tcBorders>
              <w:left w:val="nil"/>
            </w:tcBorders>
          </w:tcPr>
          <w:p w14:paraId="191A93F1" w14:textId="5F5232FC" w:rsidR="00FB37C1" w:rsidRDefault="00FB37C1" w:rsidP="003058D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6557FA">
              <w:rPr>
                <w:rFonts w:ascii="Arial" w:hAnsi="Arial" w:cs="Arial"/>
                <w:lang w:val="el-GR"/>
              </w:rPr>
              <w:t>β</w:t>
            </w:r>
            <w:r>
              <w:rPr>
                <w:rFonts w:ascii="Arial" w:hAnsi="Arial" w:cs="Arial"/>
                <w:lang w:val="el-GR"/>
              </w:rPr>
              <w:t xml:space="preserve">) </w:t>
            </w:r>
            <w:r>
              <w:rPr>
                <w:rFonts w:ascii="Arial" w:hAnsi="Arial" w:cs="Arial"/>
                <w:lang w:val="el-GR"/>
              </w:rPr>
              <w:tab/>
              <w:t>με την</w:t>
            </w:r>
            <w:r w:rsidR="00A75078">
              <w:rPr>
                <w:rFonts w:ascii="Arial" w:hAnsi="Arial" w:cs="Arial"/>
                <w:lang w:val="el-GR"/>
              </w:rPr>
              <w:t xml:space="preserve"> προσθήκη στην παράγραφο 5</w:t>
            </w:r>
            <w:r w:rsidR="006557FA">
              <w:rPr>
                <w:rFonts w:ascii="Arial" w:hAnsi="Arial" w:cs="Arial"/>
                <w:lang w:val="el-GR"/>
              </w:rPr>
              <w:t xml:space="preserve"> αυτού</w:t>
            </w:r>
            <w:r>
              <w:rPr>
                <w:rFonts w:ascii="Arial" w:hAnsi="Arial" w:cs="Arial"/>
                <w:lang w:val="el-GR"/>
              </w:rPr>
              <w:t>,</w:t>
            </w:r>
            <w:r w:rsidR="00A75078">
              <w:rPr>
                <w:rFonts w:ascii="Arial" w:hAnsi="Arial" w:cs="Arial"/>
                <w:lang w:val="el-GR"/>
              </w:rPr>
              <w:t xml:space="preserve"> αμέσως</w:t>
            </w:r>
            <w:r>
              <w:rPr>
                <w:rFonts w:ascii="Arial" w:hAnsi="Arial" w:cs="Arial"/>
                <w:lang w:val="el-GR"/>
              </w:rPr>
              <w:t xml:space="preserve"> μετά τη λέξη «έφεσης» (</w:t>
            </w:r>
            <w:r w:rsidR="0024214E">
              <w:rPr>
                <w:rFonts w:ascii="Arial" w:hAnsi="Arial" w:cs="Arial"/>
                <w:lang w:val="el-GR"/>
              </w:rPr>
              <w:t>δεύτερ</w:t>
            </w:r>
            <w:r w:rsidR="00BC31B4">
              <w:rPr>
                <w:rFonts w:ascii="Arial" w:hAnsi="Arial" w:cs="Arial"/>
                <w:lang w:val="el-GR"/>
              </w:rPr>
              <w:t>η</w:t>
            </w:r>
            <w:r>
              <w:rPr>
                <w:rFonts w:ascii="Arial" w:hAnsi="Arial" w:cs="Arial"/>
                <w:lang w:val="el-GR"/>
              </w:rPr>
              <w:t xml:space="preserve"> γραμμή), της φράσης «</w:t>
            </w:r>
            <w:r w:rsidR="00A7527C">
              <w:rPr>
                <w:rFonts w:ascii="Arial" w:hAnsi="Arial" w:cs="Arial"/>
                <w:lang w:val="el-GR"/>
              </w:rPr>
              <w:t xml:space="preserve">, </w:t>
            </w:r>
            <w:r w:rsidR="0031686D">
              <w:rPr>
                <w:rFonts w:ascii="Arial" w:hAnsi="Arial" w:cs="Arial"/>
                <w:lang w:val="el-GR"/>
              </w:rPr>
              <w:t xml:space="preserve">η οποία εκδίδεται </w:t>
            </w:r>
            <w:r>
              <w:rPr>
                <w:rFonts w:ascii="Arial" w:hAnsi="Arial" w:cs="Arial"/>
                <w:lang w:val="el-GR"/>
              </w:rPr>
              <w:t>στ</w:t>
            </w:r>
            <w:r w:rsidR="003058D2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πλαίσι</w:t>
            </w:r>
            <w:r w:rsidR="003058D2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της δικαιοδοσίας που </w:t>
            </w:r>
            <w:r>
              <w:rPr>
                <w:rFonts w:ascii="Arial" w:hAnsi="Arial" w:cs="Arial"/>
                <w:lang w:val="el-GR"/>
              </w:rPr>
              <w:lastRenderedPageBreak/>
              <w:t>παραχωρείται στο Ανώτατο Συνταγματικό Δικαστήριο ή στο Εφετείο δυνάμει της παραγράφου 1,».</w:t>
            </w:r>
          </w:p>
        </w:tc>
      </w:tr>
      <w:tr w:rsidR="00C8711B" w:rsidRPr="00525562" w14:paraId="61642680" w14:textId="77777777" w:rsidTr="008B7C3E">
        <w:trPr>
          <w:gridAfter w:val="1"/>
          <w:wAfter w:w="29" w:type="dxa"/>
          <w:trHeight w:val="690"/>
          <w:jc w:val="center"/>
        </w:trPr>
        <w:tc>
          <w:tcPr>
            <w:tcW w:w="2127" w:type="dxa"/>
          </w:tcPr>
          <w:p w14:paraId="3DAFA525" w14:textId="77777777" w:rsidR="00FE61C6" w:rsidRPr="008B7C3E" w:rsidRDefault="00FB37C1" w:rsidP="00FB37C1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8B7C3E">
              <w:rPr>
                <w:rFonts w:ascii="Arial" w:hAnsi="Arial" w:cs="Arial"/>
                <w:lang w:val="el-GR"/>
              </w:rPr>
              <w:lastRenderedPageBreak/>
              <w:t>Τροποποίηση του Άρθρου 155 του Συντάγματος.</w:t>
            </w:r>
          </w:p>
        </w:tc>
        <w:tc>
          <w:tcPr>
            <w:tcW w:w="6958" w:type="dxa"/>
            <w:gridSpan w:val="3"/>
          </w:tcPr>
          <w:p w14:paraId="165F4EF1" w14:textId="77777777" w:rsidR="00410907" w:rsidRPr="00410907" w:rsidRDefault="005B2D28" w:rsidP="00FB37C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  <w:r w:rsidR="00FB37C1">
              <w:rPr>
                <w:rFonts w:ascii="Arial" w:hAnsi="Arial" w:cs="Arial"/>
                <w:lang w:val="el-GR"/>
              </w:rPr>
              <w:t>. Το  Άρθρο 155 του Συντάγματος τροποποιείται ως ακολούθως</w:t>
            </w:r>
            <w:r w:rsidR="00FB37C1" w:rsidRPr="007C0EF5">
              <w:rPr>
                <w:rFonts w:ascii="Arial" w:hAnsi="Arial" w:cs="Arial"/>
                <w:lang w:val="el-GR"/>
              </w:rPr>
              <w:t>:</w:t>
            </w:r>
          </w:p>
        </w:tc>
      </w:tr>
      <w:tr w:rsidR="007204D7" w:rsidRPr="00525562" w14:paraId="79A8B0BC" w14:textId="77777777" w:rsidTr="008B7C3E">
        <w:trPr>
          <w:gridAfter w:val="1"/>
          <w:wAfter w:w="29" w:type="dxa"/>
          <w:jc w:val="center"/>
        </w:trPr>
        <w:tc>
          <w:tcPr>
            <w:tcW w:w="2127" w:type="dxa"/>
          </w:tcPr>
          <w:p w14:paraId="5A25EA1E" w14:textId="77777777" w:rsidR="007204D7" w:rsidRPr="008B7C3E" w:rsidRDefault="007204D7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190" w:type="dxa"/>
          </w:tcPr>
          <w:p w14:paraId="7B937722" w14:textId="77777777" w:rsidR="007204D7" w:rsidRDefault="007204D7" w:rsidP="00FB37C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768" w:type="dxa"/>
            <w:gridSpan w:val="2"/>
            <w:tcBorders>
              <w:left w:val="nil"/>
            </w:tcBorders>
          </w:tcPr>
          <w:p w14:paraId="634E4551" w14:textId="6AE86DED" w:rsidR="007204D7" w:rsidRDefault="007204D7" w:rsidP="007204D7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(α) </w:t>
            </w:r>
            <w:r>
              <w:rPr>
                <w:rFonts w:ascii="Arial" w:hAnsi="Arial" w:cs="Arial"/>
                <w:lang w:val="el-GR"/>
              </w:rPr>
              <w:tab/>
            </w:r>
            <w:r w:rsidR="00FB5D8B">
              <w:rPr>
                <w:rFonts w:ascii="Arial" w:hAnsi="Arial" w:cs="Arial"/>
                <w:lang w:val="el-GR"/>
              </w:rPr>
              <w:t>Μ</w:t>
            </w:r>
            <w:r>
              <w:rPr>
                <w:rFonts w:ascii="Arial" w:hAnsi="Arial" w:cs="Arial"/>
                <w:lang w:val="el-GR"/>
              </w:rPr>
              <w:t>ε την αντικατάσταση της παραγράφου 1</w:t>
            </w:r>
            <w:r w:rsidR="00A0356C">
              <w:rPr>
                <w:rFonts w:ascii="Arial" w:hAnsi="Arial" w:cs="Arial"/>
                <w:lang w:val="el-GR"/>
              </w:rPr>
              <w:t xml:space="preserve"> αυτού</w:t>
            </w:r>
            <w:r w:rsidR="000D593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με την ακόλουθη παράγραφο</w:t>
            </w:r>
            <w:r w:rsidRPr="00E812C3">
              <w:rPr>
                <w:rFonts w:ascii="Arial" w:hAnsi="Arial" w:cs="Arial"/>
                <w:lang w:val="el-GR"/>
              </w:rPr>
              <w:t xml:space="preserve">: </w:t>
            </w:r>
          </w:p>
          <w:p w14:paraId="4CC618E7" w14:textId="77777777" w:rsidR="007204D7" w:rsidRDefault="007204D7" w:rsidP="007204D7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lang w:val="el-GR"/>
              </w:rPr>
            </w:pPr>
          </w:p>
          <w:p w14:paraId="66B64602" w14:textId="50F7BFE7" w:rsidR="007204D7" w:rsidRDefault="007204D7" w:rsidP="008B7C3E">
            <w:pPr>
              <w:spacing w:line="360" w:lineRule="auto"/>
              <w:ind w:left="719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 xml:space="preserve">«1. </w:t>
            </w:r>
            <w:proofErr w:type="spellStart"/>
            <w:r>
              <w:rPr>
                <w:rFonts w:ascii="Arial" w:hAnsi="Arial" w:cs="Arial"/>
                <w:lang w:val="el-GR"/>
              </w:rPr>
              <w:t>Επιφυλασσομένης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της δικαιοδοσίας του </w:t>
            </w:r>
            <w:proofErr w:type="spellStart"/>
            <w:r>
              <w:rPr>
                <w:rFonts w:ascii="Arial" w:hAnsi="Arial" w:cs="Arial"/>
                <w:lang w:val="el-GR"/>
              </w:rPr>
              <w:t>Ανωτάτου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Συνταγματικού Δικαστηρίου</w:t>
            </w:r>
            <w:r w:rsidR="00D33E96">
              <w:rPr>
                <w:rFonts w:ascii="Arial" w:hAnsi="Arial" w:cs="Arial"/>
                <w:lang w:val="el-GR"/>
              </w:rPr>
              <w:t xml:space="preserve"> δυνάμει του άρθρου </w:t>
            </w:r>
            <w:r>
              <w:rPr>
                <w:rFonts w:ascii="Arial" w:hAnsi="Arial" w:cs="Arial"/>
                <w:lang w:val="el-GR"/>
              </w:rPr>
              <w:t xml:space="preserve">146, το Ανώτατο Δικαστήριο </w:t>
            </w:r>
            <w:proofErr w:type="spellStart"/>
            <w:r>
              <w:rPr>
                <w:rFonts w:ascii="Arial" w:hAnsi="Arial" w:cs="Arial"/>
                <w:lang w:val="el-GR"/>
              </w:rPr>
              <w:t>κέκτηται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δικαιοδοσία να αποφασίζει, σε</w:t>
            </w:r>
            <w:r w:rsidR="003058D2">
              <w:rPr>
                <w:rFonts w:ascii="Arial" w:hAnsi="Arial" w:cs="Arial"/>
                <w:lang w:val="el-GR"/>
              </w:rPr>
              <w:t xml:space="preserve"> </w:t>
            </w:r>
            <w:r w:rsidR="00C92F1D">
              <w:rPr>
                <w:rFonts w:ascii="Arial" w:hAnsi="Arial" w:cs="Arial"/>
                <w:lang w:val="el-GR"/>
              </w:rPr>
              <w:t xml:space="preserve">διά </w:t>
            </w:r>
            <w:r w:rsidR="003058D2">
              <w:rPr>
                <w:rFonts w:ascii="Arial" w:hAnsi="Arial" w:cs="Arial"/>
                <w:lang w:val="el-GR"/>
              </w:rPr>
              <w:t>νόμου προβλεπόμενη περίπτωση και ως νόμος ήθελε ορίσει</w:t>
            </w:r>
            <w:r>
              <w:rPr>
                <w:rFonts w:ascii="Arial" w:hAnsi="Arial" w:cs="Arial"/>
                <w:lang w:val="el-GR"/>
              </w:rPr>
              <w:t xml:space="preserve">, επί αποφάσεων εκδιδομένων από το Εφετείο και επί εφέσεων που παραπέμπονται σε αυτό από το Εφετείο κατά αποφάσεως οποιουδήποτε άλλου δικαστηρίου, πλην του </w:t>
            </w:r>
            <w:proofErr w:type="spellStart"/>
            <w:r>
              <w:rPr>
                <w:rFonts w:ascii="Arial" w:hAnsi="Arial" w:cs="Arial"/>
                <w:lang w:val="el-GR"/>
              </w:rPr>
              <w:t>Ανωτάτου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Συνταγματικού Δικαστηρίου και του Διοικητικού Δικαστηρίου</w:t>
            </w:r>
            <w:r w:rsidR="005B2D28">
              <w:rPr>
                <w:rFonts w:ascii="Arial" w:hAnsi="Arial" w:cs="Arial"/>
                <w:lang w:val="el-GR"/>
              </w:rPr>
              <w:t xml:space="preserve">, καθώς και </w:t>
            </w:r>
            <w:r w:rsidR="00A7527C">
              <w:rPr>
                <w:rFonts w:ascii="Arial" w:hAnsi="Arial" w:cs="Arial"/>
                <w:lang w:val="el-GR"/>
              </w:rPr>
              <w:t>επί άλλων θεμάτων ως</w:t>
            </w:r>
            <w:r w:rsidR="003058D2">
              <w:rPr>
                <w:rFonts w:ascii="Arial" w:hAnsi="Arial" w:cs="Arial"/>
                <w:lang w:val="el-GR"/>
              </w:rPr>
              <w:t xml:space="preserve"> νόμος ήθελε ορίσει</w:t>
            </w:r>
            <w:r w:rsidR="0030246A">
              <w:rPr>
                <w:rFonts w:ascii="Arial" w:hAnsi="Arial" w:cs="Arial"/>
                <w:lang w:val="el-GR"/>
              </w:rPr>
              <w:t>.»</w:t>
            </w:r>
            <w:r w:rsidR="003058D2">
              <w:rPr>
                <w:rFonts w:ascii="Arial" w:hAnsi="Arial" w:cs="Arial"/>
                <w:lang w:val="el-GR"/>
              </w:rPr>
              <w:t xml:space="preserve">· </w:t>
            </w:r>
          </w:p>
        </w:tc>
      </w:tr>
      <w:tr w:rsidR="0057201A" w:rsidRPr="00525562" w14:paraId="719D2E00" w14:textId="77777777" w:rsidTr="008B7C3E">
        <w:trPr>
          <w:gridAfter w:val="1"/>
          <w:wAfter w:w="29" w:type="dxa"/>
          <w:jc w:val="center"/>
        </w:trPr>
        <w:tc>
          <w:tcPr>
            <w:tcW w:w="2127" w:type="dxa"/>
          </w:tcPr>
          <w:p w14:paraId="57911FB8" w14:textId="77777777" w:rsidR="0057201A" w:rsidRPr="008B7C3E" w:rsidRDefault="0057201A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190" w:type="dxa"/>
          </w:tcPr>
          <w:p w14:paraId="757AC6C2" w14:textId="77777777" w:rsidR="0057201A" w:rsidRDefault="0057201A" w:rsidP="00FB37C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768" w:type="dxa"/>
            <w:gridSpan w:val="2"/>
            <w:tcBorders>
              <w:left w:val="nil"/>
            </w:tcBorders>
          </w:tcPr>
          <w:p w14:paraId="0227F66B" w14:textId="10F4BC5E" w:rsidR="0057201A" w:rsidRDefault="0057201A" w:rsidP="007204D7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(β)</w:t>
            </w:r>
            <w:r>
              <w:rPr>
                <w:rFonts w:ascii="Arial" w:hAnsi="Arial" w:cs="Arial"/>
                <w:lang w:val="el-GR"/>
              </w:rPr>
              <w:tab/>
              <w:t xml:space="preserve">με την </w:t>
            </w:r>
            <w:r w:rsidR="00EB412F">
              <w:rPr>
                <w:rFonts w:ascii="Arial" w:hAnsi="Arial" w:cs="Arial"/>
                <w:lang w:val="el-GR"/>
              </w:rPr>
              <w:t xml:space="preserve">κατάργηση </w:t>
            </w:r>
            <w:r>
              <w:rPr>
                <w:rFonts w:ascii="Arial" w:hAnsi="Arial" w:cs="Arial"/>
                <w:lang w:val="el-GR"/>
              </w:rPr>
              <w:t>της παραγράφου 2</w:t>
            </w:r>
            <w:r w:rsidR="00D33E96">
              <w:rPr>
                <w:rFonts w:ascii="Arial" w:hAnsi="Arial" w:cs="Arial"/>
                <w:lang w:val="el-GR"/>
              </w:rPr>
              <w:t xml:space="preserve"> αυτού</w:t>
            </w:r>
            <w:r>
              <w:rPr>
                <w:rFonts w:ascii="Arial" w:hAnsi="Arial" w:cs="Arial"/>
                <w:lang w:val="el-GR"/>
              </w:rPr>
              <w:t>·</w:t>
            </w:r>
          </w:p>
          <w:p w14:paraId="522516C0" w14:textId="77777777" w:rsidR="002610B8" w:rsidRDefault="002610B8" w:rsidP="002610B8">
            <w:pPr>
              <w:ind w:left="720" w:hanging="720"/>
              <w:jc w:val="both"/>
              <w:rPr>
                <w:rFonts w:ascii="Arial" w:hAnsi="Arial" w:cs="Arial"/>
                <w:lang w:val="el-GR"/>
              </w:rPr>
            </w:pPr>
          </w:p>
          <w:p w14:paraId="73E6A036" w14:textId="598E3F14" w:rsidR="0057201A" w:rsidRDefault="0057201A" w:rsidP="00EB412F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(γ)</w:t>
            </w:r>
            <w:r>
              <w:rPr>
                <w:rFonts w:ascii="Arial" w:hAnsi="Arial" w:cs="Arial"/>
                <w:lang w:val="el-GR"/>
              </w:rPr>
              <w:tab/>
              <w:t xml:space="preserve">με την </w:t>
            </w:r>
            <w:r w:rsidR="00EB412F">
              <w:rPr>
                <w:rFonts w:ascii="Arial" w:hAnsi="Arial" w:cs="Arial"/>
                <w:lang w:val="el-GR"/>
              </w:rPr>
              <w:t xml:space="preserve">κατάργηση </w:t>
            </w:r>
            <w:r>
              <w:rPr>
                <w:rFonts w:ascii="Arial" w:hAnsi="Arial" w:cs="Arial"/>
                <w:lang w:val="el-GR"/>
              </w:rPr>
              <w:t>της παραγράφου 4</w:t>
            </w:r>
            <w:r w:rsidR="00D33E96">
              <w:rPr>
                <w:rFonts w:ascii="Arial" w:hAnsi="Arial" w:cs="Arial"/>
                <w:lang w:val="el-GR"/>
              </w:rPr>
              <w:t xml:space="preserve"> αυτού</w:t>
            </w:r>
            <w:r>
              <w:rPr>
                <w:rFonts w:ascii="Arial" w:hAnsi="Arial" w:cs="Arial"/>
                <w:lang w:val="el-GR"/>
              </w:rPr>
              <w:t>·</w:t>
            </w:r>
            <w:r w:rsidR="000D00D7">
              <w:rPr>
                <w:rFonts w:ascii="Arial" w:hAnsi="Arial" w:cs="Arial"/>
                <w:lang w:val="el-GR"/>
              </w:rPr>
              <w:t xml:space="preserve"> και</w:t>
            </w:r>
          </w:p>
        </w:tc>
      </w:tr>
      <w:tr w:rsidR="007204D7" w:rsidRPr="00525562" w14:paraId="2108F605" w14:textId="77777777" w:rsidTr="008B7C3E">
        <w:trPr>
          <w:gridAfter w:val="1"/>
          <w:wAfter w:w="29" w:type="dxa"/>
          <w:jc w:val="center"/>
        </w:trPr>
        <w:tc>
          <w:tcPr>
            <w:tcW w:w="2127" w:type="dxa"/>
          </w:tcPr>
          <w:p w14:paraId="35FAB5E7" w14:textId="77777777" w:rsidR="007204D7" w:rsidRPr="008B7C3E" w:rsidRDefault="007204D7" w:rsidP="00FB37C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</w:tc>
        <w:tc>
          <w:tcPr>
            <w:tcW w:w="190" w:type="dxa"/>
          </w:tcPr>
          <w:p w14:paraId="6E213B27" w14:textId="77777777" w:rsidR="007204D7" w:rsidRDefault="007204D7" w:rsidP="00FB37C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768" w:type="dxa"/>
            <w:gridSpan w:val="2"/>
            <w:tcBorders>
              <w:left w:val="nil"/>
            </w:tcBorders>
          </w:tcPr>
          <w:p w14:paraId="0BE73803" w14:textId="08F588B9" w:rsidR="007204D7" w:rsidRDefault="007204D7" w:rsidP="007204D7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57201A">
              <w:rPr>
                <w:rFonts w:ascii="Arial" w:hAnsi="Arial" w:cs="Arial"/>
                <w:lang w:val="el-GR"/>
              </w:rPr>
              <w:t>δ</w:t>
            </w:r>
            <w:r>
              <w:rPr>
                <w:rFonts w:ascii="Arial" w:hAnsi="Arial" w:cs="Arial"/>
                <w:lang w:val="el-GR"/>
              </w:rPr>
              <w:t xml:space="preserve">) </w:t>
            </w:r>
            <w:r>
              <w:rPr>
                <w:rFonts w:ascii="Arial" w:hAnsi="Arial" w:cs="Arial"/>
                <w:lang w:val="el-GR"/>
              </w:rPr>
              <w:tab/>
              <w:t xml:space="preserve">με την προσθήκη, αμέσως μετά την παράγραφο </w:t>
            </w:r>
            <w:r w:rsidR="003058D2">
              <w:rPr>
                <w:rFonts w:ascii="Arial" w:hAnsi="Arial" w:cs="Arial"/>
                <w:lang w:val="el-GR"/>
              </w:rPr>
              <w:t>4</w:t>
            </w:r>
            <w:r w:rsidR="00D33E96">
              <w:rPr>
                <w:rFonts w:ascii="Arial" w:hAnsi="Arial" w:cs="Arial"/>
                <w:lang w:val="el-GR"/>
              </w:rPr>
              <w:t xml:space="preserve"> αυτού</w:t>
            </w:r>
            <w:r>
              <w:rPr>
                <w:rFonts w:ascii="Arial" w:hAnsi="Arial" w:cs="Arial"/>
                <w:lang w:val="el-GR"/>
              </w:rPr>
              <w:t>, της ακόλουθης νέας παραγράφου</w:t>
            </w:r>
            <w:r w:rsidRPr="00BC5BE0">
              <w:rPr>
                <w:rFonts w:ascii="Arial" w:hAnsi="Arial" w:cs="Arial"/>
                <w:lang w:val="el-GR"/>
              </w:rPr>
              <w:t>:</w:t>
            </w:r>
          </w:p>
          <w:p w14:paraId="405C93D8" w14:textId="77777777" w:rsidR="007204D7" w:rsidRDefault="007204D7" w:rsidP="007204D7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3AA0AD9F" w14:textId="77777777" w:rsidR="00087B0E" w:rsidRDefault="007204D7" w:rsidP="008B7C3E">
            <w:pPr>
              <w:spacing w:line="360" w:lineRule="auto"/>
              <w:ind w:left="719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«</w:t>
            </w:r>
            <w:r w:rsidR="003058D2">
              <w:rPr>
                <w:rFonts w:ascii="Arial" w:hAnsi="Arial" w:cs="Arial"/>
                <w:lang w:val="el-GR"/>
              </w:rPr>
              <w:t>5</w:t>
            </w:r>
            <w:r>
              <w:rPr>
                <w:rFonts w:ascii="Arial" w:hAnsi="Arial" w:cs="Arial"/>
                <w:lang w:val="el-GR"/>
              </w:rPr>
              <w:t>. Τηρουμένων των διατάξεων του παρόντος άρθρου, νόμος ήθελε ορίσει περί της ίδρυσης, της δικαιοδοσίας και των εξουσιών του Εφετείου.»</w:t>
            </w:r>
            <w:r w:rsidR="00624DC7">
              <w:rPr>
                <w:rFonts w:ascii="Arial" w:hAnsi="Arial" w:cs="Arial"/>
                <w:lang w:val="el-GR"/>
              </w:rPr>
              <w:t>.</w:t>
            </w:r>
          </w:p>
          <w:p w14:paraId="413172AC" w14:textId="77777777" w:rsidR="007204D7" w:rsidRDefault="007204D7" w:rsidP="00406137">
            <w:pPr>
              <w:spacing w:line="360" w:lineRule="auto"/>
              <w:ind w:left="965" w:hanging="96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EA7E8F" w:rsidRPr="00525562" w14:paraId="740B606B" w14:textId="77777777" w:rsidTr="008B7C3E">
        <w:trPr>
          <w:gridAfter w:val="1"/>
          <w:wAfter w:w="29" w:type="dxa"/>
          <w:jc w:val="center"/>
        </w:trPr>
        <w:tc>
          <w:tcPr>
            <w:tcW w:w="2127" w:type="dxa"/>
          </w:tcPr>
          <w:p w14:paraId="6FD2E6DE" w14:textId="77777777" w:rsidR="00EA7E8F" w:rsidRPr="008B7C3E" w:rsidRDefault="00EA7E8F" w:rsidP="007204D7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8B7C3E">
              <w:rPr>
                <w:rFonts w:ascii="Arial" w:hAnsi="Arial" w:cs="Arial"/>
                <w:color w:val="000000"/>
                <w:lang w:val="el-GR"/>
              </w:rPr>
              <w:lastRenderedPageBreak/>
              <w:t>Μεταβατική διάταξη.</w:t>
            </w:r>
          </w:p>
        </w:tc>
        <w:tc>
          <w:tcPr>
            <w:tcW w:w="6958" w:type="dxa"/>
            <w:gridSpan w:val="3"/>
          </w:tcPr>
          <w:p w14:paraId="08EFD6AD" w14:textId="2D3F0505" w:rsidR="00EA7E8F" w:rsidDel="009C6ED2" w:rsidRDefault="00EA7E8F" w:rsidP="009C6ED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6. </w:t>
            </w:r>
            <w:r w:rsidR="009C0DE3">
              <w:rPr>
                <w:rFonts w:ascii="Arial" w:hAnsi="Arial" w:cs="Arial"/>
                <w:color w:val="000000"/>
                <w:lang w:val="el-GR"/>
              </w:rPr>
              <w:t xml:space="preserve">Ανεξαρτήτως των διατάξεων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του παρόντος Νόμου, το Ανώτατο Δικαστήριο, ως καθιδρύθηκε </w:t>
            </w:r>
            <w:r w:rsidR="00C92F1D">
              <w:rPr>
                <w:rFonts w:ascii="Arial" w:hAnsi="Arial" w:cs="Arial"/>
                <w:color w:val="000000"/>
                <w:lang w:val="el-GR"/>
              </w:rPr>
              <w:t xml:space="preserve">διά </w:t>
            </w:r>
            <w:r w:rsidR="009C0DE3">
              <w:rPr>
                <w:rFonts w:ascii="Arial" w:hAnsi="Arial" w:cs="Arial"/>
                <w:color w:val="000000"/>
                <w:lang w:val="el-GR"/>
              </w:rPr>
              <w:t xml:space="preserve">του εδαφίου (1) </w:t>
            </w:r>
            <w:r>
              <w:rPr>
                <w:rFonts w:ascii="Arial" w:hAnsi="Arial" w:cs="Arial"/>
                <w:color w:val="000000"/>
                <w:lang w:val="el-GR"/>
              </w:rPr>
              <w:t>του άρθρου 3</w:t>
            </w:r>
            <w:r w:rsidR="000D00D7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των περί Απονομής της Δικαιοσύνης Νόμων</w:t>
            </w:r>
            <w:r w:rsidR="009C0DE3">
              <w:rPr>
                <w:rFonts w:ascii="Arial" w:hAnsi="Arial" w:cs="Arial"/>
                <w:color w:val="000000"/>
                <w:lang w:val="el-GR"/>
              </w:rPr>
              <w:t xml:space="preserve"> του 1964 έως 2015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συνεχίζει να ασκεί τη δικαιοδοσία, αρμοδιότητες και εξουσίες τις οποίες </w:t>
            </w:r>
            <w:r w:rsidR="009C0DE3">
              <w:rPr>
                <w:rFonts w:ascii="Arial" w:hAnsi="Arial" w:cs="Arial"/>
                <w:color w:val="000000"/>
                <w:lang w:val="el-GR"/>
              </w:rPr>
              <w:t>κατέχει πριν</w:t>
            </w:r>
            <w:r w:rsidR="000D00D7">
              <w:rPr>
                <w:rFonts w:ascii="Arial" w:hAnsi="Arial" w:cs="Arial"/>
                <w:color w:val="000000"/>
                <w:lang w:val="el-GR"/>
              </w:rPr>
              <w:t xml:space="preserve"> από</w:t>
            </w:r>
            <w:r w:rsidR="009C0DE3">
              <w:rPr>
                <w:rFonts w:ascii="Arial" w:hAnsi="Arial" w:cs="Arial"/>
                <w:color w:val="000000"/>
                <w:lang w:val="el-GR"/>
              </w:rPr>
              <w:t xml:space="preserve"> την ημερομηνία δημοσίευσης του παρόντος Νόμου στην Επίσημη Εφημερίδα της Δημοκρατίας</w:t>
            </w:r>
            <w:r w:rsidR="000D00D7">
              <w:rPr>
                <w:rFonts w:ascii="Arial" w:hAnsi="Arial" w:cs="Arial"/>
                <w:color w:val="000000"/>
                <w:lang w:val="el-GR"/>
              </w:rPr>
              <w:t>,</w:t>
            </w:r>
            <w:r w:rsidR="009C0DE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έως ότου νόμος προβλέ</w:t>
            </w:r>
            <w:r w:rsidR="00EB412F">
              <w:rPr>
                <w:rFonts w:ascii="Arial" w:hAnsi="Arial" w:cs="Arial"/>
                <w:color w:val="000000"/>
                <w:lang w:val="el-GR"/>
              </w:rPr>
              <w:t>ψ</w:t>
            </w:r>
            <w:r>
              <w:rPr>
                <w:rFonts w:ascii="Arial" w:hAnsi="Arial" w:cs="Arial"/>
                <w:color w:val="000000"/>
                <w:lang w:val="el-GR"/>
              </w:rPr>
              <w:t>ει διαφορετικά.</w:t>
            </w:r>
          </w:p>
        </w:tc>
      </w:tr>
      <w:tr w:rsidR="00C8711B" w:rsidRPr="00525562" w14:paraId="47F3A495" w14:textId="77777777" w:rsidTr="008B7C3E">
        <w:trPr>
          <w:gridAfter w:val="1"/>
          <w:wAfter w:w="29" w:type="dxa"/>
          <w:jc w:val="center"/>
        </w:trPr>
        <w:tc>
          <w:tcPr>
            <w:tcW w:w="2127" w:type="dxa"/>
          </w:tcPr>
          <w:p w14:paraId="737EE433" w14:textId="77777777" w:rsidR="007204D7" w:rsidRPr="008B7C3E" w:rsidRDefault="007540E1" w:rsidP="007204D7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8B7C3E">
              <w:rPr>
                <w:rFonts w:ascii="Arial" w:hAnsi="Arial" w:cs="Arial"/>
                <w:color w:val="000000"/>
                <w:lang w:val="el-GR"/>
              </w:rPr>
              <w:t xml:space="preserve">Έναρξη της </w:t>
            </w:r>
          </w:p>
          <w:p w14:paraId="754144A4" w14:textId="77777777" w:rsidR="00C01EDC" w:rsidRDefault="007540E1" w:rsidP="007204D7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8B7C3E">
              <w:rPr>
                <w:rFonts w:ascii="Arial" w:hAnsi="Arial" w:cs="Arial"/>
                <w:color w:val="000000"/>
                <w:lang w:val="el-GR"/>
              </w:rPr>
              <w:t xml:space="preserve">ισχύος του παρόντος </w:t>
            </w:r>
          </w:p>
          <w:p w14:paraId="66057821" w14:textId="03A893F8" w:rsidR="000D4D17" w:rsidRPr="008B7C3E" w:rsidRDefault="007540E1" w:rsidP="007204D7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8B7C3E">
              <w:rPr>
                <w:rFonts w:ascii="Arial" w:hAnsi="Arial" w:cs="Arial"/>
                <w:color w:val="000000"/>
                <w:lang w:val="el-GR"/>
              </w:rPr>
              <w:t>Νόμου.</w:t>
            </w:r>
          </w:p>
        </w:tc>
        <w:tc>
          <w:tcPr>
            <w:tcW w:w="6958" w:type="dxa"/>
            <w:gridSpan w:val="3"/>
          </w:tcPr>
          <w:p w14:paraId="7ADE70B6" w14:textId="65B065DC" w:rsidR="00AC2964" w:rsidRDefault="009C6ED2" w:rsidP="009C6ED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7</w:t>
            </w:r>
            <w:r w:rsidR="007540E1" w:rsidRPr="000C2385">
              <w:rPr>
                <w:rFonts w:ascii="Arial" w:hAnsi="Arial" w:cs="Arial"/>
                <w:color w:val="000000"/>
                <w:lang w:val="el-GR"/>
              </w:rPr>
              <w:t>.</w:t>
            </w:r>
            <w:r w:rsidR="00F40F5A" w:rsidRPr="000C2385">
              <w:rPr>
                <w:rFonts w:ascii="Arial" w:hAnsi="Arial" w:cs="Arial"/>
                <w:color w:val="000000"/>
                <w:lang w:val="el-GR"/>
              </w:rPr>
              <w:t xml:space="preserve">-(1) </w:t>
            </w:r>
            <w:r w:rsidR="00182DA6" w:rsidRPr="000C2385">
              <w:rPr>
                <w:rFonts w:ascii="Arial" w:hAnsi="Arial" w:cs="Arial"/>
                <w:color w:val="000000"/>
                <w:lang w:val="el-GR"/>
              </w:rPr>
              <w:t>Με την επιφύλαξη τ</w:t>
            </w:r>
            <w:r w:rsidR="00C75006">
              <w:rPr>
                <w:rFonts w:ascii="Arial" w:hAnsi="Arial" w:cs="Arial"/>
                <w:color w:val="000000"/>
                <w:lang w:val="el-GR"/>
              </w:rPr>
              <w:t xml:space="preserve">ων </w:t>
            </w:r>
            <w:r w:rsidR="00182DA6" w:rsidRPr="000C2385">
              <w:rPr>
                <w:rFonts w:ascii="Arial" w:hAnsi="Arial" w:cs="Arial"/>
                <w:color w:val="000000"/>
                <w:lang w:val="el-GR"/>
              </w:rPr>
              <w:t>εδαφί</w:t>
            </w:r>
            <w:r w:rsidR="00C75006">
              <w:rPr>
                <w:rFonts w:ascii="Arial" w:hAnsi="Arial" w:cs="Arial"/>
                <w:color w:val="000000"/>
                <w:lang w:val="el-GR"/>
              </w:rPr>
              <w:t xml:space="preserve">ων </w:t>
            </w:r>
            <w:r w:rsidR="00FB5E1E">
              <w:rPr>
                <w:rFonts w:ascii="Arial" w:hAnsi="Arial" w:cs="Arial"/>
                <w:color w:val="000000"/>
                <w:lang w:val="el-GR"/>
              </w:rPr>
              <w:t>(2), (3) και (4)</w:t>
            </w:r>
            <w:r w:rsidR="00182DA6" w:rsidRPr="000C2385">
              <w:rPr>
                <w:rFonts w:ascii="Arial" w:hAnsi="Arial" w:cs="Arial"/>
                <w:color w:val="000000"/>
                <w:lang w:val="el-GR"/>
              </w:rPr>
              <w:t xml:space="preserve">, ο παρών Νόμος τίθεται σε ισχύ </w:t>
            </w:r>
            <w:r w:rsidR="00FB5E1E">
              <w:rPr>
                <w:rFonts w:ascii="Arial" w:hAnsi="Arial" w:cs="Arial"/>
                <w:color w:val="000000"/>
                <w:lang w:val="el-GR"/>
              </w:rPr>
              <w:t>από</w:t>
            </w:r>
            <w:r w:rsidR="00FB5E1E" w:rsidRPr="000C2385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182DA6" w:rsidRPr="000C2385">
              <w:rPr>
                <w:rFonts w:ascii="Arial" w:hAnsi="Arial" w:cs="Arial"/>
                <w:color w:val="000000"/>
                <w:lang w:val="el-GR"/>
              </w:rPr>
              <w:t>την ημερομηνία δημοσίευσ</w:t>
            </w:r>
            <w:r>
              <w:rPr>
                <w:rFonts w:ascii="Arial" w:hAnsi="Arial" w:cs="Arial"/>
                <w:color w:val="000000"/>
                <w:lang w:val="el-GR"/>
              </w:rPr>
              <w:t>ή</w:t>
            </w:r>
            <w:r w:rsidR="00182DA6" w:rsidRPr="000C2385">
              <w:rPr>
                <w:rFonts w:ascii="Arial" w:hAnsi="Arial" w:cs="Arial"/>
                <w:color w:val="000000"/>
                <w:lang w:val="el-GR"/>
              </w:rPr>
              <w:t>ς του στην Επί</w:t>
            </w:r>
            <w:r w:rsidR="007204D7">
              <w:rPr>
                <w:rFonts w:ascii="Arial" w:hAnsi="Arial" w:cs="Arial"/>
                <w:color w:val="000000"/>
                <w:lang w:val="el-GR"/>
              </w:rPr>
              <w:t>σημη Εφημερίδα της Δημοκρατίας.</w:t>
            </w:r>
          </w:p>
          <w:p w14:paraId="4296F772" w14:textId="77777777" w:rsidR="00BC622F" w:rsidRDefault="00BC622F" w:rsidP="009C6ED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14:paraId="349F97AC" w14:textId="112A2506" w:rsidR="00BC622F" w:rsidRDefault="00BC622F" w:rsidP="009C6ED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     (2) Τα εδάφια (3) και (4) της παραγράφου 1 του Άρθρου 144 του Συντάγματος, ως αυτή παρατίθεται στο άρθρο 3 του παρόντος Νόμου, τίθενται σε ισχύ την ημερομηνία </w:t>
            </w:r>
            <w:r w:rsidR="000D00D7">
              <w:rPr>
                <w:rFonts w:ascii="Arial" w:hAnsi="Arial" w:cs="Arial"/>
                <w:color w:val="000000"/>
                <w:lang w:val="el-GR"/>
              </w:rPr>
              <w:t xml:space="preserve">κατά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την οποία το Ανώτατο Δικαστήριο, ως καθιδρύθηκε </w:t>
            </w:r>
            <w:r w:rsidR="00C92F1D">
              <w:rPr>
                <w:rFonts w:ascii="Arial" w:hAnsi="Arial" w:cs="Arial"/>
                <w:color w:val="000000"/>
                <w:lang w:val="el-GR"/>
              </w:rPr>
              <w:t xml:space="preserve">διά </w:t>
            </w:r>
            <w:r w:rsidR="00FB5E1E">
              <w:rPr>
                <w:rFonts w:ascii="Arial" w:hAnsi="Arial" w:cs="Arial"/>
                <w:color w:val="000000"/>
                <w:lang w:val="el-GR"/>
              </w:rPr>
              <w:t xml:space="preserve">του εδαφίου (1) </w:t>
            </w:r>
            <w:r>
              <w:rPr>
                <w:rFonts w:ascii="Arial" w:hAnsi="Arial" w:cs="Arial"/>
                <w:color w:val="000000"/>
                <w:lang w:val="el-GR"/>
              </w:rPr>
              <w:t>του άρθρου 3 των περί Απονομής της Δικαιοσύνης Νόμων</w:t>
            </w:r>
            <w:r w:rsidR="00FB5E1E">
              <w:rPr>
                <w:rFonts w:ascii="Arial" w:hAnsi="Arial" w:cs="Arial"/>
                <w:color w:val="000000"/>
                <w:lang w:val="el-GR"/>
              </w:rPr>
              <w:t xml:space="preserve"> του 1964 έως 2015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 w:rsidR="00FB5E1E">
              <w:rPr>
                <w:rFonts w:ascii="Arial" w:hAnsi="Arial" w:cs="Arial"/>
                <w:color w:val="000000"/>
                <w:lang w:val="el-GR"/>
              </w:rPr>
              <w:t xml:space="preserve">θα </w:t>
            </w:r>
            <w:r>
              <w:rPr>
                <w:rFonts w:ascii="Arial" w:hAnsi="Arial" w:cs="Arial"/>
                <w:color w:val="000000"/>
                <w:lang w:val="el-GR"/>
              </w:rPr>
              <w:t>αρχίσει να λειτουργεί ως Ανώτατο Συνταγματικό Δικαστήριο και ως Ανώτατο Δικαστήριο.</w:t>
            </w:r>
          </w:p>
          <w:p w14:paraId="698A715B" w14:textId="77777777" w:rsidR="00BC622F" w:rsidRDefault="00BC622F" w:rsidP="009C6ED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14:paraId="7F2BA205" w14:textId="24A5E154" w:rsidR="00BC622F" w:rsidRPr="007204D7" w:rsidRDefault="00BC622F" w:rsidP="009C6ED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     (3) Η </w:t>
            </w:r>
            <w:r w:rsidR="00C92F1D">
              <w:rPr>
                <w:rFonts w:ascii="Arial" w:hAnsi="Arial" w:cs="Arial"/>
                <w:color w:val="000000"/>
                <w:lang w:val="el-GR"/>
              </w:rPr>
              <w:t xml:space="preserve">διά </w:t>
            </w:r>
            <w:r w:rsidR="00FB5E1E">
              <w:rPr>
                <w:rFonts w:ascii="Arial" w:hAnsi="Arial" w:cs="Arial"/>
                <w:color w:val="000000"/>
                <w:lang w:val="el-GR"/>
              </w:rPr>
              <w:t xml:space="preserve">της παραγράφου (β)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του άρθρου 5 του παρόντος Νόμου κατάργηση της παραγράφου 2 του άρθρου 155 του Συντάγματος τίθεται σε ισχύ την ημερομηνία </w:t>
            </w:r>
            <w:r w:rsidR="00FB5E1E">
              <w:rPr>
                <w:rFonts w:ascii="Arial" w:hAnsi="Arial" w:cs="Arial"/>
                <w:color w:val="000000"/>
                <w:lang w:val="el-GR"/>
              </w:rPr>
              <w:t xml:space="preserve">κατά </w:t>
            </w:r>
            <w:r>
              <w:rPr>
                <w:rFonts w:ascii="Arial" w:hAnsi="Arial" w:cs="Arial"/>
                <w:color w:val="000000"/>
                <w:lang w:val="el-GR"/>
              </w:rPr>
              <w:t>την οποία το Εφετείο θα αρχίσει να ασκεί δικαιοδοσία ως νόμος ήθελε ορίσει.</w:t>
            </w:r>
          </w:p>
        </w:tc>
      </w:tr>
      <w:tr w:rsidR="00EA7E8F" w:rsidRPr="00525562" w14:paraId="0D6A524B" w14:textId="77777777" w:rsidTr="008B7C3E">
        <w:trPr>
          <w:gridAfter w:val="1"/>
          <w:wAfter w:w="29" w:type="dxa"/>
          <w:jc w:val="center"/>
        </w:trPr>
        <w:tc>
          <w:tcPr>
            <w:tcW w:w="2127" w:type="dxa"/>
          </w:tcPr>
          <w:p w14:paraId="68FDD140" w14:textId="77777777" w:rsidR="00EA7E8F" w:rsidRPr="008B7C3E" w:rsidRDefault="00EA7E8F" w:rsidP="007204D7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6958" w:type="dxa"/>
            <w:gridSpan w:val="3"/>
          </w:tcPr>
          <w:p w14:paraId="6C517E61" w14:textId="3828E401" w:rsidR="00EA7E8F" w:rsidDel="009C6ED2" w:rsidRDefault="00EB412F" w:rsidP="009C6ED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     (</w:t>
            </w:r>
            <w:r w:rsidR="00BC622F">
              <w:rPr>
                <w:rFonts w:ascii="Arial" w:hAnsi="Arial" w:cs="Arial"/>
                <w:color w:val="000000"/>
                <w:lang w:val="el-GR"/>
              </w:rPr>
              <w:t>4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) </w:t>
            </w:r>
            <w:r w:rsidR="00EA7E8F">
              <w:rPr>
                <w:rFonts w:ascii="Arial" w:hAnsi="Arial" w:cs="Arial"/>
                <w:color w:val="000000"/>
                <w:lang w:val="el-GR"/>
              </w:rPr>
              <w:t xml:space="preserve">Η </w:t>
            </w:r>
            <w:r w:rsidR="00C92F1D">
              <w:rPr>
                <w:rFonts w:ascii="Arial" w:hAnsi="Arial" w:cs="Arial"/>
                <w:color w:val="000000"/>
                <w:lang w:val="el-GR"/>
              </w:rPr>
              <w:t xml:space="preserve">διά </w:t>
            </w:r>
            <w:r w:rsidR="001C7237">
              <w:rPr>
                <w:rFonts w:ascii="Arial" w:hAnsi="Arial" w:cs="Arial"/>
                <w:color w:val="000000"/>
                <w:lang w:val="el-GR"/>
              </w:rPr>
              <w:t xml:space="preserve">της παραγράφου (γ) του </w:t>
            </w:r>
            <w:r w:rsidR="00EA7E8F">
              <w:rPr>
                <w:rFonts w:ascii="Arial" w:hAnsi="Arial" w:cs="Arial"/>
                <w:color w:val="000000"/>
                <w:lang w:val="el-GR"/>
              </w:rPr>
              <w:t>άρθρου 5 του παρόντος Νόμου κατάργηση της παραγράφου 4 του άρθρου 155 του Συντάγματος τίθεται σε ισχύ την ημερομηνία</w:t>
            </w:r>
            <w:r w:rsidR="001C7237">
              <w:rPr>
                <w:rFonts w:ascii="Arial" w:hAnsi="Arial" w:cs="Arial"/>
                <w:color w:val="000000"/>
                <w:lang w:val="el-GR"/>
              </w:rPr>
              <w:t xml:space="preserve"> κατά</w:t>
            </w:r>
            <w:r w:rsidR="00EA7E8F">
              <w:rPr>
                <w:rFonts w:ascii="Arial" w:hAnsi="Arial" w:cs="Arial"/>
                <w:color w:val="000000"/>
                <w:lang w:val="el-GR"/>
              </w:rPr>
              <w:t xml:space="preserve"> την οποία το Εφετείο θα αρχίσει να ασκεί δικαιοδοσία ως νόμος ήθελε ορίσει.</w:t>
            </w:r>
          </w:p>
        </w:tc>
      </w:tr>
      <w:tr w:rsidR="007204D7" w:rsidRPr="00525562" w14:paraId="590E6267" w14:textId="77777777" w:rsidTr="008B7C3E">
        <w:trPr>
          <w:gridAfter w:val="1"/>
          <w:wAfter w:w="29" w:type="dxa"/>
          <w:trHeight w:val="23"/>
          <w:jc w:val="center"/>
        </w:trPr>
        <w:tc>
          <w:tcPr>
            <w:tcW w:w="2127" w:type="dxa"/>
          </w:tcPr>
          <w:p w14:paraId="42E3AEE2" w14:textId="77777777" w:rsidR="007204D7" w:rsidRPr="008B7C3E" w:rsidRDefault="007204D7" w:rsidP="007204D7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6958" w:type="dxa"/>
            <w:gridSpan w:val="3"/>
          </w:tcPr>
          <w:p w14:paraId="33B8F150" w14:textId="77777777" w:rsidR="007204D7" w:rsidRDefault="007204D7" w:rsidP="00BC31B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</w:tbl>
    <w:p w14:paraId="17E1E92E" w14:textId="04D5525B" w:rsidR="007204D7" w:rsidRDefault="007204D7" w:rsidP="008D330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</w:p>
    <w:p w14:paraId="06C52B67" w14:textId="551EC6B0" w:rsidR="007614A4" w:rsidRDefault="007614A4" w:rsidP="008D330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</w:p>
    <w:p w14:paraId="6FD0DCC0" w14:textId="0E214BCC" w:rsidR="007614A4" w:rsidRPr="00525562" w:rsidRDefault="007614A4" w:rsidP="008D3302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proofErr w:type="spellStart"/>
      <w:r w:rsidRPr="00525562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525562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525562">
        <w:rPr>
          <w:rFonts w:ascii="Arial" w:hAnsi="Arial" w:cs="Arial"/>
          <w:sz w:val="20"/>
          <w:szCs w:val="20"/>
          <w:lang w:val="el-GR"/>
        </w:rPr>
        <w:t>Φακ</w:t>
      </w:r>
      <w:proofErr w:type="spellEnd"/>
      <w:r w:rsidRPr="00525562">
        <w:rPr>
          <w:rFonts w:ascii="Arial" w:hAnsi="Arial" w:cs="Arial"/>
          <w:sz w:val="20"/>
          <w:szCs w:val="20"/>
          <w:lang w:val="el-GR"/>
        </w:rPr>
        <w:t>.: 23.01.060.129-2019</w:t>
      </w:r>
    </w:p>
    <w:p w14:paraId="101166CD" w14:textId="036295CB" w:rsidR="00525562" w:rsidRPr="00525562" w:rsidRDefault="00525562" w:rsidP="00525562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525562">
        <w:rPr>
          <w:rFonts w:ascii="Arial" w:hAnsi="Arial" w:cs="Arial"/>
          <w:sz w:val="20"/>
          <w:szCs w:val="20"/>
          <w:lang w:val="el-GR"/>
        </w:rPr>
        <w:t>ΝΚ/</w:t>
      </w:r>
      <w:r w:rsidRPr="00525562">
        <w:rPr>
          <w:rFonts w:ascii="Arial" w:hAnsi="Arial" w:cs="Arial"/>
          <w:sz w:val="20"/>
          <w:szCs w:val="20"/>
          <w:lang w:val="el-GR"/>
        </w:rPr>
        <w:t>ΧΧ</w:t>
      </w:r>
      <w:bookmarkStart w:id="0" w:name="_GoBack"/>
      <w:bookmarkEnd w:id="0"/>
    </w:p>
    <w:sectPr w:rsidR="00525562" w:rsidRPr="00525562" w:rsidSect="00AB6B11">
      <w:headerReference w:type="even" r:id="rId8"/>
      <w:headerReference w:type="default" r:id="rId9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89BE" w14:textId="77777777" w:rsidR="00F80600" w:rsidRDefault="00F80600">
      <w:r>
        <w:separator/>
      </w:r>
    </w:p>
  </w:endnote>
  <w:endnote w:type="continuationSeparator" w:id="0">
    <w:p w14:paraId="5CB4C86D" w14:textId="77777777" w:rsidR="00F80600" w:rsidRDefault="00F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B5C8" w14:textId="77777777" w:rsidR="00F80600" w:rsidRDefault="00F80600">
      <w:r>
        <w:separator/>
      </w:r>
    </w:p>
  </w:footnote>
  <w:footnote w:type="continuationSeparator" w:id="0">
    <w:p w14:paraId="2FD65DD6" w14:textId="77777777" w:rsidR="00F80600" w:rsidRDefault="00F8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BD7D" w14:textId="77777777" w:rsidR="00DC6435" w:rsidRDefault="00DC6435" w:rsidP="005B4B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74511" w14:textId="77777777" w:rsidR="00DC6435" w:rsidRDefault="00DC6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512D" w14:textId="77777777" w:rsidR="00DC6435" w:rsidRDefault="005F5636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2C09">
      <w:rPr>
        <w:noProof/>
      </w:rPr>
      <w:t>7</w:t>
    </w:r>
    <w:r>
      <w:rPr>
        <w:noProof/>
      </w:rPr>
      <w:fldChar w:fldCharType="end"/>
    </w:r>
  </w:p>
  <w:p w14:paraId="7FF3F54C" w14:textId="77777777" w:rsidR="00DC6435" w:rsidRDefault="00DC6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193F"/>
    <w:multiLevelType w:val="multilevel"/>
    <w:tmpl w:val="94C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D0C4D"/>
    <w:multiLevelType w:val="multilevel"/>
    <w:tmpl w:val="232A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D3CCD"/>
    <w:multiLevelType w:val="hybridMultilevel"/>
    <w:tmpl w:val="64C41BAC"/>
    <w:lvl w:ilvl="0" w:tplc="99442E50">
      <w:start w:val="1"/>
      <w:numFmt w:val="bullet"/>
      <w:lvlText w:val=""/>
      <w:lvlJc w:val="left"/>
      <w:pPr>
        <w:tabs>
          <w:tab w:val="num" w:pos="510"/>
        </w:tabs>
        <w:ind w:left="0" w:firstLine="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7117"/>
    <w:multiLevelType w:val="hybridMultilevel"/>
    <w:tmpl w:val="71BC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9D"/>
    <w:rsid w:val="0001012E"/>
    <w:rsid w:val="000118D6"/>
    <w:rsid w:val="000137AD"/>
    <w:rsid w:val="00013F51"/>
    <w:rsid w:val="0002066C"/>
    <w:rsid w:val="000251B6"/>
    <w:rsid w:val="000255C7"/>
    <w:rsid w:val="00033784"/>
    <w:rsid w:val="00035A56"/>
    <w:rsid w:val="00041C18"/>
    <w:rsid w:val="000458F6"/>
    <w:rsid w:val="000466E5"/>
    <w:rsid w:val="00051EBD"/>
    <w:rsid w:val="00056AF6"/>
    <w:rsid w:val="00057C2B"/>
    <w:rsid w:val="0006211B"/>
    <w:rsid w:val="000623EF"/>
    <w:rsid w:val="00062EE8"/>
    <w:rsid w:val="000648BB"/>
    <w:rsid w:val="00064A79"/>
    <w:rsid w:val="0006642A"/>
    <w:rsid w:val="00072BCB"/>
    <w:rsid w:val="00074C8C"/>
    <w:rsid w:val="0008123B"/>
    <w:rsid w:val="00081E2E"/>
    <w:rsid w:val="00084B21"/>
    <w:rsid w:val="00087B0E"/>
    <w:rsid w:val="000912DF"/>
    <w:rsid w:val="000925E6"/>
    <w:rsid w:val="000927A1"/>
    <w:rsid w:val="00092A12"/>
    <w:rsid w:val="00096F12"/>
    <w:rsid w:val="0009777F"/>
    <w:rsid w:val="000A09D7"/>
    <w:rsid w:val="000A3B6B"/>
    <w:rsid w:val="000A5AA8"/>
    <w:rsid w:val="000A78B0"/>
    <w:rsid w:val="000B491F"/>
    <w:rsid w:val="000B4E1A"/>
    <w:rsid w:val="000B5EE3"/>
    <w:rsid w:val="000B61DA"/>
    <w:rsid w:val="000C2385"/>
    <w:rsid w:val="000C6F0F"/>
    <w:rsid w:val="000C7F13"/>
    <w:rsid w:val="000D0069"/>
    <w:rsid w:val="000D00D7"/>
    <w:rsid w:val="000D23DA"/>
    <w:rsid w:val="000D3A9E"/>
    <w:rsid w:val="000D4D17"/>
    <w:rsid w:val="000D4FF0"/>
    <w:rsid w:val="000D5938"/>
    <w:rsid w:val="000E00A4"/>
    <w:rsid w:val="000E0501"/>
    <w:rsid w:val="000E1306"/>
    <w:rsid w:val="000E193A"/>
    <w:rsid w:val="000F1B0D"/>
    <w:rsid w:val="000F20C3"/>
    <w:rsid w:val="000F2630"/>
    <w:rsid w:val="000F310B"/>
    <w:rsid w:val="000F67E0"/>
    <w:rsid w:val="000F7980"/>
    <w:rsid w:val="00106246"/>
    <w:rsid w:val="001129FC"/>
    <w:rsid w:val="0011642F"/>
    <w:rsid w:val="00120BC6"/>
    <w:rsid w:val="0012514B"/>
    <w:rsid w:val="00126B59"/>
    <w:rsid w:val="00130E40"/>
    <w:rsid w:val="00134226"/>
    <w:rsid w:val="00134D86"/>
    <w:rsid w:val="00135A0F"/>
    <w:rsid w:val="00135EF8"/>
    <w:rsid w:val="00136D84"/>
    <w:rsid w:val="001401F0"/>
    <w:rsid w:val="001402CA"/>
    <w:rsid w:val="00141708"/>
    <w:rsid w:val="00141AB6"/>
    <w:rsid w:val="001425F0"/>
    <w:rsid w:val="0014274B"/>
    <w:rsid w:val="001506B7"/>
    <w:rsid w:val="0015114E"/>
    <w:rsid w:val="00152F5F"/>
    <w:rsid w:val="001561CB"/>
    <w:rsid w:val="00161601"/>
    <w:rsid w:val="001626B5"/>
    <w:rsid w:val="00162A74"/>
    <w:rsid w:val="0016558E"/>
    <w:rsid w:val="001743C8"/>
    <w:rsid w:val="00182DA6"/>
    <w:rsid w:val="00186737"/>
    <w:rsid w:val="00191D62"/>
    <w:rsid w:val="0019421D"/>
    <w:rsid w:val="00196428"/>
    <w:rsid w:val="00196C79"/>
    <w:rsid w:val="001A0481"/>
    <w:rsid w:val="001A1F61"/>
    <w:rsid w:val="001A2BF5"/>
    <w:rsid w:val="001A561B"/>
    <w:rsid w:val="001B1B74"/>
    <w:rsid w:val="001B3686"/>
    <w:rsid w:val="001B40BE"/>
    <w:rsid w:val="001C1D59"/>
    <w:rsid w:val="001C2ADB"/>
    <w:rsid w:val="001C69A4"/>
    <w:rsid w:val="001C7237"/>
    <w:rsid w:val="001D554E"/>
    <w:rsid w:val="001E61D6"/>
    <w:rsid w:val="001E676B"/>
    <w:rsid w:val="001F73E0"/>
    <w:rsid w:val="001F7CC4"/>
    <w:rsid w:val="00206906"/>
    <w:rsid w:val="00207229"/>
    <w:rsid w:val="002175FF"/>
    <w:rsid w:val="00217D06"/>
    <w:rsid w:val="00220075"/>
    <w:rsid w:val="002217EE"/>
    <w:rsid w:val="00221FF9"/>
    <w:rsid w:val="002255DD"/>
    <w:rsid w:val="002309B9"/>
    <w:rsid w:val="002357E7"/>
    <w:rsid w:val="00236EC1"/>
    <w:rsid w:val="002405B8"/>
    <w:rsid w:val="00240D49"/>
    <w:rsid w:val="0024214E"/>
    <w:rsid w:val="00242443"/>
    <w:rsid w:val="002444A2"/>
    <w:rsid w:val="00245E33"/>
    <w:rsid w:val="0025500F"/>
    <w:rsid w:val="002610B8"/>
    <w:rsid w:val="002619EA"/>
    <w:rsid w:val="00263444"/>
    <w:rsid w:val="002664B4"/>
    <w:rsid w:val="00267B2D"/>
    <w:rsid w:val="00271C9B"/>
    <w:rsid w:val="002730C8"/>
    <w:rsid w:val="00280096"/>
    <w:rsid w:val="00283459"/>
    <w:rsid w:val="00292360"/>
    <w:rsid w:val="00293CC1"/>
    <w:rsid w:val="002957BB"/>
    <w:rsid w:val="002959F5"/>
    <w:rsid w:val="00297B7C"/>
    <w:rsid w:val="002A063A"/>
    <w:rsid w:val="002A3DDC"/>
    <w:rsid w:val="002A4370"/>
    <w:rsid w:val="002B2A61"/>
    <w:rsid w:val="002B4420"/>
    <w:rsid w:val="002B46F6"/>
    <w:rsid w:val="002C0B80"/>
    <w:rsid w:val="002E1F33"/>
    <w:rsid w:val="002E3DEC"/>
    <w:rsid w:val="002F2D74"/>
    <w:rsid w:val="002F5645"/>
    <w:rsid w:val="002F73C0"/>
    <w:rsid w:val="0030246A"/>
    <w:rsid w:val="003058D2"/>
    <w:rsid w:val="003058FF"/>
    <w:rsid w:val="003132B3"/>
    <w:rsid w:val="003145D9"/>
    <w:rsid w:val="00315950"/>
    <w:rsid w:val="0031686D"/>
    <w:rsid w:val="003222FF"/>
    <w:rsid w:val="00322867"/>
    <w:rsid w:val="00324D85"/>
    <w:rsid w:val="00325C59"/>
    <w:rsid w:val="003265D0"/>
    <w:rsid w:val="0032772C"/>
    <w:rsid w:val="00334FFA"/>
    <w:rsid w:val="00344CAB"/>
    <w:rsid w:val="0035081B"/>
    <w:rsid w:val="00351506"/>
    <w:rsid w:val="0035619D"/>
    <w:rsid w:val="00362EDD"/>
    <w:rsid w:val="00363A25"/>
    <w:rsid w:val="0036405F"/>
    <w:rsid w:val="0036464F"/>
    <w:rsid w:val="00364A01"/>
    <w:rsid w:val="00365409"/>
    <w:rsid w:val="003655C4"/>
    <w:rsid w:val="003664BE"/>
    <w:rsid w:val="0036665F"/>
    <w:rsid w:val="00366D95"/>
    <w:rsid w:val="00367815"/>
    <w:rsid w:val="00371F23"/>
    <w:rsid w:val="003737D9"/>
    <w:rsid w:val="0037637C"/>
    <w:rsid w:val="0037734E"/>
    <w:rsid w:val="00381EF4"/>
    <w:rsid w:val="003841B6"/>
    <w:rsid w:val="00385EC3"/>
    <w:rsid w:val="00386572"/>
    <w:rsid w:val="0039096F"/>
    <w:rsid w:val="003A06F1"/>
    <w:rsid w:val="003A0961"/>
    <w:rsid w:val="003A0D95"/>
    <w:rsid w:val="003A0DC8"/>
    <w:rsid w:val="003A28AD"/>
    <w:rsid w:val="003A322E"/>
    <w:rsid w:val="003A3A1E"/>
    <w:rsid w:val="003A4D4F"/>
    <w:rsid w:val="003B04AF"/>
    <w:rsid w:val="003B1FC6"/>
    <w:rsid w:val="003B4BBD"/>
    <w:rsid w:val="003B744E"/>
    <w:rsid w:val="003D19DC"/>
    <w:rsid w:val="003E1096"/>
    <w:rsid w:val="003E7841"/>
    <w:rsid w:val="003F2608"/>
    <w:rsid w:val="0040091F"/>
    <w:rsid w:val="00403196"/>
    <w:rsid w:val="00405523"/>
    <w:rsid w:val="00406137"/>
    <w:rsid w:val="00410907"/>
    <w:rsid w:val="00410C1D"/>
    <w:rsid w:val="004133DA"/>
    <w:rsid w:val="00420755"/>
    <w:rsid w:val="00427366"/>
    <w:rsid w:val="00431392"/>
    <w:rsid w:val="00431BEF"/>
    <w:rsid w:val="00432AEE"/>
    <w:rsid w:val="00437605"/>
    <w:rsid w:val="00440D5E"/>
    <w:rsid w:val="00444828"/>
    <w:rsid w:val="004475FE"/>
    <w:rsid w:val="004500FA"/>
    <w:rsid w:val="00452DFA"/>
    <w:rsid w:val="00462B09"/>
    <w:rsid w:val="004662D1"/>
    <w:rsid w:val="00467C2A"/>
    <w:rsid w:val="00470B1A"/>
    <w:rsid w:val="00473BDE"/>
    <w:rsid w:val="00475B68"/>
    <w:rsid w:val="00482F7B"/>
    <w:rsid w:val="00484783"/>
    <w:rsid w:val="00497C2F"/>
    <w:rsid w:val="004A1736"/>
    <w:rsid w:val="004A389A"/>
    <w:rsid w:val="004B2067"/>
    <w:rsid w:val="004B4C0D"/>
    <w:rsid w:val="004C0684"/>
    <w:rsid w:val="004C3FF2"/>
    <w:rsid w:val="004C77C2"/>
    <w:rsid w:val="004C7B25"/>
    <w:rsid w:val="004D474C"/>
    <w:rsid w:val="004D66B0"/>
    <w:rsid w:val="004D6C41"/>
    <w:rsid w:val="004D7098"/>
    <w:rsid w:val="004E0788"/>
    <w:rsid w:val="004E4967"/>
    <w:rsid w:val="004E4D75"/>
    <w:rsid w:val="004E7CA5"/>
    <w:rsid w:val="004F32D8"/>
    <w:rsid w:val="00525562"/>
    <w:rsid w:val="00532199"/>
    <w:rsid w:val="0053522D"/>
    <w:rsid w:val="00536D6B"/>
    <w:rsid w:val="00540576"/>
    <w:rsid w:val="0054664C"/>
    <w:rsid w:val="00546C18"/>
    <w:rsid w:val="005510F3"/>
    <w:rsid w:val="00560516"/>
    <w:rsid w:val="00560A29"/>
    <w:rsid w:val="00571079"/>
    <w:rsid w:val="0057201A"/>
    <w:rsid w:val="0057530A"/>
    <w:rsid w:val="00575E37"/>
    <w:rsid w:val="00576CA9"/>
    <w:rsid w:val="005771F3"/>
    <w:rsid w:val="005832C8"/>
    <w:rsid w:val="00591B56"/>
    <w:rsid w:val="00593694"/>
    <w:rsid w:val="0059771E"/>
    <w:rsid w:val="005A0CE8"/>
    <w:rsid w:val="005A3A6F"/>
    <w:rsid w:val="005A3F0D"/>
    <w:rsid w:val="005B2D28"/>
    <w:rsid w:val="005B30E0"/>
    <w:rsid w:val="005B31E5"/>
    <w:rsid w:val="005B4BFD"/>
    <w:rsid w:val="005B7071"/>
    <w:rsid w:val="005C3627"/>
    <w:rsid w:val="005D1662"/>
    <w:rsid w:val="005D1A15"/>
    <w:rsid w:val="005D48D5"/>
    <w:rsid w:val="005F1B45"/>
    <w:rsid w:val="005F45AD"/>
    <w:rsid w:val="005F5636"/>
    <w:rsid w:val="006114F4"/>
    <w:rsid w:val="00611FBC"/>
    <w:rsid w:val="006202B7"/>
    <w:rsid w:val="00622803"/>
    <w:rsid w:val="00622AE5"/>
    <w:rsid w:val="00624DC7"/>
    <w:rsid w:val="00626905"/>
    <w:rsid w:val="00626E2F"/>
    <w:rsid w:val="006279EA"/>
    <w:rsid w:val="00627D83"/>
    <w:rsid w:val="00631D3C"/>
    <w:rsid w:val="00636B69"/>
    <w:rsid w:val="006420F8"/>
    <w:rsid w:val="00646B60"/>
    <w:rsid w:val="00647700"/>
    <w:rsid w:val="006557FA"/>
    <w:rsid w:val="00665A83"/>
    <w:rsid w:val="00673F20"/>
    <w:rsid w:val="006757D6"/>
    <w:rsid w:val="006772BE"/>
    <w:rsid w:val="006803C4"/>
    <w:rsid w:val="00681C49"/>
    <w:rsid w:val="00683A0E"/>
    <w:rsid w:val="00684149"/>
    <w:rsid w:val="00686951"/>
    <w:rsid w:val="006869FF"/>
    <w:rsid w:val="006872CB"/>
    <w:rsid w:val="00692213"/>
    <w:rsid w:val="00692ED2"/>
    <w:rsid w:val="006A44A2"/>
    <w:rsid w:val="006B3726"/>
    <w:rsid w:val="006B3B81"/>
    <w:rsid w:val="006B5254"/>
    <w:rsid w:val="006C338C"/>
    <w:rsid w:val="006D25C3"/>
    <w:rsid w:val="006D7760"/>
    <w:rsid w:val="006E0F13"/>
    <w:rsid w:val="006E2386"/>
    <w:rsid w:val="006E2C09"/>
    <w:rsid w:val="006F37BB"/>
    <w:rsid w:val="006F7F1E"/>
    <w:rsid w:val="0070309F"/>
    <w:rsid w:val="00706F49"/>
    <w:rsid w:val="00707CBF"/>
    <w:rsid w:val="007109D1"/>
    <w:rsid w:val="00711AD9"/>
    <w:rsid w:val="007139B4"/>
    <w:rsid w:val="00713CE6"/>
    <w:rsid w:val="007166EF"/>
    <w:rsid w:val="00716E21"/>
    <w:rsid w:val="007204D7"/>
    <w:rsid w:val="0072113C"/>
    <w:rsid w:val="00722613"/>
    <w:rsid w:val="007228F1"/>
    <w:rsid w:val="00724C57"/>
    <w:rsid w:val="007253A7"/>
    <w:rsid w:val="00726E7B"/>
    <w:rsid w:val="007309FC"/>
    <w:rsid w:val="00734291"/>
    <w:rsid w:val="00736B6A"/>
    <w:rsid w:val="00740F9F"/>
    <w:rsid w:val="0074299F"/>
    <w:rsid w:val="00752F91"/>
    <w:rsid w:val="0075352C"/>
    <w:rsid w:val="007540E1"/>
    <w:rsid w:val="007543BD"/>
    <w:rsid w:val="0076032D"/>
    <w:rsid w:val="007603B1"/>
    <w:rsid w:val="007614A4"/>
    <w:rsid w:val="007616A2"/>
    <w:rsid w:val="00762B54"/>
    <w:rsid w:val="00762FA6"/>
    <w:rsid w:val="007657E6"/>
    <w:rsid w:val="0077274A"/>
    <w:rsid w:val="0077520B"/>
    <w:rsid w:val="0077629B"/>
    <w:rsid w:val="0078010F"/>
    <w:rsid w:val="00780162"/>
    <w:rsid w:val="00784088"/>
    <w:rsid w:val="00787CAA"/>
    <w:rsid w:val="007A21DE"/>
    <w:rsid w:val="007A2BE8"/>
    <w:rsid w:val="007A40AB"/>
    <w:rsid w:val="007A440A"/>
    <w:rsid w:val="007A75A6"/>
    <w:rsid w:val="007B2059"/>
    <w:rsid w:val="007B5A1D"/>
    <w:rsid w:val="007B692B"/>
    <w:rsid w:val="007B75E8"/>
    <w:rsid w:val="007C0EF5"/>
    <w:rsid w:val="007C2EA2"/>
    <w:rsid w:val="007C2ED4"/>
    <w:rsid w:val="007C39AD"/>
    <w:rsid w:val="007C3F8B"/>
    <w:rsid w:val="007C7FF0"/>
    <w:rsid w:val="007D621C"/>
    <w:rsid w:val="007D678E"/>
    <w:rsid w:val="007E2ACA"/>
    <w:rsid w:val="007E3605"/>
    <w:rsid w:val="007E3B28"/>
    <w:rsid w:val="007E6BF2"/>
    <w:rsid w:val="007E7761"/>
    <w:rsid w:val="007F27A4"/>
    <w:rsid w:val="007F422D"/>
    <w:rsid w:val="007F6EC1"/>
    <w:rsid w:val="008032D4"/>
    <w:rsid w:val="00805DE0"/>
    <w:rsid w:val="008073F7"/>
    <w:rsid w:val="0080789B"/>
    <w:rsid w:val="00810920"/>
    <w:rsid w:val="008146C5"/>
    <w:rsid w:val="00820A08"/>
    <w:rsid w:val="00821F40"/>
    <w:rsid w:val="00833A34"/>
    <w:rsid w:val="00834677"/>
    <w:rsid w:val="008360A9"/>
    <w:rsid w:val="0084587C"/>
    <w:rsid w:val="00847AFD"/>
    <w:rsid w:val="008517E8"/>
    <w:rsid w:val="0085272B"/>
    <w:rsid w:val="00852A62"/>
    <w:rsid w:val="0085767A"/>
    <w:rsid w:val="00857B9A"/>
    <w:rsid w:val="00857D04"/>
    <w:rsid w:val="00866A48"/>
    <w:rsid w:val="0087297B"/>
    <w:rsid w:val="0087489A"/>
    <w:rsid w:val="00881FA7"/>
    <w:rsid w:val="008823DE"/>
    <w:rsid w:val="00883262"/>
    <w:rsid w:val="00885180"/>
    <w:rsid w:val="00886087"/>
    <w:rsid w:val="0089736A"/>
    <w:rsid w:val="008B05E0"/>
    <w:rsid w:val="008B347A"/>
    <w:rsid w:val="008B3A00"/>
    <w:rsid w:val="008B673C"/>
    <w:rsid w:val="008B7C3E"/>
    <w:rsid w:val="008C53FD"/>
    <w:rsid w:val="008D3302"/>
    <w:rsid w:val="008D463C"/>
    <w:rsid w:val="008D4B51"/>
    <w:rsid w:val="008D4EB1"/>
    <w:rsid w:val="008D50E9"/>
    <w:rsid w:val="008E3A2A"/>
    <w:rsid w:val="008F24B0"/>
    <w:rsid w:val="008F369A"/>
    <w:rsid w:val="008F656B"/>
    <w:rsid w:val="008F7959"/>
    <w:rsid w:val="00906CF4"/>
    <w:rsid w:val="00906F9D"/>
    <w:rsid w:val="00914B17"/>
    <w:rsid w:val="00915313"/>
    <w:rsid w:val="00920669"/>
    <w:rsid w:val="00921BE3"/>
    <w:rsid w:val="00922391"/>
    <w:rsid w:val="00923A12"/>
    <w:rsid w:val="0093265D"/>
    <w:rsid w:val="00934C35"/>
    <w:rsid w:val="00935226"/>
    <w:rsid w:val="009373DE"/>
    <w:rsid w:val="009408F9"/>
    <w:rsid w:val="0094336A"/>
    <w:rsid w:val="00944E75"/>
    <w:rsid w:val="00945A75"/>
    <w:rsid w:val="00947A53"/>
    <w:rsid w:val="00950ABB"/>
    <w:rsid w:val="00951284"/>
    <w:rsid w:val="00954F7B"/>
    <w:rsid w:val="00961BCB"/>
    <w:rsid w:val="009632C4"/>
    <w:rsid w:val="00965F09"/>
    <w:rsid w:val="00977F70"/>
    <w:rsid w:val="00986B83"/>
    <w:rsid w:val="009871E2"/>
    <w:rsid w:val="00991223"/>
    <w:rsid w:val="009934A0"/>
    <w:rsid w:val="009948CA"/>
    <w:rsid w:val="009A0F76"/>
    <w:rsid w:val="009A33E3"/>
    <w:rsid w:val="009A6E99"/>
    <w:rsid w:val="009B127D"/>
    <w:rsid w:val="009B18DB"/>
    <w:rsid w:val="009B2809"/>
    <w:rsid w:val="009C06CC"/>
    <w:rsid w:val="009C0DE3"/>
    <w:rsid w:val="009C2751"/>
    <w:rsid w:val="009C2947"/>
    <w:rsid w:val="009C6ED2"/>
    <w:rsid w:val="009D75EF"/>
    <w:rsid w:val="009D7D9D"/>
    <w:rsid w:val="009E12D5"/>
    <w:rsid w:val="009E3573"/>
    <w:rsid w:val="009E388B"/>
    <w:rsid w:val="009E3FB2"/>
    <w:rsid w:val="009F2564"/>
    <w:rsid w:val="009F2842"/>
    <w:rsid w:val="009F4447"/>
    <w:rsid w:val="00A02B2A"/>
    <w:rsid w:val="00A0356C"/>
    <w:rsid w:val="00A03C5D"/>
    <w:rsid w:val="00A0413F"/>
    <w:rsid w:val="00A04229"/>
    <w:rsid w:val="00A1068D"/>
    <w:rsid w:val="00A16FE9"/>
    <w:rsid w:val="00A179B7"/>
    <w:rsid w:val="00A202BA"/>
    <w:rsid w:val="00A206E4"/>
    <w:rsid w:val="00A23DC4"/>
    <w:rsid w:val="00A24C66"/>
    <w:rsid w:val="00A3585F"/>
    <w:rsid w:val="00A358E9"/>
    <w:rsid w:val="00A369FA"/>
    <w:rsid w:val="00A3761B"/>
    <w:rsid w:val="00A40476"/>
    <w:rsid w:val="00A41E42"/>
    <w:rsid w:val="00A51F6A"/>
    <w:rsid w:val="00A52D5E"/>
    <w:rsid w:val="00A55527"/>
    <w:rsid w:val="00A5707A"/>
    <w:rsid w:val="00A60785"/>
    <w:rsid w:val="00A60B43"/>
    <w:rsid w:val="00A70C14"/>
    <w:rsid w:val="00A75078"/>
    <w:rsid w:val="00A7527C"/>
    <w:rsid w:val="00A81BB5"/>
    <w:rsid w:val="00A8483C"/>
    <w:rsid w:val="00A94A8F"/>
    <w:rsid w:val="00A94D9A"/>
    <w:rsid w:val="00A97745"/>
    <w:rsid w:val="00A97C7A"/>
    <w:rsid w:val="00A97DA2"/>
    <w:rsid w:val="00AA22AF"/>
    <w:rsid w:val="00AA2CB2"/>
    <w:rsid w:val="00AB6B11"/>
    <w:rsid w:val="00AC2964"/>
    <w:rsid w:val="00AC3563"/>
    <w:rsid w:val="00AD0C33"/>
    <w:rsid w:val="00AD4736"/>
    <w:rsid w:val="00AE0B97"/>
    <w:rsid w:val="00AE4035"/>
    <w:rsid w:val="00AF057E"/>
    <w:rsid w:val="00AF591E"/>
    <w:rsid w:val="00AF5E37"/>
    <w:rsid w:val="00B1212F"/>
    <w:rsid w:val="00B1446E"/>
    <w:rsid w:val="00B20B14"/>
    <w:rsid w:val="00B21C15"/>
    <w:rsid w:val="00B22033"/>
    <w:rsid w:val="00B27622"/>
    <w:rsid w:val="00B27656"/>
    <w:rsid w:val="00B30C65"/>
    <w:rsid w:val="00B3284D"/>
    <w:rsid w:val="00B34992"/>
    <w:rsid w:val="00B375A4"/>
    <w:rsid w:val="00B37764"/>
    <w:rsid w:val="00B403A2"/>
    <w:rsid w:val="00B44A77"/>
    <w:rsid w:val="00B44FDB"/>
    <w:rsid w:val="00B4762D"/>
    <w:rsid w:val="00B52136"/>
    <w:rsid w:val="00B53838"/>
    <w:rsid w:val="00B55332"/>
    <w:rsid w:val="00B60435"/>
    <w:rsid w:val="00B6100D"/>
    <w:rsid w:val="00B628FA"/>
    <w:rsid w:val="00B629B3"/>
    <w:rsid w:val="00B637CC"/>
    <w:rsid w:val="00B65188"/>
    <w:rsid w:val="00B65450"/>
    <w:rsid w:val="00B70975"/>
    <w:rsid w:val="00B744B9"/>
    <w:rsid w:val="00B80EDF"/>
    <w:rsid w:val="00B940F7"/>
    <w:rsid w:val="00B948AD"/>
    <w:rsid w:val="00BA107B"/>
    <w:rsid w:val="00BA306C"/>
    <w:rsid w:val="00BA39B2"/>
    <w:rsid w:val="00BA4846"/>
    <w:rsid w:val="00BB09B2"/>
    <w:rsid w:val="00BB4036"/>
    <w:rsid w:val="00BB514B"/>
    <w:rsid w:val="00BB6DF3"/>
    <w:rsid w:val="00BC0089"/>
    <w:rsid w:val="00BC2E95"/>
    <w:rsid w:val="00BC2F0D"/>
    <w:rsid w:val="00BC31B4"/>
    <w:rsid w:val="00BC3AE9"/>
    <w:rsid w:val="00BC4BD4"/>
    <w:rsid w:val="00BC5BE0"/>
    <w:rsid w:val="00BC60C5"/>
    <w:rsid w:val="00BC622F"/>
    <w:rsid w:val="00BC6339"/>
    <w:rsid w:val="00BD7C6E"/>
    <w:rsid w:val="00BE022A"/>
    <w:rsid w:val="00BE4FA1"/>
    <w:rsid w:val="00BE63F7"/>
    <w:rsid w:val="00BE6A3E"/>
    <w:rsid w:val="00C01EDC"/>
    <w:rsid w:val="00C02771"/>
    <w:rsid w:val="00C1366C"/>
    <w:rsid w:val="00C13B2B"/>
    <w:rsid w:val="00C1494C"/>
    <w:rsid w:val="00C16018"/>
    <w:rsid w:val="00C1644F"/>
    <w:rsid w:val="00C1730B"/>
    <w:rsid w:val="00C22D22"/>
    <w:rsid w:val="00C25065"/>
    <w:rsid w:val="00C257C1"/>
    <w:rsid w:val="00C25C5E"/>
    <w:rsid w:val="00C26D48"/>
    <w:rsid w:val="00C27CA3"/>
    <w:rsid w:val="00C309CF"/>
    <w:rsid w:val="00C30EB8"/>
    <w:rsid w:val="00C3137E"/>
    <w:rsid w:val="00C355B2"/>
    <w:rsid w:val="00C41C17"/>
    <w:rsid w:val="00C42ED4"/>
    <w:rsid w:val="00C46137"/>
    <w:rsid w:val="00C513B1"/>
    <w:rsid w:val="00C53417"/>
    <w:rsid w:val="00C57840"/>
    <w:rsid w:val="00C627D8"/>
    <w:rsid w:val="00C633FA"/>
    <w:rsid w:val="00C655EF"/>
    <w:rsid w:val="00C66173"/>
    <w:rsid w:val="00C662A4"/>
    <w:rsid w:val="00C67F26"/>
    <w:rsid w:val="00C74BA9"/>
    <w:rsid w:val="00C75006"/>
    <w:rsid w:val="00C7710C"/>
    <w:rsid w:val="00C820EB"/>
    <w:rsid w:val="00C83845"/>
    <w:rsid w:val="00C8711B"/>
    <w:rsid w:val="00C8716E"/>
    <w:rsid w:val="00C90765"/>
    <w:rsid w:val="00C9121A"/>
    <w:rsid w:val="00C92BD9"/>
    <w:rsid w:val="00C92F1D"/>
    <w:rsid w:val="00C947F9"/>
    <w:rsid w:val="00CA1D30"/>
    <w:rsid w:val="00CA55F5"/>
    <w:rsid w:val="00CB332D"/>
    <w:rsid w:val="00CB78EE"/>
    <w:rsid w:val="00CC00D1"/>
    <w:rsid w:val="00CC5FAE"/>
    <w:rsid w:val="00CC66A4"/>
    <w:rsid w:val="00CC6DBE"/>
    <w:rsid w:val="00CD3C3F"/>
    <w:rsid w:val="00CD40F5"/>
    <w:rsid w:val="00CD68A4"/>
    <w:rsid w:val="00CE0DDE"/>
    <w:rsid w:val="00CE33ED"/>
    <w:rsid w:val="00CF027A"/>
    <w:rsid w:val="00CF38AA"/>
    <w:rsid w:val="00CF5209"/>
    <w:rsid w:val="00D002C8"/>
    <w:rsid w:val="00D01C4F"/>
    <w:rsid w:val="00D02FB3"/>
    <w:rsid w:val="00D04D35"/>
    <w:rsid w:val="00D121B4"/>
    <w:rsid w:val="00D20930"/>
    <w:rsid w:val="00D24558"/>
    <w:rsid w:val="00D27E66"/>
    <w:rsid w:val="00D31E5F"/>
    <w:rsid w:val="00D33E96"/>
    <w:rsid w:val="00D3512B"/>
    <w:rsid w:val="00D368E8"/>
    <w:rsid w:val="00D43A23"/>
    <w:rsid w:val="00D46EBD"/>
    <w:rsid w:val="00D567FF"/>
    <w:rsid w:val="00D61F5D"/>
    <w:rsid w:val="00D626D0"/>
    <w:rsid w:val="00D7047F"/>
    <w:rsid w:val="00D74DC2"/>
    <w:rsid w:val="00D83AE0"/>
    <w:rsid w:val="00D93BBF"/>
    <w:rsid w:val="00D93DB2"/>
    <w:rsid w:val="00D9510F"/>
    <w:rsid w:val="00D979BA"/>
    <w:rsid w:val="00DA0F2B"/>
    <w:rsid w:val="00DA261A"/>
    <w:rsid w:val="00DA2842"/>
    <w:rsid w:val="00DA3CB1"/>
    <w:rsid w:val="00DA5FE8"/>
    <w:rsid w:val="00DA66C5"/>
    <w:rsid w:val="00DA671B"/>
    <w:rsid w:val="00DB535F"/>
    <w:rsid w:val="00DB6CF1"/>
    <w:rsid w:val="00DB6EC5"/>
    <w:rsid w:val="00DC0EAF"/>
    <w:rsid w:val="00DC10E9"/>
    <w:rsid w:val="00DC1DA7"/>
    <w:rsid w:val="00DC3555"/>
    <w:rsid w:val="00DC430B"/>
    <w:rsid w:val="00DC6435"/>
    <w:rsid w:val="00DD0554"/>
    <w:rsid w:val="00DD43BB"/>
    <w:rsid w:val="00DD6505"/>
    <w:rsid w:val="00DE3983"/>
    <w:rsid w:val="00DF31FE"/>
    <w:rsid w:val="00DF362C"/>
    <w:rsid w:val="00DF6EC9"/>
    <w:rsid w:val="00E02612"/>
    <w:rsid w:val="00E14854"/>
    <w:rsid w:val="00E15882"/>
    <w:rsid w:val="00E17656"/>
    <w:rsid w:val="00E20071"/>
    <w:rsid w:val="00E23362"/>
    <w:rsid w:val="00E37103"/>
    <w:rsid w:val="00E37441"/>
    <w:rsid w:val="00E4424B"/>
    <w:rsid w:val="00E517F4"/>
    <w:rsid w:val="00E52A59"/>
    <w:rsid w:val="00E54B05"/>
    <w:rsid w:val="00E5582F"/>
    <w:rsid w:val="00E6553C"/>
    <w:rsid w:val="00E664F3"/>
    <w:rsid w:val="00E66728"/>
    <w:rsid w:val="00E7628C"/>
    <w:rsid w:val="00E810F9"/>
    <w:rsid w:val="00E812C3"/>
    <w:rsid w:val="00E83D47"/>
    <w:rsid w:val="00E8544E"/>
    <w:rsid w:val="00E86049"/>
    <w:rsid w:val="00E8641F"/>
    <w:rsid w:val="00E92FAE"/>
    <w:rsid w:val="00E93013"/>
    <w:rsid w:val="00E94D55"/>
    <w:rsid w:val="00E9593D"/>
    <w:rsid w:val="00E95F45"/>
    <w:rsid w:val="00E97C72"/>
    <w:rsid w:val="00EA7E8F"/>
    <w:rsid w:val="00EB0616"/>
    <w:rsid w:val="00EB1A08"/>
    <w:rsid w:val="00EB412F"/>
    <w:rsid w:val="00EC1975"/>
    <w:rsid w:val="00EC41F7"/>
    <w:rsid w:val="00EC6E21"/>
    <w:rsid w:val="00ED2A9F"/>
    <w:rsid w:val="00ED377B"/>
    <w:rsid w:val="00ED45FB"/>
    <w:rsid w:val="00ED6F21"/>
    <w:rsid w:val="00ED7D57"/>
    <w:rsid w:val="00EE0E96"/>
    <w:rsid w:val="00EE1644"/>
    <w:rsid w:val="00EE33C0"/>
    <w:rsid w:val="00EF01CC"/>
    <w:rsid w:val="00EF7E67"/>
    <w:rsid w:val="00F056A1"/>
    <w:rsid w:val="00F0752E"/>
    <w:rsid w:val="00F117BC"/>
    <w:rsid w:val="00F16FCE"/>
    <w:rsid w:val="00F221A3"/>
    <w:rsid w:val="00F26B32"/>
    <w:rsid w:val="00F3600E"/>
    <w:rsid w:val="00F36F40"/>
    <w:rsid w:val="00F40F5A"/>
    <w:rsid w:val="00F410AA"/>
    <w:rsid w:val="00F42506"/>
    <w:rsid w:val="00F42BE3"/>
    <w:rsid w:val="00F442E5"/>
    <w:rsid w:val="00F449DA"/>
    <w:rsid w:val="00F53C70"/>
    <w:rsid w:val="00F53E92"/>
    <w:rsid w:val="00F546EB"/>
    <w:rsid w:val="00F572DD"/>
    <w:rsid w:val="00F6073C"/>
    <w:rsid w:val="00F67B08"/>
    <w:rsid w:val="00F73F0E"/>
    <w:rsid w:val="00F80600"/>
    <w:rsid w:val="00F80729"/>
    <w:rsid w:val="00F86DE8"/>
    <w:rsid w:val="00F86E0B"/>
    <w:rsid w:val="00F916E0"/>
    <w:rsid w:val="00F95242"/>
    <w:rsid w:val="00F95926"/>
    <w:rsid w:val="00FA1217"/>
    <w:rsid w:val="00FA245B"/>
    <w:rsid w:val="00FA4875"/>
    <w:rsid w:val="00FA4A55"/>
    <w:rsid w:val="00FB1875"/>
    <w:rsid w:val="00FB37C1"/>
    <w:rsid w:val="00FB54E1"/>
    <w:rsid w:val="00FB5D8B"/>
    <w:rsid w:val="00FB5E1E"/>
    <w:rsid w:val="00FB77EC"/>
    <w:rsid w:val="00FB79DD"/>
    <w:rsid w:val="00FC0972"/>
    <w:rsid w:val="00FC2BA1"/>
    <w:rsid w:val="00FD2F05"/>
    <w:rsid w:val="00FE31FB"/>
    <w:rsid w:val="00FE4791"/>
    <w:rsid w:val="00FE55D0"/>
    <w:rsid w:val="00FE61C6"/>
    <w:rsid w:val="00FF102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D5496"/>
  <w15:chartTrackingRefBased/>
  <w15:docId w15:val="{14C27FEE-B50E-42F0-A4A9-4F781111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l-GR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lang w:val="el-GR"/>
    </w:rPr>
  </w:style>
  <w:style w:type="character" w:styleId="Hyperlink">
    <w:name w:val="Hyperlink"/>
    <w:rsid w:val="00760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459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AB6B11"/>
    <w:rPr>
      <w:sz w:val="24"/>
      <w:szCs w:val="24"/>
      <w:lang w:val="en-GB"/>
    </w:rPr>
  </w:style>
  <w:style w:type="paragraph" w:customStyle="1" w:styleId="indent1">
    <w:name w:val="indent1"/>
    <w:basedOn w:val="Normal"/>
    <w:rsid w:val="00A3761B"/>
    <w:pPr>
      <w:spacing w:before="100" w:beforeAutospacing="1" w:after="100" w:afterAutospacing="1"/>
      <w:ind w:left="450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A3761B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EE1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6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E16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6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644"/>
    <w:rPr>
      <w:b/>
      <w:bCs/>
      <w:lang w:eastAsia="en-US"/>
    </w:rPr>
  </w:style>
  <w:style w:type="paragraph" w:styleId="Revision">
    <w:name w:val="Revision"/>
    <w:hidden/>
    <w:uiPriority w:val="99"/>
    <w:semiHidden/>
    <w:rsid w:val="00CD68A4"/>
    <w:rPr>
      <w:sz w:val="24"/>
      <w:szCs w:val="24"/>
      <w:lang w:val="en-GB" w:eastAsia="en-US"/>
    </w:rPr>
  </w:style>
  <w:style w:type="character" w:customStyle="1" w:styleId="toc-instrument-enum">
    <w:name w:val="toc-instrument-enum"/>
    <w:rsid w:val="00810920"/>
  </w:style>
  <w:style w:type="paragraph" w:styleId="DocumentMap">
    <w:name w:val="Document Map"/>
    <w:basedOn w:val="Normal"/>
    <w:link w:val="DocumentMapChar"/>
    <w:uiPriority w:val="99"/>
    <w:semiHidden/>
    <w:unhideWhenUsed/>
    <w:rsid w:val="003E784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784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93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0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764A-97DA-47CA-92A8-19A820F1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ΝΟΜΟΣΧΕΔΙΟ ΜΕ ΤΙΤΛΟ</vt:lpstr>
    </vt:vector>
  </TitlesOfParts>
  <Company>Hewlett-Packard Company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ΝΟΜΟΣΧΕΔΙΟ ΜΕ ΤΙΤΛΟ</dc:title>
  <dc:subject/>
  <dc:creator>Test</dc:creator>
  <cp:keywords/>
  <cp:lastModifiedBy>MANTOVANI</cp:lastModifiedBy>
  <cp:revision>2</cp:revision>
  <cp:lastPrinted>2022-03-10T13:45:00Z</cp:lastPrinted>
  <dcterms:created xsi:type="dcterms:W3CDTF">2022-06-30T06:29:00Z</dcterms:created>
  <dcterms:modified xsi:type="dcterms:W3CDTF">2022-06-30T06:29:00Z</dcterms:modified>
</cp:coreProperties>
</file>