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F0D" w:rsidRPr="00077909" w:rsidRDefault="007A1254" w:rsidP="00B24F0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077909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077909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Ο</w:t>
      </w:r>
      <w:r w:rsidRPr="00077909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Μ</w:t>
      </w:r>
      <w:r w:rsidRPr="00077909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Ο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Σ</w:t>
      </w:r>
      <w:r w:rsidRPr="00077909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Π</w:t>
      </w:r>
      <w:r w:rsidRPr="00077909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Ο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 xml:space="preserve">Υ </w:t>
      </w:r>
      <w:r w:rsidRPr="00077909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Τ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077909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Ο</w:t>
      </w:r>
      <w:r w:rsidRPr="00077909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Π</w:t>
      </w:r>
      <w:r w:rsidRPr="00077909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Ο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Π</w:t>
      </w:r>
      <w:r w:rsidRPr="00077909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Ο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ΙΕΙ</w:t>
      </w:r>
      <w:r w:rsidRPr="00077909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Τ</w:t>
      </w:r>
      <w:r w:rsidRPr="00077909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Ο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ΥΣ</w:t>
      </w:r>
      <w:r w:rsidRPr="00077909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ΠΕΡΙ ΦΟ</w:t>
      </w:r>
      <w:r w:rsidRPr="00077909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Ρ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ΩΝ</w:t>
      </w:r>
      <w:r w:rsidRPr="00077909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077909">
        <w:rPr>
          <w:rFonts w:ascii="Arial" w:eastAsia="Arial" w:hAnsi="Arial" w:cs="Arial"/>
          <w:b/>
          <w:spacing w:val="3"/>
          <w:sz w:val="24"/>
          <w:szCs w:val="24"/>
          <w:lang w:val="el-GR"/>
        </w:rPr>
        <w:t>Α</w:t>
      </w:r>
      <w:r w:rsidRPr="00077909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Τ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ΑΝΑ</w:t>
      </w:r>
      <w:r w:rsidRPr="00077909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Ω</w:t>
      </w:r>
      <w:r w:rsidRPr="00077909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ΗΣ</w:t>
      </w:r>
      <w:r w:rsidRPr="00077909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077909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Ο</w:t>
      </w:r>
      <w:r w:rsidRPr="00077909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Μ</w:t>
      </w:r>
      <w:r w:rsidRPr="00077909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Ο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ΥΣ</w:t>
      </w:r>
      <w:r w:rsidRPr="00077909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077909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ΤΟ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Υ</w:t>
      </w:r>
      <w:r w:rsidRPr="00077909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077909">
        <w:rPr>
          <w:rFonts w:ascii="Arial" w:eastAsia="Arial" w:hAnsi="Arial" w:cs="Arial"/>
          <w:b/>
          <w:spacing w:val="1"/>
          <w:sz w:val="24"/>
          <w:szCs w:val="24"/>
          <w:lang w:val="el-GR"/>
        </w:rPr>
        <w:t>200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4</w:t>
      </w:r>
      <w:r w:rsidRPr="00077909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077909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Ε</w:t>
      </w:r>
      <w:r w:rsidRPr="00077909">
        <w:rPr>
          <w:rFonts w:ascii="Arial" w:eastAsia="Arial" w:hAnsi="Arial" w:cs="Arial"/>
          <w:b/>
          <w:sz w:val="24"/>
          <w:szCs w:val="24"/>
          <w:lang w:val="el-GR"/>
        </w:rPr>
        <w:t>ΩΣ</w:t>
      </w:r>
      <w:r w:rsidRPr="00077909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077909">
        <w:rPr>
          <w:rFonts w:ascii="Arial" w:eastAsia="Arial" w:hAnsi="Arial" w:cs="Arial"/>
          <w:b/>
          <w:spacing w:val="1"/>
          <w:sz w:val="24"/>
          <w:szCs w:val="24"/>
          <w:lang w:val="el-GR"/>
        </w:rPr>
        <w:t>20</w:t>
      </w:r>
      <w:r w:rsidR="005F02D3" w:rsidRPr="00077909">
        <w:rPr>
          <w:rFonts w:ascii="Arial" w:eastAsia="Arial" w:hAnsi="Arial" w:cs="Arial"/>
          <w:b/>
          <w:spacing w:val="1"/>
          <w:sz w:val="24"/>
          <w:szCs w:val="24"/>
          <w:lang w:val="el-GR"/>
        </w:rPr>
        <w:t>21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2196"/>
        <w:gridCol w:w="6102"/>
        <w:gridCol w:w="2522"/>
      </w:tblGrid>
      <w:tr w:rsidR="0004474B" w:rsidRPr="00D4575F" w:rsidTr="009A7916">
        <w:tc>
          <w:tcPr>
            <w:tcW w:w="2196" w:type="dxa"/>
          </w:tcPr>
          <w:p w:rsidR="0004474B" w:rsidRDefault="0004474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02" w:type="dxa"/>
          </w:tcPr>
          <w:p w:rsidR="0004474B" w:rsidRDefault="005F02D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F02D3"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</w:tc>
        <w:tc>
          <w:tcPr>
            <w:tcW w:w="2522" w:type="dxa"/>
          </w:tcPr>
          <w:p w:rsidR="0004474B" w:rsidRDefault="0004474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4474B" w:rsidRPr="00D4575F" w:rsidTr="009A7916">
        <w:tc>
          <w:tcPr>
            <w:tcW w:w="2196" w:type="dxa"/>
            <w:hideMark/>
          </w:tcPr>
          <w:p w:rsidR="0004474B" w:rsidRPr="00077909" w:rsidRDefault="0004474B" w:rsidP="008B23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7909">
              <w:rPr>
                <w:rFonts w:ascii="Arial" w:hAnsi="Arial" w:cs="Arial"/>
                <w:sz w:val="20"/>
                <w:szCs w:val="20"/>
                <w:lang w:val="el-GR"/>
              </w:rPr>
              <w:t xml:space="preserve">Συνοπτικός </w:t>
            </w:r>
          </w:p>
          <w:p w:rsidR="0004474B" w:rsidRPr="00077909" w:rsidRDefault="0004474B" w:rsidP="008B23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7909">
              <w:rPr>
                <w:rFonts w:ascii="Arial" w:hAnsi="Arial" w:cs="Arial"/>
                <w:sz w:val="20"/>
                <w:szCs w:val="20"/>
                <w:lang w:val="el-GR"/>
              </w:rPr>
              <w:t xml:space="preserve">τίτλος. </w:t>
            </w:r>
          </w:p>
          <w:p w:rsidR="0004474B" w:rsidRPr="00077909" w:rsidRDefault="0004474B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el-GR"/>
              </w:rPr>
            </w:pPr>
            <w:r w:rsidRPr="00077909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r w:rsidRPr="00077909">
              <w:rPr>
                <w:rFonts w:ascii="Arial" w:hAnsi="Arial" w:cs="Arial"/>
                <w:bCs/>
                <w:color w:val="000000"/>
                <w:sz w:val="20"/>
                <w:szCs w:val="20"/>
                <w:lang w:val="el-GR"/>
              </w:rPr>
              <w:t>91(</w:t>
            </w:r>
            <w:r w:rsidRPr="000779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="008B2325">
              <w:rPr>
                <w:rFonts w:ascii="Arial" w:hAnsi="Arial" w:cs="Arial"/>
                <w:bCs/>
                <w:color w:val="000000"/>
                <w:sz w:val="20"/>
                <w:szCs w:val="20"/>
                <w:lang w:val="el-GR"/>
              </w:rPr>
              <w:t xml:space="preserve">) του </w:t>
            </w:r>
            <w:r w:rsidRPr="00077909">
              <w:rPr>
                <w:rFonts w:ascii="Arial" w:hAnsi="Arial" w:cs="Arial"/>
                <w:bCs/>
                <w:color w:val="000000"/>
                <w:sz w:val="20"/>
                <w:szCs w:val="20"/>
                <w:lang w:val="el-GR"/>
              </w:rPr>
              <w:t>2004</w:t>
            </w:r>
          </w:p>
          <w:p w:rsidR="0004474B" w:rsidRPr="00077909" w:rsidRDefault="0004474B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077909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208(</w:t>
            </w:r>
            <w:r w:rsidRPr="0007790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Pr="00077909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2004 </w:t>
            </w:r>
          </w:p>
          <w:p w:rsidR="0004474B" w:rsidRPr="00077909" w:rsidRDefault="0004474B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077909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245(</w:t>
            </w:r>
            <w:r w:rsidRPr="0007790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Pr="00077909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2004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262(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2004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126(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2005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65(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2006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144(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2006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6(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2007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61(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2007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139(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2007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140(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2007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156(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2007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22(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2008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39(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2008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64(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2008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91(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2008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119(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2009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30(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2010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51Α(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2010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119(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2010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169(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2012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186(Ι)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2012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25(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2013 </w:t>
            </w:r>
          </w:p>
          <w:p w:rsidR="0004474B" w:rsidRPr="008B2325" w:rsidRDefault="0004474B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42(Ι)</w:t>
            </w:r>
            <w:r w:rsidR="008B2325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του 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2013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84(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2013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110(Ι)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2013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43(Ι)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2014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89(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2017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124(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2017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128(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2017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140(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2018 </w:t>
            </w:r>
          </w:p>
          <w:p w:rsidR="0004474B" w:rsidRPr="008B2325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39(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2019 </w:t>
            </w:r>
          </w:p>
          <w:p w:rsidR="0004474B" w:rsidRPr="00077909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76(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του </w:t>
            </w:r>
            <w:r w:rsidR="0004474B" w:rsidRPr="008B2325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2020</w:t>
            </w:r>
            <w:r w:rsidR="009A7916" w:rsidRPr="00077909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</w:t>
            </w:r>
          </w:p>
          <w:p w:rsidR="007A1254" w:rsidRPr="00077909" w:rsidRDefault="008B2325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19(Ι) του </w:t>
            </w:r>
            <w:r w:rsidR="007A1254" w:rsidRPr="00077909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2021</w:t>
            </w:r>
            <w:r w:rsidR="00A11019" w:rsidRPr="00077909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</w:t>
            </w:r>
          </w:p>
          <w:p w:rsidR="0004474B" w:rsidRPr="00077909" w:rsidRDefault="0004474B" w:rsidP="008B232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bookmarkStart w:id="0" w:name="top"/>
            <w:bookmarkEnd w:id="0"/>
          </w:p>
        </w:tc>
        <w:tc>
          <w:tcPr>
            <w:tcW w:w="6102" w:type="dxa"/>
            <w:hideMark/>
          </w:tcPr>
          <w:p w:rsidR="0004474B" w:rsidRDefault="0004474B" w:rsidP="00A1101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1.</w:t>
            </w:r>
            <w:r w:rsidR="005F02D3" w:rsidRPr="005F02D3">
              <w:rPr>
                <w:rFonts w:ascii="Arial" w:hAnsi="Arial" w:cs="Arial"/>
                <w:sz w:val="24"/>
                <w:szCs w:val="24"/>
                <w:lang w:val="el-GR"/>
              </w:rPr>
              <w:t xml:space="preserve"> Ο παρών Νόμος θα αναφέρεται ως ο περί Φόρων Κα</w:t>
            </w:r>
            <w:r w:rsidR="00A11019">
              <w:rPr>
                <w:rFonts w:ascii="Arial" w:hAnsi="Arial" w:cs="Arial"/>
                <w:sz w:val="24"/>
                <w:szCs w:val="24"/>
                <w:lang w:val="el-GR"/>
              </w:rPr>
              <w:t xml:space="preserve">τανάλωσης (Τροποποιητικός) </w:t>
            </w:r>
            <w:r w:rsidR="005F02D3" w:rsidRPr="005F02D3">
              <w:rPr>
                <w:rFonts w:ascii="Arial" w:hAnsi="Arial" w:cs="Arial"/>
                <w:sz w:val="24"/>
                <w:szCs w:val="24"/>
                <w:lang w:val="el-GR"/>
              </w:rPr>
              <w:t xml:space="preserve">Νόμος του 2022 και θα διαβάζεται με τους περί Φόρων Κατανάλωσης Νόμους του 2004 έως </w:t>
            </w:r>
            <w:r w:rsidR="00A11019">
              <w:rPr>
                <w:rFonts w:ascii="Arial" w:hAnsi="Arial" w:cs="Arial"/>
                <w:sz w:val="24"/>
                <w:szCs w:val="24"/>
                <w:lang w:val="el-GR"/>
              </w:rPr>
              <w:t xml:space="preserve">(Τροποποιητικός) του </w:t>
            </w:r>
            <w:r w:rsidR="005F02D3" w:rsidRPr="005F02D3">
              <w:rPr>
                <w:rFonts w:ascii="Arial" w:hAnsi="Arial" w:cs="Arial"/>
                <w:sz w:val="24"/>
                <w:szCs w:val="24"/>
                <w:lang w:val="el-GR"/>
              </w:rPr>
              <w:t>2021 (που στη συνέχεια θα αναφέρονται ως «ο βασικός νόμος») και ο βασικός νόμος και ο παρών Νόμος θα αναφέρονται μαζί ως οι περί Φόρων Κατανάλωσης Νόμοι του 2004 έως 202</w:t>
            </w:r>
            <w:r w:rsidR="005327DB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5F02D3" w:rsidRPr="005F02D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2522" w:type="dxa"/>
          </w:tcPr>
          <w:p w:rsidR="0004474B" w:rsidRDefault="0004474B" w:rsidP="00B24F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4474B" w:rsidRPr="00D4575F" w:rsidTr="009A7916">
        <w:tc>
          <w:tcPr>
            <w:tcW w:w="2196" w:type="dxa"/>
          </w:tcPr>
          <w:p w:rsidR="0004474B" w:rsidRDefault="0004474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02" w:type="dxa"/>
          </w:tcPr>
          <w:p w:rsidR="0004474B" w:rsidRDefault="0004474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522" w:type="dxa"/>
          </w:tcPr>
          <w:p w:rsidR="00872328" w:rsidRDefault="0087232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4474B" w:rsidRPr="00D4575F" w:rsidTr="009A7916">
        <w:tc>
          <w:tcPr>
            <w:tcW w:w="2196" w:type="dxa"/>
            <w:hideMark/>
          </w:tcPr>
          <w:p w:rsidR="0004474B" w:rsidRPr="00077909" w:rsidRDefault="0004474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7909">
              <w:rPr>
                <w:rFonts w:ascii="Arial" w:hAnsi="Arial" w:cs="Arial"/>
                <w:sz w:val="20"/>
                <w:szCs w:val="20"/>
                <w:lang w:val="el-GR"/>
              </w:rPr>
              <w:t xml:space="preserve">Τροποποίηση </w:t>
            </w:r>
          </w:p>
          <w:p w:rsidR="0004474B" w:rsidRPr="00077909" w:rsidRDefault="0004474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7909">
              <w:rPr>
                <w:rFonts w:ascii="Arial" w:hAnsi="Arial" w:cs="Arial"/>
                <w:sz w:val="20"/>
                <w:szCs w:val="20"/>
                <w:lang w:val="el-GR"/>
              </w:rPr>
              <w:t xml:space="preserve">του Πρώτου Παραρτήματος </w:t>
            </w:r>
          </w:p>
          <w:p w:rsidR="0004474B" w:rsidRPr="00077909" w:rsidRDefault="0004474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7909">
              <w:rPr>
                <w:rFonts w:ascii="Arial" w:hAnsi="Arial" w:cs="Arial"/>
                <w:sz w:val="20"/>
                <w:szCs w:val="20"/>
                <w:lang w:val="el-GR"/>
              </w:rPr>
              <w:t xml:space="preserve">του βασικού νόμου. </w:t>
            </w:r>
          </w:p>
        </w:tc>
        <w:tc>
          <w:tcPr>
            <w:tcW w:w="6102" w:type="dxa"/>
          </w:tcPr>
          <w:p w:rsidR="0004474B" w:rsidRDefault="0004474B" w:rsidP="00BD6D8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2. </w:t>
            </w:r>
            <w:r w:rsidR="0034476A">
              <w:rPr>
                <w:rFonts w:cs="Arial"/>
                <w:szCs w:val="24"/>
                <w:lang w:val="el-GR"/>
              </w:rPr>
              <w:t xml:space="preserve">Το Πρώτο Παράρτημα του βασικού νόμου τροποποιείται ως ακολούθως: </w:t>
            </w:r>
          </w:p>
          <w:p w:rsidR="0004474B" w:rsidRDefault="0034476A" w:rsidP="00BD6D8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(α) Με την αντικατάσταση του συντελεστή «€429,00 τα 1000 λίτρα» έναντι των κλάσεων 1), 2), 3) και 4) με το συντελεστή «€35</w:t>
            </w:r>
            <w:r w:rsidR="007A1254">
              <w:rPr>
                <w:rFonts w:cs="Arial"/>
                <w:szCs w:val="24"/>
                <w:lang w:val="el-GR"/>
              </w:rPr>
              <w:t>9</w:t>
            </w:r>
            <w:r>
              <w:rPr>
                <w:rFonts w:cs="Arial"/>
                <w:szCs w:val="24"/>
                <w:lang w:val="el-GR"/>
              </w:rPr>
              <w:t>,00 τα 1000 λίτρα»</w:t>
            </w:r>
            <w:r w:rsidR="00291AE2">
              <w:rPr>
                <w:rFonts w:cs="Arial"/>
                <w:szCs w:val="24"/>
                <w:lang w:val="el-GR"/>
              </w:rPr>
              <w:t>·</w:t>
            </w:r>
          </w:p>
          <w:p w:rsidR="0034476A" w:rsidRDefault="0034476A" w:rsidP="00BD6D8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(β) Με την αντικατάσταση του συντελεστή «€400,00 τα 1000 λίτρα» έναντι των κλάσεων 6), και 10) με το συντελεστή «€3</w:t>
            </w:r>
            <w:r w:rsidR="007A1254">
              <w:rPr>
                <w:rFonts w:cs="Arial"/>
                <w:szCs w:val="24"/>
                <w:lang w:val="el-GR"/>
              </w:rPr>
              <w:t>3</w:t>
            </w:r>
            <w:r>
              <w:rPr>
                <w:rFonts w:cs="Arial"/>
                <w:szCs w:val="24"/>
                <w:lang w:val="el-GR"/>
              </w:rPr>
              <w:t>0,00 τα 1000 λίτρα»</w:t>
            </w:r>
            <w:r w:rsidR="00291AE2">
              <w:rPr>
                <w:rFonts w:cs="Arial"/>
                <w:szCs w:val="24"/>
                <w:lang w:val="el-GR"/>
              </w:rPr>
              <w:t>·</w:t>
            </w:r>
          </w:p>
          <w:p w:rsidR="0004474B" w:rsidRPr="00AE39D8" w:rsidRDefault="0034476A" w:rsidP="00A11019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(γ) Με την αντικατάσταση του συντελεστή «€74,73 τα 1000 λίτρα» έναντι των κλάσεων 7), 9), 11) και 13) με το συντελεστή «€21,00 τα 1000 λίτρα»</w:t>
            </w:r>
            <w:r w:rsidR="00A11019">
              <w:rPr>
                <w:rFonts w:cs="Arial"/>
                <w:szCs w:val="24"/>
                <w:lang w:val="el-GR"/>
              </w:rPr>
              <w:t>.</w:t>
            </w:r>
          </w:p>
        </w:tc>
        <w:tc>
          <w:tcPr>
            <w:tcW w:w="2522" w:type="dxa"/>
          </w:tcPr>
          <w:p w:rsidR="0004474B" w:rsidRDefault="0004474B" w:rsidP="00BD6D8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  <w:p w:rsidR="00872328" w:rsidRDefault="00872328" w:rsidP="00BD6D8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  <w:p w:rsidR="0004474B" w:rsidRDefault="0004474B" w:rsidP="00BD6D8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  <w:p w:rsidR="0004474B" w:rsidRDefault="0004474B" w:rsidP="00BD6D8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  <w:p w:rsidR="009A7916" w:rsidRDefault="009A7916" w:rsidP="0004474B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  <w:p w:rsidR="009A7916" w:rsidRDefault="009A7916" w:rsidP="0004474B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  <w:p w:rsidR="00872328" w:rsidRDefault="009A7916" w:rsidP="0034476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 </w:t>
            </w:r>
          </w:p>
          <w:p w:rsidR="00872328" w:rsidRDefault="00872328" w:rsidP="0034476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  <w:p w:rsidR="00872328" w:rsidRDefault="00872328" w:rsidP="0034476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  <w:p w:rsidR="00872328" w:rsidRDefault="00872328" w:rsidP="0034476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  <w:p w:rsidR="00872328" w:rsidRDefault="00872328" w:rsidP="0034476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  <w:p w:rsidR="0004474B" w:rsidRDefault="009A7916" w:rsidP="0034476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  </w:t>
            </w:r>
          </w:p>
        </w:tc>
      </w:tr>
      <w:tr w:rsidR="00555800" w:rsidRPr="00D4575F" w:rsidTr="009A7916">
        <w:tc>
          <w:tcPr>
            <w:tcW w:w="2196" w:type="dxa"/>
          </w:tcPr>
          <w:p w:rsidR="00555800" w:rsidRPr="00357929" w:rsidRDefault="00CF4FD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57929">
              <w:rPr>
                <w:rFonts w:ascii="Arial" w:hAnsi="Arial" w:cs="Arial"/>
                <w:sz w:val="20"/>
                <w:szCs w:val="20"/>
                <w:lang w:val="el-GR"/>
              </w:rPr>
              <w:t xml:space="preserve">Έναρξη και λήξη ισχύος </w:t>
            </w:r>
            <w:r w:rsidR="005F02D3" w:rsidRPr="00357929">
              <w:rPr>
                <w:rFonts w:ascii="Arial" w:hAnsi="Arial" w:cs="Arial"/>
                <w:sz w:val="20"/>
                <w:szCs w:val="20"/>
                <w:lang w:val="el-GR"/>
              </w:rPr>
              <w:t xml:space="preserve"> του παρόντος Νόμου.</w:t>
            </w:r>
          </w:p>
          <w:p w:rsidR="00CF4FD0" w:rsidRDefault="00CF4FD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CF4FD0" w:rsidRDefault="00CF4FD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CF4FD0" w:rsidRDefault="00CF4FD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CF4FD0" w:rsidRDefault="00CF4FD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02" w:type="dxa"/>
          </w:tcPr>
          <w:p w:rsidR="00555800" w:rsidRDefault="005F02D3" w:rsidP="00DA3AEC">
            <w:pPr>
              <w:pStyle w:val="ListParagraph"/>
              <w:tabs>
                <w:tab w:val="clear" w:pos="567"/>
                <w:tab w:val="left" w:pos="34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3</w:t>
            </w:r>
            <w:r w:rsidR="005D49E6">
              <w:rPr>
                <w:rFonts w:cs="Arial"/>
                <w:szCs w:val="24"/>
                <w:lang w:val="el-GR"/>
              </w:rPr>
              <w:t>(1)</w:t>
            </w:r>
            <w:r w:rsidR="00DA3AEC">
              <w:rPr>
                <w:rFonts w:cs="Arial"/>
                <w:szCs w:val="24"/>
                <w:lang w:val="el-GR"/>
              </w:rPr>
              <w:t xml:space="preserve"> </w:t>
            </w:r>
            <w:r>
              <w:rPr>
                <w:rFonts w:cs="Arial"/>
                <w:szCs w:val="24"/>
                <w:lang w:val="el-GR"/>
              </w:rPr>
              <w:t xml:space="preserve">Ο παρών Νόμος τίθεται σε ισχύ </w:t>
            </w:r>
            <w:r w:rsidR="00BD0ABD">
              <w:rPr>
                <w:rFonts w:cs="Arial"/>
                <w:szCs w:val="24"/>
                <w:lang w:val="el-GR"/>
              </w:rPr>
              <w:t>από</w:t>
            </w:r>
            <w:r w:rsidR="00D4575F">
              <w:rPr>
                <w:rFonts w:cs="Arial"/>
                <w:szCs w:val="24"/>
                <w:lang w:val="el-GR"/>
              </w:rPr>
              <w:t xml:space="preserve"> τις 8 Μαρτίου 2022</w:t>
            </w:r>
            <w:r w:rsidR="00BD0ABD">
              <w:rPr>
                <w:rFonts w:cs="Arial"/>
                <w:szCs w:val="24"/>
                <w:lang w:val="el-GR"/>
              </w:rPr>
              <w:t xml:space="preserve"> στην Επίσημη </w:t>
            </w:r>
            <w:r w:rsidR="00CA1801">
              <w:rPr>
                <w:rFonts w:cs="Arial"/>
                <w:szCs w:val="24"/>
                <w:lang w:val="el-GR"/>
              </w:rPr>
              <w:t>Ε</w:t>
            </w:r>
            <w:r w:rsidR="00BD0ABD">
              <w:rPr>
                <w:rFonts w:cs="Arial"/>
                <w:szCs w:val="24"/>
                <w:lang w:val="el-GR"/>
              </w:rPr>
              <w:t xml:space="preserve">φημερίδα της Δημοκρατίας και </w:t>
            </w:r>
            <w:r w:rsidR="00CA1801">
              <w:rPr>
                <w:rFonts w:cs="Arial"/>
                <w:szCs w:val="24"/>
                <w:lang w:val="el-GR"/>
              </w:rPr>
              <w:t xml:space="preserve">θα ισχύει μέχρι και </w:t>
            </w:r>
            <w:r w:rsidR="00BD0ABD">
              <w:rPr>
                <w:rFonts w:cs="Arial"/>
                <w:szCs w:val="24"/>
                <w:lang w:val="el-GR"/>
              </w:rPr>
              <w:t>την 1</w:t>
            </w:r>
            <w:r w:rsidR="00BD0ABD" w:rsidRPr="00BD0ABD">
              <w:rPr>
                <w:rFonts w:cs="Arial"/>
                <w:szCs w:val="24"/>
                <w:vertAlign w:val="superscript"/>
                <w:lang w:val="el-GR"/>
              </w:rPr>
              <w:t>η</w:t>
            </w:r>
            <w:r w:rsidR="00BD0ABD">
              <w:rPr>
                <w:rFonts w:cs="Arial"/>
                <w:szCs w:val="24"/>
                <w:lang w:val="el-GR"/>
              </w:rPr>
              <w:t xml:space="preserve"> Ιουνίου 2022.</w:t>
            </w:r>
          </w:p>
          <w:p w:rsidR="00CF4FD0" w:rsidRDefault="00CF4FD0" w:rsidP="00BD6D8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  <w:p w:rsidR="00CF4FD0" w:rsidRPr="00CF4FD0" w:rsidRDefault="005D49E6" w:rsidP="00DA3AEC">
            <w:pPr>
              <w:pStyle w:val="ListParagraph"/>
              <w:tabs>
                <w:tab w:val="clear" w:pos="567"/>
                <w:tab w:val="left" w:pos="34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 xml:space="preserve">(2) </w:t>
            </w:r>
            <w:r w:rsidR="00CF4FD0">
              <w:rPr>
                <w:rFonts w:cs="Arial"/>
                <w:szCs w:val="24"/>
                <w:lang w:val="el-GR"/>
              </w:rPr>
              <w:t xml:space="preserve">Τηρουμένων των διατάξεων του εδαφίου </w:t>
            </w:r>
            <w:r w:rsidR="00A60262">
              <w:rPr>
                <w:rFonts w:cs="Arial"/>
                <w:szCs w:val="24"/>
                <w:lang w:val="el-GR"/>
              </w:rPr>
              <w:t>(</w:t>
            </w:r>
            <w:r w:rsidR="00CF4FD0" w:rsidRPr="00CF4FD0">
              <w:rPr>
                <w:rFonts w:cs="Arial"/>
                <w:szCs w:val="24"/>
                <w:lang w:val="el-GR"/>
              </w:rPr>
              <w:t>1</w:t>
            </w:r>
            <w:r w:rsidR="00A60262">
              <w:rPr>
                <w:rFonts w:cs="Arial"/>
                <w:szCs w:val="24"/>
                <w:lang w:val="el-GR"/>
              </w:rPr>
              <w:t>),</w:t>
            </w:r>
            <w:r w:rsidR="00CF4FD0" w:rsidRPr="00CF4FD0">
              <w:rPr>
                <w:rFonts w:cs="Arial"/>
                <w:szCs w:val="24"/>
                <w:lang w:val="el-GR"/>
              </w:rPr>
              <w:t xml:space="preserve"> </w:t>
            </w:r>
            <w:r w:rsidR="00CF4FD0">
              <w:rPr>
                <w:rFonts w:cs="Arial"/>
                <w:szCs w:val="24"/>
                <w:lang w:val="el-GR"/>
              </w:rPr>
              <w:t>με</w:t>
            </w:r>
            <w:r w:rsidR="00CF4FD0" w:rsidRPr="00CF4FD0">
              <w:rPr>
                <w:rFonts w:cs="Arial"/>
                <w:szCs w:val="24"/>
                <w:lang w:val="el-GR"/>
              </w:rPr>
              <w:t xml:space="preserve"> </w:t>
            </w:r>
            <w:r w:rsidR="00CF4FD0">
              <w:rPr>
                <w:rFonts w:cs="Arial"/>
                <w:szCs w:val="24"/>
                <w:lang w:val="el-GR"/>
              </w:rPr>
              <w:t>τη</w:t>
            </w:r>
            <w:r w:rsidR="00CF4FD0" w:rsidRPr="00CF4FD0">
              <w:rPr>
                <w:rFonts w:cs="Arial"/>
                <w:szCs w:val="24"/>
                <w:lang w:val="el-GR"/>
              </w:rPr>
              <w:t xml:space="preserve"> </w:t>
            </w:r>
            <w:r w:rsidR="00CF4FD0">
              <w:rPr>
                <w:rFonts w:cs="Arial"/>
                <w:szCs w:val="24"/>
                <w:lang w:val="el-GR"/>
              </w:rPr>
              <w:t>λήξη ισχύος του</w:t>
            </w:r>
            <w:r>
              <w:rPr>
                <w:rFonts w:cs="Arial"/>
                <w:szCs w:val="24"/>
                <w:lang w:val="el-GR"/>
              </w:rPr>
              <w:t xml:space="preserve"> παρόντος νόμου</w:t>
            </w:r>
            <w:r w:rsidR="00CF4FD0">
              <w:rPr>
                <w:rFonts w:cs="Arial"/>
                <w:szCs w:val="24"/>
                <w:lang w:val="el-GR"/>
              </w:rPr>
              <w:t xml:space="preserve"> επαναφέρονται οι συντελεστές </w:t>
            </w:r>
            <w:r w:rsidR="00A60262">
              <w:rPr>
                <w:rFonts w:cs="Arial"/>
                <w:szCs w:val="24"/>
                <w:lang w:val="el-GR"/>
              </w:rPr>
              <w:t>ε</w:t>
            </w:r>
            <w:r>
              <w:rPr>
                <w:rFonts w:cs="Arial"/>
                <w:szCs w:val="24"/>
                <w:lang w:val="el-GR"/>
              </w:rPr>
              <w:t xml:space="preserve">ιδικού φόρου κατανάλωσης </w:t>
            </w:r>
            <w:r w:rsidR="00CF4FD0">
              <w:rPr>
                <w:rFonts w:cs="Arial"/>
                <w:szCs w:val="24"/>
                <w:lang w:val="el-GR"/>
              </w:rPr>
              <w:t xml:space="preserve">που ίσχυαν </w:t>
            </w:r>
            <w:r w:rsidR="00A11019">
              <w:rPr>
                <w:rFonts w:cs="Arial"/>
                <w:szCs w:val="24"/>
                <w:lang w:val="el-GR"/>
              </w:rPr>
              <w:t xml:space="preserve">για τις κλάσεις που αναφέρονται στο άρθρο 2, </w:t>
            </w:r>
            <w:r w:rsidR="00CF4FD0">
              <w:rPr>
                <w:rFonts w:cs="Arial"/>
                <w:szCs w:val="24"/>
                <w:lang w:val="el-GR"/>
              </w:rPr>
              <w:t xml:space="preserve">πριν από την έναρξη ισχύος του παρόντος </w:t>
            </w:r>
            <w:r>
              <w:rPr>
                <w:rFonts w:cs="Arial"/>
                <w:szCs w:val="24"/>
                <w:lang w:val="el-GR"/>
              </w:rPr>
              <w:t>νόμου.</w:t>
            </w:r>
          </w:p>
        </w:tc>
        <w:tc>
          <w:tcPr>
            <w:tcW w:w="2522" w:type="dxa"/>
          </w:tcPr>
          <w:p w:rsidR="00555800" w:rsidRPr="00CF4FD0" w:rsidRDefault="00555800" w:rsidP="00BD6D8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  <w:p w:rsidR="00CF4FD0" w:rsidRPr="00CF4FD0" w:rsidRDefault="00CF4FD0" w:rsidP="00BD6D8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  <w:p w:rsidR="00CF4FD0" w:rsidRPr="00CF4FD0" w:rsidRDefault="00CF4FD0" w:rsidP="00BD6D8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  <w:p w:rsidR="00CF4FD0" w:rsidRPr="00CF4FD0" w:rsidRDefault="00CF4FD0" w:rsidP="00BD6D8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  <w:p w:rsidR="00CF4FD0" w:rsidRPr="00CF4FD0" w:rsidRDefault="00CF4FD0" w:rsidP="00BD6D8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  <w:p w:rsidR="00CF4FD0" w:rsidRPr="00CF4FD0" w:rsidRDefault="00CF4FD0" w:rsidP="00BD6D8A">
            <w:pPr>
              <w:pStyle w:val="ListParagraph"/>
              <w:tabs>
                <w:tab w:val="clear" w:pos="567"/>
                <w:tab w:val="left" w:pos="34"/>
                <w:tab w:val="left" w:pos="601"/>
              </w:tabs>
              <w:spacing w:line="360" w:lineRule="auto"/>
              <w:ind w:left="0"/>
              <w:rPr>
                <w:rFonts w:cs="Arial"/>
                <w:szCs w:val="24"/>
                <w:lang w:val="el-GR"/>
              </w:rPr>
            </w:pPr>
          </w:p>
        </w:tc>
      </w:tr>
    </w:tbl>
    <w:p w:rsidR="00B24F0D" w:rsidRPr="00CF4FD0" w:rsidRDefault="00B24F0D" w:rsidP="00B24F0D">
      <w:pPr>
        <w:pStyle w:val="FootnoteText"/>
        <w:spacing w:before="0"/>
        <w:rPr>
          <w:rFonts w:ascii="Arial" w:hAnsi="Arial" w:cs="Arial"/>
          <w:sz w:val="16"/>
          <w:szCs w:val="16"/>
          <w:lang w:val="el-GR"/>
        </w:rPr>
      </w:pPr>
    </w:p>
    <w:p w:rsidR="009A7916" w:rsidRPr="00CF4FD0" w:rsidRDefault="009A7916" w:rsidP="00B24F0D">
      <w:pPr>
        <w:pStyle w:val="FootnoteText"/>
        <w:spacing w:before="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D60D6B" w:rsidRDefault="00787464" w:rsidP="0004474B">
      <w:pPr>
        <w:tabs>
          <w:tab w:val="left" w:pos="46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.</w:t>
      </w:r>
      <w:r w:rsidR="00F63DF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F63DF0" w:rsidRDefault="00F63DF0" w:rsidP="0004474B">
      <w:pPr>
        <w:tabs>
          <w:tab w:val="left" w:pos="46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8B0407" w:rsidRDefault="008B0407" w:rsidP="008B0407">
      <w:pPr>
        <w:tabs>
          <w:tab w:val="left" w:pos="46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8B0407" w:rsidRDefault="008B0407" w:rsidP="008B0407">
      <w:pPr>
        <w:tabs>
          <w:tab w:val="left" w:pos="46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B24F0D" w:rsidRDefault="00B24F0D" w:rsidP="00B24F0D">
      <w:pPr>
        <w:pStyle w:val="FootnoteText"/>
        <w:spacing w:before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:rsidR="00B24F0D" w:rsidRDefault="00B24F0D" w:rsidP="00B24F0D">
      <w:pPr>
        <w:pStyle w:val="FootnoteText"/>
        <w:spacing w:before="0"/>
        <w:rPr>
          <w:rFonts w:ascii="Arial" w:hAnsi="Arial" w:cs="Arial"/>
          <w:sz w:val="24"/>
          <w:szCs w:val="24"/>
          <w:lang w:val="el-GR"/>
        </w:rPr>
      </w:pPr>
    </w:p>
    <w:p w:rsidR="00B24F0D" w:rsidRDefault="00B24F0D" w:rsidP="00B24F0D">
      <w:pPr>
        <w:pStyle w:val="FootnoteText"/>
        <w:spacing w:before="0"/>
        <w:rPr>
          <w:rFonts w:ascii="Arial" w:hAnsi="Arial" w:cs="Arial"/>
          <w:sz w:val="24"/>
          <w:szCs w:val="24"/>
          <w:lang w:val="el-GR"/>
        </w:rPr>
      </w:pPr>
    </w:p>
    <w:p w:rsidR="00B24F0D" w:rsidRDefault="00B24F0D" w:rsidP="00B24F0D">
      <w:pPr>
        <w:pStyle w:val="FootnoteText"/>
        <w:spacing w:before="0"/>
        <w:rPr>
          <w:rFonts w:ascii="Arial" w:hAnsi="Arial" w:cs="Arial"/>
          <w:sz w:val="24"/>
          <w:szCs w:val="24"/>
          <w:lang w:val="el-GR"/>
        </w:rPr>
      </w:pPr>
    </w:p>
    <w:p w:rsidR="00B24F0D" w:rsidRDefault="00B24F0D" w:rsidP="00B24F0D">
      <w:pPr>
        <w:pStyle w:val="FootnoteText"/>
        <w:spacing w:before="0"/>
        <w:rPr>
          <w:rFonts w:ascii="Arial" w:hAnsi="Arial" w:cs="Arial"/>
          <w:sz w:val="24"/>
          <w:szCs w:val="24"/>
          <w:lang w:val="el-GR"/>
        </w:rPr>
      </w:pPr>
    </w:p>
    <w:p w:rsidR="00B24F0D" w:rsidRDefault="00B24F0D" w:rsidP="00B24F0D">
      <w:pPr>
        <w:pStyle w:val="FootnoteText"/>
        <w:spacing w:before="0"/>
        <w:rPr>
          <w:rFonts w:ascii="Arial" w:hAnsi="Arial" w:cs="Arial"/>
          <w:sz w:val="24"/>
          <w:szCs w:val="24"/>
          <w:lang w:val="el-GR"/>
        </w:rPr>
      </w:pPr>
    </w:p>
    <w:p w:rsidR="00B24F0D" w:rsidRDefault="00B24F0D" w:rsidP="00B24F0D">
      <w:pPr>
        <w:pStyle w:val="FootnoteText"/>
        <w:spacing w:before="0"/>
        <w:rPr>
          <w:rFonts w:ascii="Arial" w:hAnsi="Arial" w:cs="Arial"/>
          <w:sz w:val="24"/>
          <w:szCs w:val="24"/>
          <w:lang w:val="el-GR"/>
        </w:rPr>
      </w:pPr>
    </w:p>
    <w:p w:rsidR="00B24F0D" w:rsidRDefault="00B24F0D" w:rsidP="00B24F0D">
      <w:pPr>
        <w:pStyle w:val="FootnoteText"/>
        <w:spacing w:before="0"/>
        <w:rPr>
          <w:rFonts w:ascii="Arial" w:hAnsi="Arial" w:cs="Arial"/>
          <w:sz w:val="24"/>
          <w:szCs w:val="24"/>
          <w:lang w:val="el-GR"/>
        </w:rPr>
      </w:pPr>
    </w:p>
    <w:p w:rsidR="001C5929" w:rsidRPr="00555800" w:rsidRDefault="001C5929">
      <w:pPr>
        <w:rPr>
          <w:lang w:val="el-GR"/>
        </w:rPr>
      </w:pPr>
    </w:p>
    <w:sectPr w:rsidR="001C5929" w:rsidRPr="00555800" w:rsidSect="00A11019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8A3" w:rsidRDefault="000548A3" w:rsidP="00E74F26">
      <w:pPr>
        <w:spacing w:after="0" w:line="240" w:lineRule="auto"/>
      </w:pPr>
      <w:r>
        <w:separator/>
      </w:r>
    </w:p>
  </w:endnote>
  <w:endnote w:type="continuationSeparator" w:id="0">
    <w:p w:rsidR="000548A3" w:rsidRDefault="000548A3" w:rsidP="00E7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8A3" w:rsidRDefault="000548A3" w:rsidP="00E74F26">
      <w:pPr>
        <w:spacing w:after="0" w:line="240" w:lineRule="auto"/>
      </w:pPr>
      <w:r>
        <w:separator/>
      </w:r>
    </w:p>
  </w:footnote>
  <w:footnote w:type="continuationSeparator" w:id="0">
    <w:p w:rsidR="000548A3" w:rsidRDefault="000548A3" w:rsidP="00E7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529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1019" w:rsidRDefault="007C56A2">
        <w:pPr>
          <w:pStyle w:val="Header"/>
          <w:jc w:val="center"/>
        </w:pPr>
        <w:r>
          <w:fldChar w:fldCharType="begin"/>
        </w:r>
        <w:r w:rsidR="00A11019">
          <w:instrText xml:space="preserve"> PAGE   \* MERGEFORMAT </w:instrText>
        </w:r>
        <w:r>
          <w:fldChar w:fldCharType="separate"/>
        </w:r>
        <w:r w:rsidR="00B202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F26" w:rsidRDefault="00E74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3FF1"/>
    <w:multiLevelType w:val="multilevel"/>
    <w:tmpl w:val="6F54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F0D"/>
    <w:rsid w:val="0004474B"/>
    <w:rsid w:val="000548A3"/>
    <w:rsid w:val="00070527"/>
    <w:rsid w:val="00077909"/>
    <w:rsid w:val="0008308B"/>
    <w:rsid w:val="000A6BA4"/>
    <w:rsid w:val="00175F51"/>
    <w:rsid w:val="0018659D"/>
    <w:rsid w:val="0019264D"/>
    <w:rsid w:val="001C5929"/>
    <w:rsid w:val="00217470"/>
    <w:rsid w:val="00250DE5"/>
    <w:rsid w:val="00257768"/>
    <w:rsid w:val="00291AE2"/>
    <w:rsid w:val="002B0ADB"/>
    <w:rsid w:val="002C0939"/>
    <w:rsid w:val="003348CA"/>
    <w:rsid w:val="00344343"/>
    <w:rsid w:val="0034476A"/>
    <w:rsid w:val="00357929"/>
    <w:rsid w:val="00397F40"/>
    <w:rsid w:val="004139DB"/>
    <w:rsid w:val="0049433E"/>
    <w:rsid w:val="004B67E0"/>
    <w:rsid w:val="004D1191"/>
    <w:rsid w:val="004D1AC5"/>
    <w:rsid w:val="004F29CF"/>
    <w:rsid w:val="004F60D0"/>
    <w:rsid w:val="005327DB"/>
    <w:rsid w:val="00546045"/>
    <w:rsid w:val="00555800"/>
    <w:rsid w:val="005663BF"/>
    <w:rsid w:val="005A64DF"/>
    <w:rsid w:val="005D49E6"/>
    <w:rsid w:val="005E59A4"/>
    <w:rsid w:val="005F02D3"/>
    <w:rsid w:val="006858E7"/>
    <w:rsid w:val="006A11B0"/>
    <w:rsid w:val="006C4C85"/>
    <w:rsid w:val="006E5D11"/>
    <w:rsid w:val="006F4065"/>
    <w:rsid w:val="00707FA3"/>
    <w:rsid w:val="00763E7F"/>
    <w:rsid w:val="007702CE"/>
    <w:rsid w:val="00787464"/>
    <w:rsid w:val="007A1254"/>
    <w:rsid w:val="007C56A2"/>
    <w:rsid w:val="007F1455"/>
    <w:rsid w:val="00854F21"/>
    <w:rsid w:val="00872328"/>
    <w:rsid w:val="00877B3E"/>
    <w:rsid w:val="008B0407"/>
    <w:rsid w:val="008B2325"/>
    <w:rsid w:val="008C084F"/>
    <w:rsid w:val="008E3066"/>
    <w:rsid w:val="008F69CD"/>
    <w:rsid w:val="00951783"/>
    <w:rsid w:val="00957A51"/>
    <w:rsid w:val="00970A28"/>
    <w:rsid w:val="009A7916"/>
    <w:rsid w:val="009D0E0F"/>
    <w:rsid w:val="009F2AE2"/>
    <w:rsid w:val="00A11019"/>
    <w:rsid w:val="00A60262"/>
    <w:rsid w:val="00A7333C"/>
    <w:rsid w:val="00AE39D8"/>
    <w:rsid w:val="00B1506E"/>
    <w:rsid w:val="00B20242"/>
    <w:rsid w:val="00B24F0D"/>
    <w:rsid w:val="00B47A45"/>
    <w:rsid w:val="00B57AE4"/>
    <w:rsid w:val="00BD0ABD"/>
    <w:rsid w:val="00BD6D8A"/>
    <w:rsid w:val="00C01B0A"/>
    <w:rsid w:val="00C861A6"/>
    <w:rsid w:val="00C9572D"/>
    <w:rsid w:val="00CA1801"/>
    <w:rsid w:val="00CA3B06"/>
    <w:rsid w:val="00CF4FD0"/>
    <w:rsid w:val="00D1506D"/>
    <w:rsid w:val="00D4575F"/>
    <w:rsid w:val="00D51363"/>
    <w:rsid w:val="00D54477"/>
    <w:rsid w:val="00D60D6B"/>
    <w:rsid w:val="00DA3AEC"/>
    <w:rsid w:val="00E74F26"/>
    <w:rsid w:val="00E76DC9"/>
    <w:rsid w:val="00E854A0"/>
    <w:rsid w:val="00E87704"/>
    <w:rsid w:val="00F37D43"/>
    <w:rsid w:val="00F5486A"/>
    <w:rsid w:val="00F628DE"/>
    <w:rsid w:val="00F6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C6FBC-0A2F-4ED6-BB3B-E2E16284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F0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4F0D"/>
    <w:pPr>
      <w:spacing w:before="240"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4F0D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BD6D8A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D6D8A"/>
    <w:pPr>
      <w:tabs>
        <w:tab w:val="left" w:pos="567"/>
        <w:tab w:val="left" w:pos="4961"/>
      </w:tabs>
      <w:spacing w:after="0" w:line="480" w:lineRule="auto"/>
      <w:ind w:left="720"/>
      <w:contextualSpacing/>
      <w:jc w:val="both"/>
    </w:pPr>
    <w:rPr>
      <w:rFonts w:ascii="Arial" w:eastAsiaTheme="minorHAnsi" w:hAnsi="Arial" w:cstheme="minorBidi"/>
      <w:sz w:val="24"/>
      <w:lang w:val="en-GB"/>
    </w:rPr>
  </w:style>
  <w:style w:type="paragraph" w:customStyle="1" w:styleId="toc-instrument">
    <w:name w:val="toc-instrument"/>
    <w:basedOn w:val="Normal"/>
    <w:rsid w:val="00083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-instrument-enum">
    <w:name w:val="toc-instrument-enum"/>
    <w:basedOn w:val="DefaultParagraphFont"/>
    <w:rsid w:val="0008308B"/>
  </w:style>
  <w:style w:type="paragraph" w:styleId="BalloonText">
    <w:name w:val="Balloon Text"/>
    <w:basedOn w:val="Normal"/>
    <w:link w:val="BalloonTextChar"/>
    <w:uiPriority w:val="99"/>
    <w:semiHidden/>
    <w:unhideWhenUsed/>
    <w:rsid w:val="009A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1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F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F2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4F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F26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A1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4E87-9551-4D07-91E6-D1473C77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PILIDEIS KONSTANTINOS</dc:creator>
  <cp:lastModifiedBy>Zacharoula Stylianou</cp:lastModifiedBy>
  <cp:revision>3</cp:revision>
  <cp:lastPrinted>2022-03-03T11:11:00Z</cp:lastPrinted>
  <dcterms:created xsi:type="dcterms:W3CDTF">2022-03-03T10:43:00Z</dcterms:created>
  <dcterms:modified xsi:type="dcterms:W3CDTF">2022-03-03T11:11:00Z</dcterms:modified>
</cp:coreProperties>
</file>