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74A5" w14:textId="77777777" w:rsidR="00CE477A" w:rsidRDefault="00CE477A" w:rsidP="00CE477A">
      <w:pPr>
        <w:spacing w:after="0" w:line="360" w:lineRule="auto"/>
        <w:jc w:val="center"/>
        <w:rPr>
          <w:rFonts w:ascii="Arial" w:eastAsia="Times New Roman" w:hAnsi="Arial" w:cs="Arial"/>
          <w:b/>
          <w:sz w:val="24"/>
          <w:szCs w:val="24"/>
          <w:lang w:val="el-GR" w:eastAsia="el-GR"/>
        </w:rPr>
      </w:pPr>
      <w:r w:rsidRPr="00CE477A">
        <w:rPr>
          <w:rFonts w:ascii="Arial" w:eastAsia="Times New Roman" w:hAnsi="Arial" w:cs="Arial"/>
          <w:b/>
          <w:sz w:val="24"/>
          <w:szCs w:val="24"/>
          <w:lang w:val="el-GR" w:eastAsia="el-GR"/>
        </w:rPr>
        <w:t xml:space="preserve">ΟΙ ΠΕΡΙ ΤΗΣ ΡΥΘΜΙΣΕΩΣ ΜΑΡΙΝΩΝ ΝΟΜΟΙ ΤΟΥ 1977 ΕΩΣ </w:t>
      </w:r>
      <w:r w:rsidR="001A6B48">
        <w:rPr>
          <w:rFonts w:ascii="Arial" w:eastAsia="Times New Roman" w:hAnsi="Arial" w:cs="Arial"/>
          <w:b/>
          <w:sz w:val="24"/>
          <w:szCs w:val="24"/>
          <w:lang w:val="el-GR" w:eastAsia="el-GR"/>
        </w:rPr>
        <w:t>2002</w:t>
      </w:r>
    </w:p>
    <w:p w14:paraId="13D2A534" w14:textId="77777777" w:rsidR="00CE477A" w:rsidRDefault="00CE477A" w:rsidP="00CE477A">
      <w:pPr>
        <w:spacing w:after="0" w:line="360" w:lineRule="auto"/>
        <w:jc w:val="center"/>
        <w:rPr>
          <w:rFonts w:ascii="Arial" w:eastAsia="Times New Roman" w:hAnsi="Arial" w:cs="Arial"/>
          <w:b/>
          <w:sz w:val="24"/>
          <w:szCs w:val="24"/>
          <w:lang w:val="el-GR" w:eastAsia="el-GR"/>
        </w:rPr>
      </w:pPr>
      <w:r>
        <w:rPr>
          <w:rFonts w:ascii="Arial" w:eastAsia="Times New Roman" w:hAnsi="Arial" w:cs="Arial"/>
          <w:b/>
          <w:sz w:val="24"/>
          <w:szCs w:val="24"/>
          <w:lang w:val="el-GR" w:eastAsia="el-GR"/>
        </w:rPr>
        <w:t>Κανονισμοί δυνάμει του άρθρου 5</w:t>
      </w:r>
    </w:p>
    <w:p w14:paraId="13186567" w14:textId="77777777" w:rsidR="008A7AE7" w:rsidRPr="009C508A" w:rsidRDefault="008A7AE7" w:rsidP="00CE477A">
      <w:pPr>
        <w:spacing w:after="0" w:line="360" w:lineRule="auto"/>
        <w:jc w:val="center"/>
        <w:rPr>
          <w:rFonts w:ascii="Arial" w:eastAsia="Times New Roman" w:hAnsi="Arial" w:cs="Arial"/>
          <w:b/>
          <w:sz w:val="24"/>
          <w:szCs w:val="24"/>
          <w:lang w:eastAsia="el-GR"/>
        </w:rPr>
      </w:pPr>
    </w:p>
    <w:tbl>
      <w:tblPr>
        <w:tblW w:w="0" w:type="auto"/>
        <w:tblLook w:val="01E0" w:firstRow="1" w:lastRow="1" w:firstColumn="1" w:lastColumn="1" w:noHBand="0" w:noVBand="0"/>
      </w:tblPr>
      <w:tblGrid>
        <w:gridCol w:w="1912"/>
        <w:gridCol w:w="6394"/>
      </w:tblGrid>
      <w:tr w:rsidR="00FE7915" w:rsidRPr="00FE7915" w14:paraId="487D2D78" w14:textId="77777777" w:rsidTr="00756A2A">
        <w:tc>
          <w:tcPr>
            <w:tcW w:w="1912" w:type="dxa"/>
            <w:shd w:val="clear" w:color="auto" w:fill="auto"/>
          </w:tcPr>
          <w:p w14:paraId="29F6EC06" w14:textId="77777777" w:rsidR="00FE7915" w:rsidRDefault="00FE7915" w:rsidP="00045E9B">
            <w:pPr>
              <w:spacing w:after="0" w:line="360" w:lineRule="auto"/>
              <w:jc w:val="both"/>
              <w:rPr>
                <w:rFonts w:ascii="Arial" w:eastAsia="Times New Roman" w:hAnsi="Arial" w:cs="Arial"/>
                <w:lang w:val="el-GR" w:eastAsia="el-GR"/>
              </w:rPr>
            </w:pPr>
          </w:p>
        </w:tc>
        <w:tc>
          <w:tcPr>
            <w:tcW w:w="6394" w:type="dxa"/>
            <w:shd w:val="clear" w:color="auto" w:fill="auto"/>
          </w:tcPr>
          <w:p w14:paraId="00C96039" w14:textId="77777777" w:rsidR="00FE7915" w:rsidRDefault="00FE7915" w:rsidP="00045E9B">
            <w:pPr>
              <w:spacing w:after="0" w:line="360" w:lineRule="auto"/>
              <w:ind w:left="464"/>
              <w:jc w:val="both"/>
              <w:rPr>
                <w:rFonts w:ascii="Arial" w:eastAsia="Times New Roman" w:hAnsi="Arial" w:cs="Arial"/>
                <w:sz w:val="24"/>
                <w:szCs w:val="24"/>
                <w:lang w:val="el-GR" w:eastAsia="el-GR"/>
              </w:rPr>
            </w:pPr>
          </w:p>
        </w:tc>
      </w:tr>
      <w:tr w:rsidR="00FE7915" w:rsidRPr="009F169D" w14:paraId="459B159D" w14:textId="77777777" w:rsidTr="00756A2A">
        <w:tc>
          <w:tcPr>
            <w:tcW w:w="1912" w:type="dxa"/>
            <w:shd w:val="clear" w:color="auto" w:fill="auto"/>
          </w:tcPr>
          <w:p w14:paraId="0546285E" w14:textId="77777777" w:rsidR="00FE7915" w:rsidRPr="00FE7915" w:rsidRDefault="00FE7915" w:rsidP="00FE7915">
            <w:pPr>
              <w:spacing w:after="0" w:line="360" w:lineRule="auto"/>
              <w:jc w:val="both"/>
              <w:rPr>
                <w:rFonts w:ascii="Arial" w:eastAsia="Times New Roman" w:hAnsi="Arial" w:cs="Arial"/>
                <w:sz w:val="20"/>
                <w:szCs w:val="20"/>
                <w:lang w:val="el-GR" w:eastAsia="el-GR"/>
              </w:rPr>
            </w:pPr>
            <w:r w:rsidRPr="00FE7915">
              <w:rPr>
                <w:rFonts w:ascii="Arial" w:eastAsia="Times New Roman" w:hAnsi="Arial" w:cs="Arial"/>
                <w:sz w:val="20"/>
                <w:szCs w:val="20"/>
                <w:lang w:val="el-GR" w:eastAsia="el-GR"/>
              </w:rPr>
              <w:t>4 του 1977</w:t>
            </w:r>
          </w:p>
          <w:p w14:paraId="6F875FEF" w14:textId="77777777" w:rsidR="00FE7915" w:rsidRPr="00FE7915" w:rsidRDefault="00FE7915" w:rsidP="00FE7915">
            <w:pPr>
              <w:spacing w:after="0" w:line="360" w:lineRule="auto"/>
              <w:jc w:val="both"/>
              <w:rPr>
                <w:rFonts w:ascii="Arial" w:eastAsia="Times New Roman" w:hAnsi="Arial" w:cs="Arial"/>
                <w:sz w:val="20"/>
                <w:szCs w:val="20"/>
                <w:lang w:val="el-GR" w:eastAsia="el-GR"/>
              </w:rPr>
            </w:pPr>
            <w:r w:rsidRPr="00FE7915">
              <w:rPr>
                <w:rFonts w:ascii="Arial" w:eastAsia="Times New Roman" w:hAnsi="Arial" w:cs="Arial"/>
                <w:sz w:val="20"/>
                <w:szCs w:val="20"/>
                <w:lang w:val="el-GR" w:eastAsia="el-GR"/>
              </w:rPr>
              <w:t>67 του 1979</w:t>
            </w:r>
          </w:p>
          <w:p w14:paraId="37784019" w14:textId="77777777" w:rsidR="00FE7915" w:rsidRPr="00FE7915" w:rsidRDefault="00FE7915" w:rsidP="00FE7915">
            <w:pPr>
              <w:spacing w:after="0" w:line="360" w:lineRule="auto"/>
              <w:jc w:val="both"/>
              <w:rPr>
                <w:rFonts w:ascii="Arial" w:eastAsia="Times New Roman" w:hAnsi="Arial" w:cs="Arial"/>
                <w:sz w:val="20"/>
                <w:szCs w:val="20"/>
                <w:lang w:val="el-GR" w:eastAsia="el-GR"/>
              </w:rPr>
            </w:pPr>
            <w:r w:rsidRPr="00FE7915">
              <w:rPr>
                <w:rFonts w:ascii="Arial" w:eastAsia="Times New Roman" w:hAnsi="Arial" w:cs="Arial"/>
                <w:sz w:val="20"/>
                <w:szCs w:val="20"/>
                <w:lang w:val="el-GR" w:eastAsia="el-GR"/>
              </w:rPr>
              <w:t>9(Ι)του 1999</w:t>
            </w:r>
          </w:p>
          <w:p w14:paraId="1B3FC4B1" w14:textId="77777777" w:rsidR="00FE7915" w:rsidRPr="00FE7915" w:rsidRDefault="00FE7915" w:rsidP="00FE7915">
            <w:pPr>
              <w:spacing w:after="0" w:line="360" w:lineRule="auto"/>
              <w:jc w:val="both"/>
              <w:rPr>
                <w:rFonts w:ascii="Arial" w:eastAsia="Times New Roman" w:hAnsi="Arial" w:cs="Arial"/>
                <w:strike/>
                <w:sz w:val="20"/>
                <w:szCs w:val="20"/>
                <w:lang w:val="el-GR" w:eastAsia="el-GR"/>
              </w:rPr>
            </w:pPr>
            <w:r w:rsidRPr="00FE7915">
              <w:rPr>
                <w:rFonts w:ascii="Arial" w:eastAsia="Times New Roman" w:hAnsi="Arial" w:cs="Arial"/>
                <w:sz w:val="20"/>
                <w:szCs w:val="20"/>
                <w:lang w:val="el-GR" w:eastAsia="el-GR"/>
              </w:rPr>
              <w:t>155(Ι)του 2002</w:t>
            </w:r>
            <w:r w:rsidRPr="00FE7915">
              <w:rPr>
                <w:rFonts w:ascii="Arial" w:eastAsia="Times New Roman" w:hAnsi="Arial" w:cs="Arial"/>
                <w:strike/>
                <w:sz w:val="20"/>
                <w:szCs w:val="20"/>
                <w:lang w:val="el-GR" w:eastAsia="el-GR"/>
              </w:rPr>
              <w:t xml:space="preserve"> </w:t>
            </w:r>
          </w:p>
          <w:p w14:paraId="78698A52" w14:textId="77777777" w:rsidR="00FE7915" w:rsidRPr="00FE7915" w:rsidRDefault="00FE7915" w:rsidP="00045E9B">
            <w:pPr>
              <w:spacing w:after="0" w:line="360" w:lineRule="auto"/>
              <w:jc w:val="both"/>
              <w:rPr>
                <w:rFonts w:ascii="Arial" w:eastAsia="Times New Roman" w:hAnsi="Arial" w:cs="Arial"/>
                <w:sz w:val="20"/>
                <w:szCs w:val="20"/>
                <w:lang w:val="el-GR" w:eastAsia="el-GR"/>
              </w:rPr>
            </w:pPr>
          </w:p>
        </w:tc>
        <w:tc>
          <w:tcPr>
            <w:tcW w:w="6394" w:type="dxa"/>
            <w:shd w:val="clear" w:color="auto" w:fill="auto"/>
          </w:tcPr>
          <w:p w14:paraId="03EC6BB2" w14:textId="77777777" w:rsidR="00FE7915" w:rsidRDefault="00FE7915" w:rsidP="00FE7915">
            <w:pPr>
              <w:spacing w:after="0" w:line="360" w:lineRule="auto"/>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 xml:space="preserve">Το Υπουργικό Συμβούλιο, ασκώντας τις εξουσίες που του παρέχονται από το άρθρο 5 των περί Ρυθμίσεως Μαρίνων Νόμων του 1977 έως 2002 εκδίδει τους ακόλουθους Κανονισμούς. </w:t>
            </w:r>
          </w:p>
          <w:p w14:paraId="1FEC418A" w14:textId="77777777" w:rsidR="00FE7915" w:rsidRDefault="00FE7915" w:rsidP="00045E9B">
            <w:pPr>
              <w:spacing w:after="0" w:line="360" w:lineRule="auto"/>
              <w:ind w:left="464"/>
              <w:jc w:val="both"/>
              <w:rPr>
                <w:rFonts w:ascii="Arial" w:eastAsia="Times New Roman" w:hAnsi="Arial" w:cs="Arial"/>
                <w:sz w:val="24"/>
                <w:szCs w:val="24"/>
                <w:lang w:val="el-GR" w:eastAsia="el-GR"/>
              </w:rPr>
            </w:pPr>
          </w:p>
        </w:tc>
      </w:tr>
      <w:tr w:rsidR="00FE7915" w:rsidRPr="009F169D" w14:paraId="683642E5" w14:textId="77777777" w:rsidTr="00756A2A">
        <w:tc>
          <w:tcPr>
            <w:tcW w:w="1912" w:type="dxa"/>
            <w:shd w:val="clear" w:color="auto" w:fill="auto"/>
          </w:tcPr>
          <w:p w14:paraId="6998F0A3" w14:textId="77777777" w:rsidR="00FE7915" w:rsidRPr="00FE7915" w:rsidRDefault="00FE7915" w:rsidP="00045E9B">
            <w:pPr>
              <w:spacing w:after="0" w:line="360" w:lineRule="auto"/>
              <w:jc w:val="both"/>
              <w:rPr>
                <w:rFonts w:ascii="Arial" w:eastAsia="Times New Roman" w:hAnsi="Arial" w:cs="Arial"/>
                <w:sz w:val="20"/>
                <w:szCs w:val="20"/>
                <w:lang w:val="el-GR" w:eastAsia="el-GR"/>
              </w:rPr>
            </w:pPr>
          </w:p>
        </w:tc>
        <w:tc>
          <w:tcPr>
            <w:tcW w:w="6394" w:type="dxa"/>
            <w:shd w:val="clear" w:color="auto" w:fill="auto"/>
          </w:tcPr>
          <w:p w14:paraId="2B549DCB" w14:textId="77777777" w:rsidR="00FE7915" w:rsidRDefault="00FE7915" w:rsidP="00045E9B">
            <w:pPr>
              <w:spacing w:after="0" w:line="360" w:lineRule="auto"/>
              <w:ind w:left="464"/>
              <w:jc w:val="both"/>
              <w:rPr>
                <w:rFonts w:ascii="Arial" w:eastAsia="Times New Roman" w:hAnsi="Arial" w:cs="Arial"/>
                <w:sz w:val="24"/>
                <w:szCs w:val="24"/>
                <w:lang w:val="el-GR" w:eastAsia="el-GR"/>
              </w:rPr>
            </w:pPr>
          </w:p>
        </w:tc>
      </w:tr>
      <w:tr w:rsidR="00FE7915" w:rsidRPr="009F169D" w14:paraId="54437CCC" w14:textId="77777777" w:rsidTr="00756A2A">
        <w:tc>
          <w:tcPr>
            <w:tcW w:w="1912" w:type="dxa"/>
            <w:shd w:val="clear" w:color="auto" w:fill="auto"/>
          </w:tcPr>
          <w:p w14:paraId="04B13658" w14:textId="77777777" w:rsidR="00FE7915" w:rsidRPr="00FE7915" w:rsidRDefault="00FE7915" w:rsidP="00FE7915">
            <w:pPr>
              <w:spacing w:after="0" w:line="360" w:lineRule="auto"/>
              <w:jc w:val="both"/>
              <w:rPr>
                <w:rFonts w:ascii="Arial" w:eastAsia="Times New Roman" w:hAnsi="Arial" w:cs="Arial"/>
                <w:sz w:val="20"/>
                <w:szCs w:val="20"/>
                <w:lang w:val="el-GR" w:eastAsia="el-GR"/>
              </w:rPr>
            </w:pPr>
            <w:r w:rsidRPr="00FE7915">
              <w:rPr>
                <w:rFonts w:ascii="Arial" w:eastAsia="Times New Roman" w:hAnsi="Arial" w:cs="Arial"/>
                <w:sz w:val="20"/>
                <w:szCs w:val="20"/>
                <w:lang w:val="el-GR" w:eastAsia="el-GR"/>
              </w:rPr>
              <w:t>Συνοπτικός</w:t>
            </w:r>
          </w:p>
          <w:p w14:paraId="1D7E77B5" w14:textId="77777777" w:rsidR="00FE7915" w:rsidRPr="00FE7915" w:rsidRDefault="00756A2A" w:rsidP="00FE7915">
            <w:pPr>
              <w:spacing w:after="0" w:line="360" w:lineRule="auto"/>
              <w:jc w:val="both"/>
              <w:rPr>
                <w:rFonts w:ascii="Arial" w:eastAsia="Times New Roman" w:hAnsi="Arial" w:cs="Arial"/>
                <w:sz w:val="20"/>
                <w:szCs w:val="20"/>
                <w:lang w:val="el-GR" w:eastAsia="el-GR"/>
              </w:rPr>
            </w:pPr>
            <w:r>
              <w:rPr>
                <w:rFonts w:ascii="Arial" w:eastAsia="Times New Roman" w:hAnsi="Arial" w:cs="Arial"/>
                <w:sz w:val="20"/>
                <w:szCs w:val="20"/>
                <w:lang w:val="el-GR" w:eastAsia="el-GR"/>
              </w:rPr>
              <w:t>τ</w:t>
            </w:r>
            <w:r w:rsidR="00FE7915">
              <w:rPr>
                <w:rFonts w:ascii="Arial" w:eastAsia="Times New Roman" w:hAnsi="Arial" w:cs="Arial"/>
                <w:sz w:val="20"/>
                <w:szCs w:val="20"/>
                <w:lang w:val="el-GR" w:eastAsia="el-GR"/>
              </w:rPr>
              <w:t>ίτλος.</w:t>
            </w:r>
          </w:p>
          <w:p w14:paraId="17C314E7" w14:textId="77777777" w:rsidR="00FE7915" w:rsidRPr="00FE7915" w:rsidRDefault="00FE7915" w:rsidP="00045E9B">
            <w:pPr>
              <w:spacing w:after="0" w:line="360" w:lineRule="auto"/>
              <w:jc w:val="both"/>
              <w:rPr>
                <w:rFonts w:ascii="Arial" w:eastAsia="Times New Roman" w:hAnsi="Arial" w:cs="Arial"/>
                <w:sz w:val="20"/>
                <w:szCs w:val="20"/>
                <w:lang w:val="el-GR" w:eastAsia="el-GR"/>
              </w:rPr>
            </w:pPr>
          </w:p>
        </w:tc>
        <w:tc>
          <w:tcPr>
            <w:tcW w:w="6394" w:type="dxa"/>
            <w:shd w:val="clear" w:color="auto" w:fill="auto"/>
          </w:tcPr>
          <w:p w14:paraId="32059399" w14:textId="3EC21149" w:rsidR="00FE7915" w:rsidRPr="00D065CD" w:rsidRDefault="00D065CD" w:rsidP="00D065CD">
            <w:pPr>
              <w:spacing w:after="0" w:line="360" w:lineRule="auto"/>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 xml:space="preserve">1. </w:t>
            </w:r>
            <w:r w:rsidR="00FE7915" w:rsidRPr="00D065CD">
              <w:rPr>
                <w:rFonts w:ascii="Arial" w:eastAsia="Times New Roman" w:hAnsi="Arial" w:cs="Arial"/>
                <w:sz w:val="24"/>
                <w:szCs w:val="24"/>
                <w:lang w:val="el-GR" w:eastAsia="el-GR"/>
              </w:rPr>
              <w:t xml:space="preserve">Οι παρόντες Κανονισμοί θα αναφέρονται ως οι περί Ρυθμίσεως της Μαρίνας Λάρνακας (Καταβλητέα Δικαιώματα) </w:t>
            </w:r>
            <w:r w:rsidR="000E5EC9">
              <w:rPr>
                <w:rFonts w:ascii="Arial" w:eastAsia="Times New Roman" w:hAnsi="Arial" w:cs="Arial"/>
                <w:sz w:val="24"/>
                <w:szCs w:val="24"/>
                <w:lang w:val="el-GR" w:eastAsia="el-GR"/>
              </w:rPr>
              <w:t>(</w:t>
            </w:r>
            <w:r w:rsidR="00FE7915" w:rsidRPr="00D065CD">
              <w:rPr>
                <w:rFonts w:ascii="Arial" w:eastAsia="Times New Roman" w:hAnsi="Arial" w:cs="Arial"/>
                <w:sz w:val="24"/>
                <w:szCs w:val="24"/>
                <w:lang w:val="el-GR" w:eastAsia="el-GR"/>
              </w:rPr>
              <w:t>Καταργητικοί</w:t>
            </w:r>
            <w:r w:rsidR="000E5EC9">
              <w:rPr>
                <w:rFonts w:ascii="Arial" w:eastAsia="Times New Roman" w:hAnsi="Arial" w:cs="Arial"/>
                <w:sz w:val="24"/>
                <w:szCs w:val="24"/>
                <w:lang w:val="el-GR" w:eastAsia="el-GR"/>
              </w:rPr>
              <w:t>)</w:t>
            </w:r>
            <w:r w:rsidR="00FE7915" w:rsidRPr="00D065CD">
              <w:rPr>
                <w:rFonts w:ascii="Arial" w:eastAsia="Times New Roman" w:hAnsi="Arial" w:cs="Arial"/>
                <w:sz w:val="24"/>
                <w:szCs w:val="24"/>
                <w:lang w:val="el-GR" w:eastAsia="el-GR"/>
              </w:rPr>
              <w:t xml:space="preserve"> Κανονισμοί του 202</w:t>
            </w:r>
            <w:r w:rsidR="009F169D">
              <w:rPr>
                <w:rFonts w:ascii="Arial" w:eastAsia="Times New Roman" w:hAnsi="Arial" w:cs="Arial"/>
                <w:sz w:val="24"/>
                <w:szCs w:val="24"/>
                <w:lang w:val="el-GR" w:eastAsia="el-GR"/>
              </w:rPr>
              <w:t>2</w:t>
            </w:r>
            <w:r w:rsidR="00FE7915" w:rsidRPr="00D065CD">
              <w:rPr>
                <w:rFonts w:ascii="Arial" w:eastAsia="Times New Roman" w:hAnsi="Arial" w:cs="Arial"/>
                <w:sz w:val="24"/>
                <w:szCs w:val="24"/>
                <w:lang w:val="el-GR" w:eastAsia="el-GR"/>
              </w:rPr>
              <w:t>.</w:t>
            </w:r>
          </w:p>
          <w:p w14:paraId="1AFC1878" w14:textId="77777777" w:rsidR="00FE7915" w:rsidRDefault="00FE7915" w:rsidP="00756A2A">
            <w:pPr>
              <w:spacing w:after="0" w:line="360" w:lineRule="auto"/>
              <w:ind w:left="390"/>
              <w:jc w:val="both"/>
              <w:rPr>
                <w:rFonts w:ascii="Arial" w:eastAsia="Times New Roman" w:hAnsi="Arial" w:cs="Arial"/>
                <w:sz w:val="24"/>
                <w:szCs w:val="24"/>
                <w:lang w:val="el-GR" w:eastAsia="el-GR"/>
              </w:rPr>
            </w:pPr>
          </w:p>
        </w:tc>
      </w:tr>
      <w:tr w:rsidR="00FE7915" w:rsidRPr="009F169D" w14:paraId="2C4D29C1" w14:textId="77777777" w:rsidTr="00756A2A">
        <w:tc>
          <w:tcPr>
            <w:tcW w:w="1912" w:type="dxa"/>
            <w:shd w:val="clear" w:color="auto" w:fill="auto"/>
          </w:tcPr>
          <w:p w14:paraId="3C1789B5" w14:textId="77777777" w:rsidR="00FE7915" w:rsidRPr="00FE7915" w:rsidRDefault="00FE7915" w:rsidP="00FE7915">
            <w:pPr>
              <w:spacing w:after="0" w:line="360" w:lineRule="auto"/>
              <w:jc w:val="both"/>
              <w:rPr>
                <w:rFonts w:ascii="Arial" w:eastAsia="Times New Roman" w:hAnsi="Arial" w:cs="Arial"/>
                <w:sz w:val="20"/>
                <w:szCs w:val="20"/>
                <w:lang w:val="el-GR" w:eastAsia="el-GR"/>
              </w:rPr>
            </w:pPr>
          </w:p>
        </w:tc>
        <w:tc>
          <w:tcPr>
            <w:tcW w:w="6394" w:type="dxa"/>
            <w:shd w:val="clear" w:color="auto" w:fill="auto"/>
          </w:tcPr>
          <w:p w14:paraId="6E0AB84C" w14:textId="77777777" w:rsidR="00FE7915" w:rsidRPr="004F6626" w:rsidRDefault="00FE7915" w:rsidP="00756A2A">
            <w:pPr>
              <w:pStyle w:val="ListParagraph"/>
              <w:spacing w:after="0" w:line="360" w:lineRule="auto"/>
              <w:ind w:left="390"/>
              <w:jc w:val="both"/>
              <w:rPr>
                <w:rFonts w:ascii="Arial" w:eastAsia="Times New Roman" w:hAnsi="Arial" w:cs="Arial"/>
                <w:sz w:val="24"/>
                <w:szCs w:val="24"/>
                <w:lang w:val="el-GR" w:eastAsia="el-GR"/>
              </w:rPr>
            </w:pPr>
          </w:p>
        </w:tc>
      </w:tr>
      <w:tr w:rsidR="00FE7915" w:rsidRPr="009F169D" w14:paraId="1715A68D" w14:textId="77777777" w:rsidTr="00756A2A">
        <w:tc>
          <w:tcPr>
            <w:tcW w:w="1912" w:type="dxa"/>
            <w:shd w:val="clear" w:color="auto" w:fill="auto"/>
          </w:tcPr>
          <w:p w14:paraId="2747AB8E" w14:textId="77777777" w:rsidR="00FE7915" w:rsidRPr="00FE7915" w:rsidRDefault="00FE7915" w:rsidP="00FE7915">
            <w:pPr>
              <w:spacing w:after="0" w:line="360" w:lineRule="auto"/>
              <w:rPr>
                <w:rFonts w:ascii="Arial" w:eastAsia="Times New Roman" w:hAnsi="Arial" w:cs="Arial"/>
                <w:sz w:val="20"/>
                <w:szCs w:val="20"/>
                <w:lang w:val="el-GR" w:eastAsia="el-GR"/>
              </w:rPr>
            </w:pPr>
            <w:r w:rsidRPr="00FE7915">
              <w:rPr>
                <w:rFonts w:ascii="Arial" w:eastAsia="Times New Roman" w:hAnsi="Arial" w:cs="Arial"/>
                <w:sz w:val="20"/>
                <w:szCs w:val="20"/>
                <w:lang w:val="el-GR" w:eastAsia="el-GR"/>
              </w:rPr>
              <w:t xml:space="preserve">Κατάργηση </w:t>
            </w:r>
          </w:p>
          <w:p w14:paraId="038D2348" w14:textId="77777777" w:rsidR="00FE7915" w:rsidRPr="00FE7915" w:rsidRDefault="00FE7915" w:rsidP="00FE7915">
            <w:pPr>
              <w:spacing w:after="0" w:line="360" w:lineRule="auto"/>
              <w:rPr>
                <w:rFonts w:ascii="Arial" w:eastAsia="Times New Roman" w:hAnsi="Arial" w:cs="Arial"/>
                <w:sz w:val="20"/>
                <w:szCs w:val="20"/>
                <w:lang w:val="el-GR" w:eastAsia="el-GR"/>
              </w:rPr>
            </w:pPr>
            <w:r w:rsidRPr="00FE7915">
              <w:rPr>
                <w:rFonts w:ascii="Arial" w:eastAsia="Times New Roman" w:hAnsi="Arial" w:cs="Arial"/>
                <w:sz w:val="20"/>
                <w:szCs w:val="20"/>
                <w:lang w:val="el-GR" w:eastAsia="el-GR"/>
              </w:rPr>
              <w:t xml:space="preserve">Κανονισμών </w:t>
            </w:r>
          </w:p>
          <w:p w14:paraId="588F3993" w14:textId="77777777" w:rsidR="00FE7915" w:rsidRPr="00FE7915" w:rsidRDefault="00FE7915" w:rsidP="00FE7915">
            <w:pPr>
              <w:spacing w:after="0" w:line="360" w:lineRule="auto"/>
              <w:rPr>
                <w:rFonts w:ascii="Arial" w:eastAsia="Times New Roman" w:hAnsi="Arial" w:cs="Arial"/>
                <w:sz w:val="20"/>
                <w:szCs w:val="20"/>
                <w:lang w:val="el-GR" w:eastAsia="el-GR"/>
              </w:rPr>
            </w:pPr>
            <w:r w:rsidRPr="00FE7915">
              <w:rPr>
                <w:rFonts w:ascii="Arial" w:eastAsia="Times New Roman" w:hAnsi="Arial" w:cs="Arial"/>
                <w:sz w:val="20"/>
                <w:szCs w:val="20"/>
                <w:lang w:val="el-GR" w:eastAsia="el-GR"/>
              </w:rPr>
              <w:t>Επίσημη</w:t>
            </w:r>
          </w:p>
          <w:p w14:paraId="09A0B3FE" w14:textId="77777777" w:rsidR="00FE7915" w:rsidRPr="00FE7915" w:rsidRDefault="00FE7915" w:rsidP="00FE7915">
            <w:pPr>
              <w:spacing w:after="0" w:line="360" w:lineRule="auto"/>
              <w:rPr>
                <w:rFonts w:ascii="Arial" w:eastAsia="Times New Roman" w:hAnsi="Arial" w:cs="Arial"/>
                <w:sz w:val="20"/>
                <w:szCs w:val="20"/>
                <w:lang w:val="el-GR" w:eastAsia="el-GR"/>
              </w:rPr>
            </w:pPr>
            <w:r w:rsidRPr="00FE7915">
              <w:rPr>
                <w:rFonts w:ascii="Arial" w:eastAsia="Times New Roman" w:hAnsi="Arial" w:cs="Arial"/>
                <w:sz w:val="20"/>
                <w:szCs w:val="20"/>
                <w:lang w:val="el-GR" w:eastAsia="el-GR"/>
              </w:rPr>
              <w:t xml:space="preserve">Εφημερίδα, </w:t>
            </w:r>
          </w:p>
          <w:p w14:paraId="7525C6DA" w14:textId="77777777" w:rsidR="00FE7915" w:rsidRPr="00FE7915" w:rsidRDefault="00756A2A" w:rsidP="00756A2A">
            <w:pPr>
              <w:spacing w:after="0" w:line="360" w:lineRule="auto"/>
              <w:rPr>
                <w:rFonts w:ascii="Arial" w:eastAsia="Times New Roman" w:hAnsi="Arial" w:cs="Arial"/>
                <w:sz w:val="20"/>
                <w:szCs w:val="20"/>
                <w:lang w:val="el-GR" w:eastAsia="el-GR"/>
              </w:rPr>
            </w:pPr>
            <w:r>
              <w:rPr>
                <w:rFonts w:ascii="Arial" w:eastAsia="Times New Roman" w:hAnsi="Arial" w:cs="Arial"/>
                <w:sz w:val="20"/>
                <w:szCs w:val="20"/>
                <w:lang w:val="el-GR" w:eastAsia="el-GR"/>
              </w:rPr>
              <w:t>20.03.2009.</w:t>
            </w:r>
          </w:p>
        </w:tc>
        <w:tc>
          <w:tcPr>
            <w:tcW w:w="6394" w:type="dxa"/>
            <w:shd w:val="clear" w:color="auto" w:fill="auto"/>
          </w:tcPr>
          <w:p w14:paraId="454A8026" w14:textId="77777777" w:rsidR="00FE7915" w:rsidRPr="00D065CD" w:rsidRDefault="00D065CD" w:rsidP="00D065CD">
            <w:pPr>
              <w:spacing w:after="0" w:line="360" w:lineRule="auto"/>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 xml:space="preserve">2. </w:t>
            </w:r>
            <w:r w:rsidR="00FE7915" w:rsidRPr="00D065CD">
              <w:rPr>
                <w:rFonts w:ascii="Arial" w:eastAsia="Times New Roman" w:hAnsi="Arial" w:cs="Arial"/>
                <w:sz w:val="24"/>
                <w:szCs w:val="24"/>
                <w:lang w:val="el-GR" w:eastAsia="el-GR"/>
              </w:rPr>
              <w:t xml:space="preserve">Οι περί Ρυθμίσεως της Μαρίνας Λάρνακας (Καταβλητέα Δικαιώματα) Κανονισμοί του 2009, καταργούνται. </w:t>
            </w:r>
          </w:p>
          <w:p w14:paraId="5622FB75" w14:textId="77777777" w:rsidR="00FE7915" w:rsidRPr="004F6626" w:rsidRDefault="00FE7915" w:rsidP="00756A2A">
            <w:pPr>
              <w:pStyle w:val="ListParagraph"/>
              <w:spacing w:after="0" w:line="360" w:lineRule="auto"/>
              <w:ind w:left="390"/>
              <w:jc w:val="both"/>
              <w:rPr>
                <w:rFonts w:ascii="Arial" w:eastAsia="Times New Roman" w:hAnsi="Arial" w:cs="Arial"/>
                <w:sz w:val="24"/>
                <w:szCs w:val="24"/>
                <w:lang w:val="el-GR" w:eastAsia="el-GR"/>
              </w:rPr>
            </w:pPr>
          </w:p>
        </w:tc>
      </w:tr>
      <w:tr w:rsidR="00FE7915" w:rsidRPr="009F169D" w14:paraId="340A7BB4" w14:textId="77777777" w:rsidTr="00756A2A">
        <w:tc>
          <w:tcPr>
            <w:tcW w:w="1912" w:type="dxa"/>
            <w:shd w:val="clear" w:color="auto" w:fill="auto"/>
          </w:tcPr>
          <w:p w14:paraId="34A32A0B" w14:textId="77777777" w:rsidR="00FE7915" w:rsidRPr="00045E9B" w:rsidRDefault="00FE7915" w:rsidP="00FE7915">
            <w:pPr>
              <w:spacing w:after="0" w:line="360" w:lineRule="auto"/>
              <w:jc w:val="both"/>
              <w:rPr>
                <w:rFonts w:ascii="Arial" w:eastAsia="Times New Roman" w:hAnsi="Arial" w:cs="Arial"/>
                <w:lang w:val="el-GR" w:eastAsia="el-GR"/>
              </w:rPr>
            </w:pPr>
          </w:p>
        </w:tc>
        <w:tc>
          <w:tcPr>
            <w:tcW w:w="6394" w:type="dxa"/>
            <w:shd w:val="clear" w:color="auto" w:fill="auto"/>
          </w:tcPr>
          <w:p w14:paraId="7290B206" w14:textId="77777777" w:rsidR="00FE7915" w:rsidRPr="00B50C16" w:rsidRDefault="00FE7915" w:rsidP="00FE7915">
            <w:pPr>
              <w:pStyle w:val="ListParagraph"/>
              <w:spacing w:after="0" w:line="360" w:lineRule="auto"/>
              <w:jc w:val="both"/>
              <w:rPr>
                <w:rFonts w:ascii="Arial" w:eastAsia="Times New Roman" w:hAnsi="Arial" w:cs="Arial"/>
                <w:sz w:val="24"/>
                <w:szCs w:val="24"/>
                <w:highlight w:val="yellow"/>
                <w:lang w:val="el-GR" w:eastAsia="el-GR"/>
              </w:rPr>
            </w:pPr>
          </w:p>
        </w:tc>
      </w:tr>
      <w:tr w:rsidR="00045E9B" w:rsidRPr="009F169D" w14:paraId="071BDA19" w14:textId="77777777" w:rsidTr="00756A2A">
        <w:tc>
          <w:tcPr>
            <w:tcW w:w="1912" w:type="dxa"/>
            <w:shd w:val="clear" w:color="auto" w:fill="auto"/>
          </w:tcPr>
          <w:p w14:paraId="1138750C" w14:textId="77777777" w:rsidR="00045E9B" w:rsidRPr="00045E9B" w:rsidRDefault="00B50C16" w:rsidP="00045E9B">
            <w:pPr>
              <w:spacing w:after="0" w:line="360" w:lineRule="auto"/>
              <w:jc w:val="both"/>
              <w:rPr>
                <w:rFonts w:ascii="Arial" w:eastAsia="Times New Roman" w:hAnsi="Arial" w:cs="Arial"/>
                <w:lang w:val="el-GR" w:eastAsia="el-GR"/>
              </w:rPr>
            </w:pPr>
            <w:r>
              <w:rPr>
                <w:rFonts w:ascii="Arial" w:eastAsia="Times New Roman" w:hAnsi="Arial" w:cs="Arial"/>
                <w:lang w:val="el-GR" w:eastAsia="el-GR"/>
              </w:rPr>
              <w:t>Εκκρεμείς διαδικασίες.</w:t>
            </w:r>
          </w:p>
          <w:p w14:paraId="3DEEF9DE" w14:textId="77777777" w:rsidR="00045E9B" w:rsidRPr="00045E9B" w:rsidRDefault="00045E9B" w:rsidP="00ED4806">
            <w:pPr>
              <w:spacing w:after="0" w:line="360" w:lineRule="auto"/>
              <w:rPr>
                <w:rFonts w:ascii="Arial" w:eastAsia="Times New Roman" w:hAnsi="Arial" w:cs="Arial"/>
                <w:lang w:val="el-GR" w:eastAsia="el-GR"/>
              </w:rPr>
            </w:pPr>
          </w:p>
        </w:tc>
        <w:tc>
          <w:tcPr>
            <w:tcW w:w="6394" w:type="dxa"/>
            <w:shd w:val="clear" w:color="auto" w:fill="auto"/>
          </w:tcPr>
          <w:p w14:paraId="13F48F72" w14:textId="77777777" w:rsidR="00920796" w:rsidRPr="00756A2A" w:rsidRDefault="00756A2A" w:rsidP="00FE7915">
            <w:pPr>
              <w:spacing w:after="0" w:line="360" w:lineRule="auto"/>
              <w:jc w:val="both"/>
              <w:rPr>
                <w:rFonts w:ascii="Arial" w:eastAsia="Times New Roman" w:hAnsi="Arial" w:cs="Arial"/>
                <w:sz w:val="24"/>
                <w:szCs w:val="24"/>
                <w:lang w:val="el-GR" w:eastAsia="el-GR"/>
              </w:rPr>
            </w:pPr>
            <w:r w:rsidRPr="00756A2A">
              <w:rPr>
                <w:rFonts w:ascii="Arial" w:eastAsia="Times New Roman" w:hAnsi="Arial" w:cs="Arial"/>
                <w:sz w:val="24"/>
                <w:szCs w:val="24"/>
                <w:lang w:val="el-GR" w:eastAsia="el-GR"/>
              </w:rPr>
              <w:t>3</w:t>
            </w:r>
            <w:r w:rsidR="00FE7915" w:rsidRPr="00756A2A">
              <w:rPr>
                <w:rFonts w:ascii="Arial" w:eastAsia="Times New Roman" w:hAnsi="Arial" w:cs="Arial"/>
                <w:sz w:val="24"/>
                <w:szCs w:val="24"/>
                <w:lang w:val="el-GR" w:eastAsia="el-GR"/>
              </w:rPr>
              <w:t>.</w:t>
            </w:r>
            <w:r w:rsidR="00B50C16" w:rsidRPr="00756A2A">
              <w:rPr>
                <w:rFonts w:ascii="Arial" w:eastAsia="Times New Roman" w:hAnsi="Arial" w:cs="Arial"/>
                <w:sz w:val="24"/>
                <w:szCs w:val="24"/>
                <w:lang w:val="el-GR" w:eastAsia="el-GR"/>
              </w:rPr>
              <w:t>Οποιαδήποτε δικαστική διαδικασία εκκρεμεί ή βάση αγωγής</w:t>
            </w:r>
            <w:r w:rsidR="007A46F4">
              <w:rPr>
                <w:rFonts w:ascii="Arial" w:eastAsia="Times New Roman" w:hAnsi="Arial" w:cs="Arial"/>
                <w:sz w:val="24"/>
                <w:szCs w:val="24"/>
                <w:lang w:val="el-GR" w:eastAsia="el-GR"/>
              </w:rPr>
              <w:t>,</w:t>
            </w:r>
            <w:r w:rsidR="00B50C16" w:rsidRPr="00756A2A">
              <w:rPr>
                <w:rFonts w:ascii="Arial" w:eastAsia="Times New Roman" w:hAnsi="Arial" w:cs="Arial"/>
                <w:sz w:val="24"/>
                <w:szCs w:val="24"/>
                <w:lang w:val="el-GR" w:eastAsia="el-GR"/>
              </w:rPr>
              <w:t xml:space="preserve"> η οποία δημιουργήθηκε ή εκκρεμεί πριν την έναρξη ισχύος των παρόντων Κανονισμών και αφορά οφειλόμενα τέλη ελλιμενισμού και άλλα ζητήματα, τα οποία προέκυψαν πριν την έναρξη ισχύος των παρόντων Κανονισμών, συνεχίζονται από το Υφυπουργείο Τουρισμού. </w:t>
            </w:r>
          </w:p>
          <w:p w14:paraId="282FBB11" w14:textId="77777777" w:rsidR="00920796" w:rsidRPr="00B50C16" w:rsidRDefault="00920796" w:rsidP="009C508A">
            <w:pPr>
              <w:spacing w:after="0" w:line="360" w:lineRule="auto"/>
              <w:jc w:val="both"/>
              <w:rPr>
                <w:rFonts w:ascii="Arial" w:eastAsia="Times New Roman" w:hAnsi="Arial" w:cs="Arial"/>
                <w:sz w:val="24"/>
                <w:szCs w:val="24"/>
                <w:highlight w:val="yellow"/>
                <w:lang w:val="el-GR" w:eastAsia="el-GR"/>
              </w:rPr>
            </w:pPr>
          </w:p>
          <w:p w14:paraId="4A284CEC" w14:textId="77777777" w:rsidR="00045E9B" w:rsidRPr="00B50C16" w:rsidRDefault="00045E9B" w:rsidP="00497CCB">
            <w:pPr>
              <w:pStyle w:val="ListParagraph"/>
              <w:spacing w:after="0" w:line="360" w:lineRule="auto"/>
              <w:jc w:val="both"/>
              <w:rPr>
                <w:rFonts w:ascii="Arial" w:eastAsia="Times New Roman" w:hAnsi="Arial" w:cs="Arial"/>
                <w:sz w:val="24"/>
                <w:szCs w:val="24"/>
                <w:highlight w:val="yellow"/>
                <w:lang w:val="el-GR" w:eastAsia="el-GR"/>
              </w:rPr>
            </w:pPr>
          </w:p>
        </w:tc>
      </w:tr>
      <w:tr w:rsidR="009C508A" w:rsidRPr="009F169D" w14:paraId="1C1B771D" w14:textId="77777777" w:rsidTr="00756A2A">
        <w:tc>
          <w:tcPr>
            <w:tcW w:w="1912" w:type="dxa"/>
            <w:shd w:val="clear" w:color="auto" w:fill="auto"/>
          </w:tcPr>
          <w:p w14:paraId="528A94D2" w14:textId="77777777" w:rsidR="009C508A" w:rsidRDefault="009C508A" w:rsidP="00045E9B">
            <w:pPr>
              <w:spacing w:after="0" w:line="360" w:lineRule="auto"/>
              <w:jc w:val="both"/>
              <w:rPr>
                <w:rFonts w:ascii="Arial" w:eastAsia="Times New Roman" w:hAnsi="Arial" w:cs="Arial"/>
                <w:lang w:val="el-GR" w:eastAsia="el-GR"/>
              </w:rPr>
            </w:pPr>
            <w:r>
              <w:rPr>
                <w:rFonts w:ascii="Arial" w:eastAsia="Times New Roman" w:hAnsi="Arial" w:cs="Arial"/>
                <w:lang w:val="el-GR" w:eastAsia="el-GR"/>
              </w:rPr>
              <w:t>Έναρξη ισχύος.</w:t>
            </w:r>
          </w:p>
        </w:tc>
        <w:tc>
          <w:tcPr>
            <w:tcW w:w="6394" w:type="dxa"/>
            <w:shd w:val="clear" w:color="auto" w:fill="auto"/>
          </w:tcPr>
          <w:p w14:paraId="297C2EC8" w14:textId="77777777" w:rsidR="009C508A" w:rsidRPr="00B50C16" w:rsidRDefault="00D065CD" w:rsidP="005C7DF9">
            <w:pPr>
              <w:spacing w:after="0" w:line="360" w:lineRule="auto"/>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4</w:t>
            </w:r>
            <w:r w:rsidR="009C508A">
              <w:rPr>
                <w:rFonts w:ascii="Arial" w:eastAsia="Times New Roman" w:hAnsi="Arial" w:cs="Arial"/>
                <w:sz w:val="24"/>
                <w:szCs w:val="24"/>
                <w:lang w:val="el-GR" w:eastAsia="el-GR"/>
              </w:rPr>
              <w:t xml:space="preserve">. </w:t>
            </w:r>
            <w:r w:rsidR="00B50C16">
              <w:rPr>
                <w:rFonts w:ascii="Arial" w:eastAsia="Times New Roman" w:hAnsi="Arial" w:cs="Arial"/>
                <w:sz w:val="24"/>
                <w:szCs w:val="24"/>
                <w:lang w:val="el-GR" w:eastAsia="el-GR"/>
              </w:rPr>
              <w:t xml:space="preserve">Οι παρόντες Κανονισμοί τίθενται σε ισχύ </w:t>
            </w:r>
            <w:r w:rsidR="005C7DF9">
              <w:rPr>
                <w:rFonts w:ascii="Arial" w:eastAsia="Times New Roman" w:hAnsi="Arial" w:cs="Arial"/>
                <w:sz w:val="24"/>
                <w:szCs w:val="24"/>
                <w:lang w:val="el-GR" w:eastAsia="el-GR"/>
              </w:rPr>
              <w:t>την 1</w:t>
            </w:r>
            <w:r w:rsidR="005C7DF9" w:rsidRPr="005C7DF9">
              <w:rPr>
                <w:rFonts w:ascii="Arial" w:eastAsia="Times New Roman" w:hAnsi="Arial" w:cs="Arial"/>
                <w:sz w:val="24"/>
                <w:szCs w:val="24"/>
                <w:vertAlign w:val="superscript"/>
                <w:lang w:val="el-GR" w:eastAsia="el-GR"/>
              </w:rPr>
              <w:t>η</w:t>
            </w:r>
            <w:r w:rsidR="005C7DF9">
              <w:rPr>
                <w:rFonts w:ascii="Arial" w:eastAsia="Times New Roman" w:hAnsi="Arial" w:cs="Arial"/>
                <w:sz w:val="24"/>
                <w:szCs w:val="24"/>
                <w:lang w:val="el-GR" w:eastAsia="el-GR"/>
              </w:rPr>
              <w:t xml:space="preserve"> Απριλίου </w:t>
            </w:r>
            <w:r w:rsidR="00B50C16">
              <w:rPr>
                <w:rFonts w:ascii="Arial" w:eastAsia="Times New Roman" w:hAnsi="Arial" w:cs="Arial"/>
                <w:sz w:val="24"/>
                <w:szCs w:val="24"/>
                <w:lang w:val="el-GR" w:eastAsia="el-GR"/>
              </w:rPr>
              <w:t>2022.</w:t>
            </w:r>
          </w:p>
        </w:tc>
      </w:tr>
      <w:tr w:rsidR="00045E9B" w:rsidRPr="009F169D" w14:paraId="5CDE6F0A" w14:textId="77777777" w:rsidTr="00756A2A">
        <w:tc>
          <w:tcPr>
            <w:tcW w:w="1912" w:type="dxa"/>
            <w:shd w:val="clear" w:color="auto" w:fill="auto"/>
          </w:tcPr>
          <w:p w14:paraId="64B55FCF" w14:textId="77777777" w:rsidR="00045E9B" w:rsidRPr="00045E9B" w:rsidRDefault="00045E9B" w:rsidP="00045E9B">
            <w:pPr>
              <w:spacing w:after="0" w:line="360" w:lineRule="auto"/>
              <w:rPr>
                <w:rFonts w:ascii="Arial" w:eastAsia="Times New Roman" w:hAnsi="Arial" w:cs="Arial"/>
                <w:lang w:val="el-GR" w:eastAsia="el-GR"/>
              </w:rPr>
            </w:pPr>
          </w:p>
        </w:tc>
        <w:tc>
          <w:tcPr>
            <w:tcW w:w="6394" w:type="dxa"/>
            <w:shd w:val="clear" w:color="auto" w:fill="auto"/>
          </w:tcPr>
          <w:p w14:paraId="1D2984F5" w14:textId="77777777" w:rsidR="00045E9B" w:rsidRPr="00045E9B" w:rsidRDefault="00045E9B" w:rsidP="00C55ADE">
            <w:pPr>
              <w:spacing w:after="0" w:line="360" w:lineRule="auto"/>
              <w:ind w:left="720"/>
              <w:jc w:val="both"/>
              <w:rPr>
                <w:rFonts w:ascii="Arial" w:eastAsia="Times New Roman" w:hAnsi="Arial" w:cs="Arial"/>
                <w:sz w:val="24"/>
                <w:szCs w:val="24"/>
                <w:lang w:val="el-GR" w:eastAsia="el-GR"/>
              </w:rPr>
            </w:pPr>
          </w:p>
        </w:tc>
      </w:tr>
    </w:tbl>
    <w:p w14:paraId="5C56A9C6" w14:textId="77777777" w:rsidR="00045E9B" w:rsidRPr="00085C21" w:rsidRDefault="00045E9B" w:rsidP="005B36E6">
      <w:pPr>
        <w:rPr>
          <w:rFonts w:ascii="Arial" w:hAnsi="Arial" w:cs="Arial"/>
          <w:b/>
          <w:sz w:val="24"/>
          <w:szCs w:val="24"/>
          <w:lang w:val="el-GR"/>
        </w:rPr>
      </w:pPr>
    </w:p>
    <w:sectPr w:rsidR="00045E9B" w:rsidRPr="00085C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A3E6C"/>
    <w:multiLevelType w:val="hybridMultilevel"/>
    <w:tmpl w:val="29C0F8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93023D2"/>
    <w:multiLevelType w:val="hybridMultilevel"/>
    <w:tmpl w:val="D0280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21"/>
    <w:rsid w:val="00045E9B"/>
    <w:rsid w:val="00085C21"/>
    <w:rsid w:val="000E5EC9"/>
    <w:rsid w:val="00127059"/>
    <w:rsid w:val="001A6B48"/>
    <w:rsid w:val="002C55A1"/>
    <w:rsid w:val="00497CCB"/>
    <w:rsid w:val="004D6018"/>
    <w:rsid w:val="004F6626"/>
    <w:rsid w:val="005B36E6"/>
    <w:rsid w:val="005C38AD"/>
    <w:rsid w:val="005C7DF9"/>
    <w:rsid w:val="006F688E"/>
    <w:rsid w:val="00756A2A"/>
    <w:rsid w:val="007A46F4"/>
    <w:rsid w:val="008A7AE7"/>
    <w:rsid w:val="00920796"/>
    <w:rsid w:val="009B4706"/>
    <w:rsid w:val="009C508A"/>
    <w:rsid w:val="009F169D"/>
    <w:rsid w:val="00A744F0"/>
    <w:rsid w:val="00B00186"/>
    <w:rsid w:val="00B50C16"/>
    <w:rsid w:val="00BD03A2"/>
    <w:rsid w:val="00C55ADE"/>
    <w:rsid w:val="00CE477A"/>
    <w:rsid w:val="00CF423F"/>
    <w:rsid w:val="00D065CD"/>
    <w:rsid w:val="00D1510C"/>
    <w:rsid w:val="00ED4806"/>
    <w:rsid w:val="00FE791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68D0"/>
  <w15:docId w15:val="{6AB68E35-94EB-4A25-BC29-2F9498D7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Hannatzia</dc:creator>
  <cp:lastModifiedBy>Maria Kyprianou</cp:lastModifiedBy>
  <cp:revision>3</cp:revision>
  <dcterms:created xsi:type="dcterms:W3CDTF">2022-01-28T09:45:00Z</dcterms:created>
  <dcterms:modified xsi:type="dcterms:W3CDTF">2022-01-28T09:46:00Z</dcterms:modified>
</cp:coreProperties>
</file>