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3597" w14:textId="42F0D09A" w:rsidR="00D379B4" w:rsidRPr="00385AFE" w:rsidRDefault="00D379B4" w:rsidP="002D0104">
      <w:pPr>
        <w:spacing w:line="360" w:lineRule="auto"/>
        <w:jc w:val="center"/>
        <w:rPr>
          <w:rFonts w:cs="Arial"/>
          <w:bCs/>
          <w:lang w:val="el-GR"/>
        </w:rPr>
      </w:pPr>
      <w:r w:rsidRPr="00385AFE">
        <w:rPr>
          <w:rFonts w:cs="Arial"/>
          <w:bCs/>
          <w:lang w:val="el-GR"/>
        </w:rPr>
        <w:t>ΝΟΜΟ</w:t>
      </w:r>
      <w:r w:rsidR="003B2A28">
        <w:rPr>
          <w:rFonts w:cs="Arial"/>
          <w:bCs/>
          <w:lang w:val="el-GR"/>
        </w:rPr>
        <w:t>Σ</w:t>
      </w:r>
      <w:r w:rsidRPr="00385AFE">
        <w:rPr>
          <w:rFonts w:cs="Arial"/>
          <w:bCs/>
          <w:lang w:val="el-GR"/>
        </w:rPr>
        <w:t xml:space="preserve"> ΠΟΥ ΤΡΟΠΟΠΟΙΕΙ ΤΟ</w:t>
      </w:r>
      <w:r w:rsidR="002050C2" w:rsidRPr="00385AFE">
        <w:rPr>
          <w:rFonts w:cs="Arial"/>
          <w:bCs/>
          <w:lang w:val="el-GR"/>
        </w:rPr>
        <w:t>ΥΣ</w:t>
      </w:r>
      <w:r w:rsidR="00A35E19" w:rsidRPr="00385AFE">
        <w:rPr>
          <w:rFonts w:cs="Arial"/>
          <w:bCs/>
          <w:lang w:val="el-GR"/>
        </w:rPr>
        <w:t xml:space="preserve"> </w:t>
      </w:r>
      <w:r w:rsidRPr="00385AFE">
        <w:rPr>
          <w:rFonts w:cs="Arial"/>
          <w:bCs/>
          <w:lang w:val="el-GR"/>
        </w:rPr>
        <w:t>ΠΕΡΙ</w:t>
      </w:r>
      <w:r w:rsidR="00E70545" w:rsidRPr="00385AFE">
        <w:rPr>
          <w:rFonts w:cs="Arial"/>
          <w:bCs/>
          <w:lang w:val="el-GR"/>
        </w:rPr>
        <w:t xml:space="preserve"> ΠΕΤΡΕΛΑΙΟΕΙΔΩΝ (ΚΑΘΟΡΙΣΜΟΣ ΑΝΩΤΑΤΩΝ ΤΙΜΩΝ ΠΩΛΗΣΗΣ ΣΕ ΕΙΔΙΚΕΣ ΠΕΡΙΠΤΩΣΕΙΣ) ΝΟΜΟ</w:t>
      </w:r>
      <w:r w:rsidR="002050C2" w:rsidRPr="00385AFE">
        <w:rPr>
          <w:rFonts w:cs="Arial"/>
          <w:bCs/>
          <w:lang w:val="el-GR"/>
        </w:rPr>
        <w:t>ΥΣ</w:t>
      </w:r>
      <w:r w:rsidR="00E70545" w:rsidRPr="00385AFE">
        <w:rPr>
          <w:rFonts w:cs="Arial"/>
          <w:bCs/>
          <w:lang w:val="el-GR"/>
        </w:rPr>
        <w:t xml:space="preserve"> ΤΟΥ 2004 </w:t>
      </w:r>
      <w:r w:rsidR="002050C2" w:rsidRPr="00385AFE">
        <w:rPr>
          <w:rFonts w:cs="Arial"/>
          <w:bCs/>
          <w:lang w:val="el-GR"/>
        </w:rPr>
        <w:t>ΚΑΙ</w:t>
      </w:r>
      <w:r w:rsidR="00E70545" w:rsidRPr="00385AFE">
        <w:rPr>
          <w:rFonts w:cs="Arial"/>
          <w:bCs/>
          <w:lang w:val="el-GR"/>
        </w:rPr>
        <w:t xml:space="preserve">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926"/>
        <w:gridCol w:w="1134"/>
        <w:gridCol w:w="4960"/>
      </w:tblGrid>
      <w:tr w:rsidR="00D379B4" w:rsidRPr="00B62EE0" w14:paraId="2E11359A" w14:textId="77777777" w:rsidTr="006767EE">
        <w:tc>
          <w:tcPr>
            <w:tcW w:w="2051" w:type="dxa"/>
          </w:tcPr>
          <w:p w14:paraId="2E113598" w14:textId="77777777" w:rsidR="00D379B4" w:rsidRPr="002D0104" w:rsidRDefault="00D379B4" w:rsidP="002D0104">
            <w:pPr>
              <w:spacing w:line="360" w:lineRule="auto"/>
              <w:rPr>
                <w:rFonts w:cs="Arial"/>
                <w:lang w:val="el-GR"/>
              </w:rPr>
            </w:pPr>
          </w:p>
        </w:tc>
        <w:tc>
          <w:tcPr>
            <w:tcW w:w="7020" w:type="dxa"/>
            <w:gridSpan w:val="3"/>
          </w:tcPr>
          <w:p w14:paraId="2E113599" w14:textId="77777777" w:rsidR="00D379B4" w:rsidRPr="002D0104" w:rsidRDefault="00D379B4" w:rsidP="002D0104">
            <w:pPr>
              <w:spacing w:line="360" w:lineRule="auto"/>
              <w:rPr>
                <w:rFonts w:cs="Arial"/>
                <w:lang w:val="el-GR"/>
              </w:rPr>
            </w:pPr>
          </w:p>
        </w:tc>
      </w:tr>
      <w:tr w:rsidR="003B2A28" w:rsidRPr="00B62EE0" w14:paraId="5DF7AEBD" w14:textId="77777777" w:rsidTr="006767EE">
        <w:tc>
          <w:tcPr>
            <w:tcW w:w="2051" w:type="dxa"/>
          </w:tcPr>
          <w:p w14:paraId="04E0A722" w14:textId="77777777" w:rsidR="003B2A28" w:rsidRPr="002D0104" w:rsidRDefault="003B2A28" w:rsidP="002D0104">
            <w:pPr>
              <w:spacing w:line="360" w:lineRule="auto"/>
              <w:jc w:val="left"/>
              <w:rPr>
                <w:rFonts w:cs="Arial"/>
                <w:lang w:val="el-GR"/>
              </w:rPr>
            </w:pPr>
          </w:p>
        </w:tc>
        <w:tc>
          <w:tcPr>
            <w:tcW w:w="7020" w:type="dxa"/>
            <w:gridSpan w:val="3"/>
          </w:tcPr>
          <w:p w14:paraId="39787A46" w14:textId="5C09C3C2" w:rsidR="003B2A28" w:rsidRPr="002D0104" w:rsidRDefault="003B2A28" w:rsidP="00AD27B8">
            <w:pPr>
              <w:tabs>
                <w:tab w:val="clear" w:pos="567"/>
                <w:tab w:val="left" w:pos="392"/>
              </w:tabs>
              <w:spacing w:line="360" w:lineRule="auto"/>
              <w:rPr>
                <w:rFonts w:cs="Arial"/>
                <w:lang w:val="el-GR"/>
              </w:rPr>
            </w:pPr>
            <w:r>
              <w:rPr>
                <w:rFonts w:cs="Arial"/>
                <w:lang w:val="el-GR"/>
              </w:rPr>
              <w:tab/>
              <w:t>Η Βουλή των Αντιπροσώπων ψηφίζει ως ακολούθως:</w:t>
            </w:r>
          </w:p>
        </w:tc>
      </w:tr>
      <w:tr w:rsidR="003B2A28" w:rsidRPr="00555BC6" w14:paraId="30F1860D" w14:textId="77777777" w:rsidTr="006767EE">
        <w:tc>
          <w:tcPr>
            <w:tcW w:w="2051" w:type="dxa"/>
          </w:tcPr>
          <w:p w14:paraId="646B5E8A" w14:textId="77777777" w:rsidR="003B2A28" w:rsidRPr="002D0104" w:rsidRDefault="003B2A28" w:rsidP="002D0104">
            <w:pPr>
              <w:spacing w:line="360" w:lineRule="auto"/>
              <w:jc w:val="left"/>
              <w:rPr>
                <w:rFonts w:cs="Arial"/>
                <w:lang w:val="el-GR"/>
              </w:rPr>
            </w:pPr>
          </w:p>
        </w:tc>
        <w:tc>
          <w:tcPr>
            <w:tcW w:w="7020" w:type="dxa"/>
            <w:gridSpan w:val="3"/>
          </w:tcPr>
          <w:p w14:paraId="0616BA30" w14:textId="20DF8CE7" w:rsidR="003B2A28" w:rsidRPr="00B62EE0" w:rsidRDefault="003B2A28" w:rsidP="00AD27B8">
            <w:pPr>
              <w:tabs>
                <w:tab w:val="clear" w:pos="567"/>
                <w:tab w:val="left" w:pos="392"/>
              </w:tabs>
              <w:spacing w:line="360" w:lineRule="auto"/>
              <w:rPr>
                <w:rFonts w:cs="Arial"/>
                <w:lang w:val="el-GR"/>
              </w:rPr>
            </w:pPr>
          </w:p>
        </w:tc>
      </w:tr>
      <w:tr w:rsidR="002619EE" w:rsidRPr="00B62EE0" w14:paraId="2E11359D" w14:textId="77777777" w:rsidTr="006767EE">
        <w:tc>
          <w:tcPr>
            <w:tcW w:w="2051" w:type="dxa"/>
          </w:tcPr>
          <w:p w14:paraId="0684732A" w14:textId="1E061038" w:rsidR="002619EE" w:rsidRPr="002D0104" w:rsidRDefault="002619EE" w:rsidP="002D0104">
            <w:pPr>
              <w:spacing w:line="360" w:lineRule="auto"/>
              <w:jc w:val="left"/>
              <w:rPr>
                <w:rFonts w:cs="Arial"/>
                <w:lang w:val="el-GR"/>
              </w:rPr>
            </w:pPr>
            <w:r w:rsidRPr="002D0104">
              <w:rPr>
                <w:rFonts w:cs="Arial"/>
                <w:lang w:val="el-GR"/>
              </w:rPr>
              <w:t>Συνοπτικός τίτλος.</w:t>
            </w:r>
          </w:p>
          <w:p w14:paraId="0BF4BC9F" w14:textId="7413288F" w:rsidR="002619EE" w:rsidRPr="002D0104" w:rsidRDefault="00E70545" w:rsidP="00701C63">
            <w:pPr>
              <w:tabs>
                <w:tab w:val="clear" w:pos="567"/>
                <w:tab w:val="left" w:pos="601"/>
              </w:tabs>
              <w:spacing w:line="360" w:lineRule="auto"/>
              <w:ind w:right="113"/>
              <w:jc w:val="right"/>
              <w:rPr>
                <w:rFonts w:cs="Arial"/>
                <w:lang w:val="el-GR" w:eastAsia="en-US"/>
              </w:rPr>
            </w:pPr>
            <w:r w:rsidRPr="002D0104">
              <w:rPr>
                <w:rFonts w:cs="Arial"/>
                <w:lang w:val="el-GR"/>
              </w:rPr>
              <w:t>115(Ι) του 2004</w:t>
            </w:r>
          </w:p>
          <w:p w14:paraId="46F4D796" w14:textId="319AD201" w:rsidR="002619EE" w:rsidRPr="002D0104" w:rsidRDefault="00E70545" w:rsidP="002D0104">
            <w:pPr>
              <w:pStyle w:val="NoSpacing"/>
              <w:spacing w:line="360" w:lineRule="auto"/>
              <w:ind w:right="57"/>
              <w:jc w:val="right"/>
              <w:rPr>
                <w:rFonts w:cs="Arial"/>
                <w:lang w:val="el-GR" w:eastAsia="en-US"/>
              </w:rPr>
            </w:pPr>
            <w:r w:rsidRPr="002D0104">
              <w:rPr>
                <w:rFonts w:cs="Arial"/>
                <w:lang w:val="el-GR" w:eastAsia="en-US"/>
              </w:rPr>
              <w:t>57</w:t>
            </w:r>
            <w:r w:rsidR="002619EE" w:rsidRPr="002D0104">
              <w:rPr>
                <w:rFonts w:cs="Arial"/>
                <w:lang w:val="el-GR" w:eastAsia="en-US"/>
              </w:rPr>
              <w:t>(</w:t>
            </w:r>
            <w:r w:rsidR="002619EE" w:rsidRPr="002D0104">
              <w:rPr>
                <w:rFonts w:cs="Arial"/>
                <w:lang w:eastAsia="en-US"/>
              </w:rPr>
              <w:t>I</w:t>
            </w:r>
            <w:r w:rsidR="002619EE" w:rsidRPr="002D0104">
              <w:rPr>
                <w:rFonts w:cs="Arial"/>
                <w:lang w:val="el-GR" w:eastAsia="en-US"/>
              </w:rPr>
              <w:t xml:space="preserve">) του </w:t>
            </w:r>
            <w:r w:rsidRPr="002D0104">
              <w:rPr>
                <w:rFonts w:cs="Arial"/>
                <w:lang w:val="el-GR" w:eastAsia="en-US"/>
              </w:rPr>
              <w:t>2010.</w:t>
            </w:r>
          </w:p>
          <w:p w14:paraId="279A8582" w14:textId="4654309E" w:rsidR="002619EE" w:rsidRPr="002D0104" w:rsidRDefault="002619EE" w:rsidP="002D0104">
            <w:pPr>
              <w:pStyle w:val="NoSpacing"/>
              <w:spacing w:line="360" w:lineRule="auto"/>
              <w:jc w:val="right"/>
              <w:rPr>
                <w:rFonts w:cs="Arial"/>
                <w:lang w:val="el-GR" w:eastAsia="en-US"/>
              </w:rPr>
            </w:pPr>
          </w:p>
          <w:p w14:paraId="2E11359B" w14:textId="26D9F07F" w:rsidR="00007E3C" w:rsidRPr="002D0104" w:rsidRDefault="00007E3C" w:rsidP="002D0104">
            <w:pPr>
              <w:pStyle w:val="NoSpacing"/>
              <w:tabs>
                <w:tab w:val="left" w:pos="426"/>
                <w:tab w:val="left" w:pos="1080"/>
              </w:tabs>
              <w:spacing w:line="360" w:lineRule="auto"/>
              <w:jc w:val="right"/>
              <w:rPr>
                <w:rFonts w:cs="Arial"/>
                <w:lang w:val="el-GR"/>
              </w:rPr>
            </w:pPr>
          </w:p>
        </w:tc>
        <w:tc>
          <w:tcPr>
            <w:tcW w:w="7020" w:type="dxa"/>
            <w:gridSpan w:val="3"/>
          </w:tcPr>
          <w:p w14:paraId="2E11359C" w14:textId="4CAC797D" w:rsidR="002619EE" w:rsidRPr="002D0104" w:rsidRDefault="002619EE" w:rsidP="00AD27B8">
            <w:pPr>
              <w:tabs>
                <w:tab w:val="clear" w:pos="567"/>
                <w:tab w:val="left" w:pos="392"/>
              </w:tabs>
              <w:spacing w:line="360" w:lineRule="auto"/>
              <w:rPr>
                <w:rFonts w:cs="Arial"/>
                <w:lang w:val="el-GR"/>
              </w:rPr>
            </w:pPr>
            <w:r w:rsidRPr="002D0104">
              <w:rPr>
                <w:rFonts w:cs="Arial"/>
                <w:lang w:val="el-GR"/>
              </w:rPr>
              <w:t>1.</w:t>
            </w:r>
            <w:r w:rsidRPr="002D0104">
              <w:rPr>
                <w:rFonts w:cs="Arial"/>
                <w:lang w:val="el-GR"/>
              </w:rPr>
              <w:tab/>
              <w:t xml:space="preserve">Ο παρών Νόμος θα αναφέρεται ως ο περί </w:t>
            </w:r>
            <w:r w:rsidR="00D1040B" w:rsidRPr="002D0104">
              <w:rPr>
                <w:rFonts w:cs="Arial"/>
                <w:lang w:val="el-GR"/>
              </w:rPr>
              <w:t>Πετρελαιοειδών (Καθορισμός Ανωτάτων Τιμών</w:t>
            </w:r>
            <w:r w:rsidR="003718E0">
              <w:rPr>
                <w:rFonts w:cs="Arial"/>
                <w:lang w:val="el-GR"/>
              </w:rPr>
              <w:t xml:space="preserve"> </w:t>
            </w:r>
            <w:r w:rsidR="00D1040B" w:rsidRPr="002D0104">
              <w:rPr>
                <w:rFonts w:cs="Arial"/>
                <w:lang w:val="el-GR"/>
              </w:rPr>
              <w:t xml:space="preserve">Πώλησης σε Ειδικές Περιπτώσεις) (Τροποποιητικός) Νόμος του 2022 </w:t>
            </w:r>
            <w:r w:rsidRPr="002D0104">
              <w:rPr>
                <w:rFonts w:cs="Arial"/>
                <w:lang w:val="el-GR"/>
              </w:rPr>
              <w:t>και θα διαβάζεται μαζί με το</w:t>
            </w:r>
            <w:r w:rsidR="004A5CD2" w:rsidRPr="002D0104">
              <w:rPr>
                <w:rFonts w:cs="Arial"/>
                <w:lang w:val="el-GR"/>
              </w:rPr>
              <w:t>υς</w:t>
            </w:r>
            <w:r w:rsidRPr="002D0104">
              <w:rPr>
                <w:rFonts w:cs="Arial"/>
                <w:lang w:val="el-GR"/>
              </w:rPr>
              <w:t xml:space="preserve"> </w:t>
            </w:r>
            <w:r w:rsidR="00D1040B" w:rsidRPr="002D0104">
              <w:rPr>
                <w:rFonts w:cs="Arial"/>
                <w:lang w:val="el-GR"/>
              </w:rPr>
              <w:t>περί Πετρελαιοειδών (Καθορισμός Ανωτάτων Τιμών Πώλησης σε Ειδικές Περιπτώσεις) Νόμο</w:t>
            </w:r>
            <w:r w:rsidR="004A5CD2" w:rsidRPr="002D0104">
              <w:rPr>
                <w:rFonts w:cs="Arial"/>
                <w:lang w:val="el-GR"/>
              </w:rPr>
              <w:t>υς</w:t>
            </w:r>
            <w:r w:rsidR="00D1040B" w:rsidRPr="002D0104">
              <w:rPr>
                <w:rFonts w:cs="Arial"/>
                <w:lang w:val="el-GR"/>
              </w:rPr>
              <w:t xml:space="preserve"> του 2004</w:t>
            </w:r>
            <w:r w:rsidR="004A5CD2" w:rsidRPr="002D0104">
              <w:rPr>
                <w:rFonts w:cs="Arial"/>
                <w:lang w:val="el-GR"/>
              </w:rPr>
              <w:t xml:space="preserve"> και 2010</w:t>
            </w:r>
            <w:r w:rsidRPr="002D0104">
              <w:rPr>
                <w:rFonts w:cs="Arial"/>
                <w:lang w:val="el-GR"/>
              </w:rPr>
              <w:t xml:space="preserve"> (που στο εξής θα αναφέρ</w:t>
            </w:r>
            <w:r w:rsidR="004A5CD2" w:rsidRPr="002D0104">
              <w:rPr>
                <w:rFonts w:cs="Arial"/>
                <w:lang w:val="el-GR"/>
              </w:rPr>
              <w:t>ον</w:t>
            </w:r>
            <w:r w:rsidRPr="002D0104">
              <w:rPr>
                <w:rFonts w:cs="Arial"/>
                <w:lang w:val="el-GR"/>
              </w:rPr>
              <w:t>ται ως «ο βασικός νόμος»)</w:t>
            </w:r>
            <w:r w:rsidR="00D1040B" w:rsidRPr="002D0104">
              <w:rPr>
                <w:rFonts w:cs="Arial"/>
                <w:lang w:val="el-GR"/>
              </w:rPr>
              <w:t xml:space="preserve"> και </w:t>
            </w:r>
            <w:r w:rsidR="004A5CD2" w:rsidRPr="002D0104">
              <w:rPr>
                <w:rFonts w:cs="Arial"/>
                <w:lang w:val="el-GR"/>
              </w:rPr>
              <w:t xml:space="preserve">ο βασικός νόμος και </w:t>
            </w:r>
            <w:r w:rsidR="00D1040B" w:rsidRPr="002D0104">
              <w:rPr>
                <w:rFonts w:cs="Arial"/>
                <w:lang w:val="el-GR"/>
              </w:rPr>
              <w:t>ο παρών Νόμος θα αναφέρονται μαζί ως οι περί Πετρελαιοειδών (Καθορισμός Ανωτάτων Τιμών Πώλησης σε Ειδικές Περιπτώσεις) Νόμοι του 2004 έως 2022</w:t>
            </w:r>
            <w:r w:rsidRPr="002D0104">
              <w:rPr>
                <w:rFonts w:cs="Arial"/>
                <w:lang w:val="el-GR"/>
              </w:rPr>
              <w:t>.</w:t>
            </w:r>
          </w:p>
        </w:tc>
      </w:tr>
      <w:tr w:rsidR="00D379B4" w:rsidRPr="00B62EE0" w14:paraId="2E1135DD" w14:textId="77777777" w:rsidTr="006767EE">
        <w:tc>
          <w:tcPr>
            <w:tcW w:w="2051" w:type="dxa"/>
          </w:tcPr>
          <w:p w14:paraId="2E1135DB" w14:textId="77777777" w:rsidR="00D379B4" w:rsidRPr="002D0104" w:rsidRDefault="00D379B4" w:rsidP="002D0104">
            <w:pPr>
              <w:spacing w:line="360" w:lineRule="auto"/>
              <w:rPr>
                <w:rFonts w:cs="Arial"/>
                <w:lang w:val="el-GR"/>
              </w:rPr>
            </w:pPr>
          </w:p>
        </w:tc>
        <w:tc>
          <w:tcPr>
            <w:tcW w:w="7020" w:type="dxa"/>
            <w:gridSpan w:val="3"/>
          </w:tcPr>
          <w:p w14:paraId="2E1135DC" w14:textId="77777777" w:rsidR="00D379B4" w:rsidRPr="002D0104" w:rsidRDefault="00D379B4" w:rsidP="002D0104">
            <w:pPr>
              <w:spacing w:line="360" w:lineRule="auto"/>
              <w:rPr>
                <w:rFonts w:cs="Arial"/>
                <w:lang w:val="el-GR"/>
              </w:rPr>
            </w:pPr>
          </w:p>
        </w:tc>
      </w:tr>
      <w:tr w:rsidR="00D379B4" w:rsidRPr="00B62EE0" w14:paraId="2E1135EE" w14:textId="77777777" w:rsidTr="006767EE">
        <w:tc>
          <w:tcPr>
            <w:tcW w:w="2051" w:type="dxa"/>
          </w:tcPr>
          <w:p w14:paraId="7CB90939" w14:textId="59632F4D" w:rsidR="002619EE" w:rsidRPr="002D0104" w:rsidRDefault="00696481" w:rsidP="002D0104">
            <w:pPr>
              <w:spacing w:line="360" w:lineRule="auto"/>
              <w:jc w:val="left"/>
              <w:rPr>
                <w:rFonts w:cs="Arial"/>
                <w:lang w:val="el-GR"/>
              </w:rPr>
            </w:pPr>
            <w:r w:rsidRPr="002D0104">
              <w:rPr>
                <w:rFonts w:cs="Arial"/>
                <w:lang w:val="el-GR"/>
              </w:rPr>
              <w:t>Τροποποίηση</w:t>
            </w:r>
            <w:r w:rsidR="002619EE" w:rsidRPr="002D0104">
              <w:rPr>
                <w:rFonts w:cs="Arial"/>
                <w:lang w:val="el-GR"/>
              </w:rPr>
              <w:t xml:space="preserve"> του άρθρου </w:t>
            </w:r>
            <w:r w:rsidR="00E70545" w:rsidRPr="002D0104">
              <w:rPr>
                <w:rFonts w:cs="Arial"/>
                <w:lang w:val="el-GR"/>
              </w:rPr>
              <w:t>4</w:t>
            </w:r>
          </w:p>
          <w:p w14:paraId="2E1135E9" w14:textId="0BFE3098" w:rsidR="00606C78" w:rsidRPr="002D0104" w:rsidRDefault="00696481" w:rsidP="002D0104">
            <w:pPr>
              <w:spacing w:line="360" w:lineRule="auto"/>
              <w:jc w:val="left"/>
              <w:rPr>
                <w:rFonts w:cs="Arial"/>
                <w:lang w:val="el-GR"/>
              </w:rPr>
            </w:pPr>
            <w:r w:rsidRPr="002D0104">
              <w:rPr>
                <w:rFonts w:cs="Arial"/>
                <w:lang w:val="el-GR"/>
              </w:rPr>
              <w:t>του βασικού νόμου</w:t>
            </w:r>
            <w:r w:rsidR="002619EE" w:rsidRPr="002D0104">
              <w:rPr>
                <w:rFonts w:cs="Arial"/>
                <w:lang w:val="el-GR"/>
              </w:rPr>
              <w:t>.</w:t>
            </w:r>
          </w:p>
        </w:tc>
        <w:tc>
          <w:tcPr>
            <w:tcW w:w="7020" w:type="dxa"/>
            <w:gridSpan w:val="3"/>
          </w:tcPr>
          <w:p w14:paraId="2E1135EA" w14:textId="0C49CFDB" w:rsidR="00D379B4" w:rsidRPr="002D0104" w:rsidRDefault="00B64F95" w:rsidP="00AD27B8">
            <w:pPr>
              <w:tabs>
                <w:tab w:val="clear" w:pos="567"/>
                <w:tab w:val="left" w:pos="392"/>
              </w:tabs>
              <w:spacing w:line="360" w:lineRule="auto"/>
              <w:rPr>
                <w:rFonts w:cs="Arial"/>
                <w:lang w:val="el-GR"/>
              </w:rPr>
            </w:pPr>
            <w:r w:rsidRPr="002D0104">
              <w:rPr>
                <w:rFonts w:cs="Arial"/>
                <w:lang w:val="el-GR"/>
              </w:rPr>
              <w:t>2.</w:t>
            </w:r>
            <w:r w:rsidRPr="002D0104">
              <w:rPr>
                <w:rFonts w:cs="Arial"/>
                <w:lang w:val="el-GR"/>
              </w:rPr>
              <w:tab/>
            </w:r>
            <w:r w:rsidR="002619EE" w:rsidRPr="002D0104">
              <w:rPr>
                <w:rFonts w:cs="Arial"/>
                <w:lang w:val="el-GR"/>
              </w:rPr>
              <w:t xml:space="preserve">Το άρθρο </w:t>
            </w:r>
            <w:r w:rsidR="00E70545" w:rsidRPr="002D0104">
              <w:rPr>
                <w:rFonts w:cs="Arial"/>
                <w:lang w:val="el-GR"/>
              </w:rPr>
              <w:t>4</w:t>
            </w:r>
            <w:r w:rsidR="002619EE" w:rsidRPr="002D0104">
              <w:rPr>
                <w:rFonts w:cs="Arial"/>
                <w:lang w:val="el-GR"/>
              </w:rPr>
              <w:t xml:space="preserve"> του βασικού νόμου τροποποιείται ως ακολούθως: </w:t>
            </w:r>
          </w:p>
          <w:p w14:paraId="2E1135ED" w14:textId="2CA6D1CD" w:rsidR="001F2ADA" w:rsidRPr="002D0104" w:rsidRDefault="001F2ADA" w:rsidP="002D0104">
            <w:pPr>
              <w:tabs>
                <w:tab w:val="clear" w:pos="567"/>
                <w:tab w:val="left" w:pos="318"/>
              </w:tabs>
              <w:spacing w:line="360" w:lineRule="auto"/>
              <w:rPr>
                <w:rFonts w:cs="Arial"/>
                <w:lang w:val="el-GR"/>
              </w:rPr>
            </w:pPr>
          </w:p>
        </w:tc>
      </w:tr>
      <w:tr w:rsidR="00AD27B8" w:rsidRPr="00B62EE0" w14:paraId="20983EC2" w14:textId="77777777" w:rsidTr="006767EE">
        <w:tc>
          <w:tcPr>
            <w:tcW w:w="2051" w:type="dxa"/>
          </w:tcPr>
          <w:p w14:paraId="068D049F" w14:textId="77777777" w:rsidR="00AD27B8" w:rsidRPr="002D0104" w:rsidRDefault="00AD27B8" w:rsidP="002D0104">
            <w:pPr>
              <w:spacing w:line="360" w:lineRule="auto"/>
              <w:jc w:val="left"/>
              <w:rPr>
                <w:rFonts w:cs="Arial"/>
                <w:lang w:val="el-GR"/>
              </w:rPr>
            </w:pPr>
          </w:p>
        </w:tc>
        <w:tc>
          <w:tcPr>
            <w:tcW w:w="7020" w:type="dxa"/>
            <w:gridSpan w:val="3"/>
          </w:tcPr>
          <w:p w14:paraId="6AF6FEC2" w14:textId="77777777" w:rsidR="00AD27B8" w:rsidRPr="002D0104" w:rsidRDefault="00AD27B8" w:rsidP="00AD27B8">
            <w:pPr>
              <w:tabs>
                <w:tab w:val="clear" w:pos="567"/>
                <w:tab w:val="left" w:pos="392"/>
              </w:tabs>
              <w:spacing w:line="360" w:lineRule="auto"/>
              <w:rPr>
                <w:rFonts w:cs="Arial"/>
                <w:lang w:val="el-GR"/>
              </w:rPr>
            </w:pPr>
          </w:p>
        </w:tc>
      </w:tr>
      <w:tr w:rsidR="00AB6061" w:rsidRPr="00B62EE0" w14:paraId="678C14D7" w14:textId="77777777" w:rsidTr="00AD27B8">
        <w:tc>
          <w:tcPr>
            <w:tcW w:w="2051" w:type="dxa"/>
          </w:tcPr>
          <w:p w14:paraId="1FCBE5C6" w14:textId="77777777" w:rsidR="00AB6061" w:rsidRPr="002D0104" w:rsidRDefault="00AB6061" w:rsidP="002D0104">
            <w:pPr>
              <w:spacing w:line="360" w:lineRule="auto"/>
              <w:jc w:val="left"/>
              <w:rPr>
                <w:rFonts w:cs="Arial"/>
                <w:lang w:val="el-GR"/>
              </w:rPr>
            </w:pPr>
          </w:p>
        </w:tc>
        <w:tc>
          <w:tcPr>
            <w:tcW w:w="926" w:type="dxa"/>
          </w:tcPr>
          <w:p w14:paraId="6C3A95B9" w14:textId="37F8E3D9" w:rsidR="00AB6061" w:rsidRPr="002D0104" w:rsidRDefault="00AB6061" w:rsidP="00AD27B8">
            <w:pPr>
              <w:tabs>
                <w:tab w:val="clear" w:pos="567"/>
                <w:tab w:val="left" w:pos="0"/>
              </w:tabs>
              <w:spacing w:line="360" w:lineRule="auto"/>
              <w:jc w:val="right"/>
              <w:rPr>
                <w:rFonts w:cs="Arial"/>
                <w:lang w:val="el-GR"/>
              </w:rPr>
            </w:pPr>
            <w:r>
              <w:rPr>
                <w:rFonts w:cs="Arial"/>
                <w:lang w:val="el-GR"/>
              </w:rPr>
              <w:t>(α)</w:t>
            </w:r>
          </w:p>
        </w:tc>
        <w:tc>
          <w:tcPr>
            <w:tcW w:w="6094" w:type="dxa"/>
            <w:gridSpan w:val="2"/>
          </w:tcPr>
          <w:p w14:paraId="1E8ECE46" w14:textId="55FD0660" w:rsidR="00AB6061" w:rsidRPr="002D0104" w:rsidRDefault="00AB6061" w:rsidP="002D0104">
            <w:pPr>
              <w:tabs>
                <w:tab w:val="clear" w:pos="567"/>
                <w:tab w:val="left" w:pos="318"/>
              </w:tabs>
              <w:spacing w:line="360" w:lineRule="auto"/>
              <w:rPr>
                <w:rFonts w:cs="Arial"/>
                <w:lang w:val="el-GR"/>
              </w:rPr>
            </w:pPr>
            <w:r>
              <w:rPr>
                <w:rFonts w:cs="Arial"/>
                <w:lang w:val="el-GR"/>
              </w:rPr>
              <w:t>Με τη διαγραφή από τον πλαγιότιτλο αυτού αμέσως μετά τη λέξη «Καθορισμός» της λέξης «λιανικής»ꞏ</w:t>
            </w:r>
          </w:p>
        </w:tc>
      </w:tr>
      <w:tr w:rsidR="00BF2707" w:rsidRPr="00B62EE0" w14:paraId="2900A1A3" w14:textId="77777777" w:rsidTr="00AD27B8">
        <w:tc>
          <w:tcPr>
            <w:tcW w:w="2051" w:type="dxa"/>
          </w:tcPr>
          <w:p w14:paraId="3F63CA56" w14:textId="77777777" w:rsidR="00BF2707" w:rsidRPr="002D0104" w:rsidRDefault="00BF2707" w:rsidP="002D0104">
            <w:pPr>
              <w:spacing w:line="360" w:lineRule="auto"/>
              <w:jc w:val="left"/>
              <w:rPr>
                <w:rFonts w:cs="Arial"/>
                <w:lang w:val="el-GR"/>
              </w:rPr>
            </w:pPr>
          </w:p>
        </w:tc>
        <w:tc>
          <w:tcPr>
            <w:tcW w:w="926" w:type="dxa"/>
          </w:tcPr>
          <w:p w14:paraId="72560E72" w14:textId="77777777" w:rsidR="00BF2707" w:rsidRDefault="00BF2707" w:rsidP="00AD27B8">
            <w:pPr>
              <w:tabs>
                <w:tab w:val="clear" w:pos="567"/>
                <w:tab w:val="left" w:pos="0"/>
              </w:tabs>
              <w:spacing w:line="360" w:lineRule="auto"/>
              <w:jc w:val="right"/>
              <w:rPr>
                <w:rFonts w:cs="Arial"/>
                <w:lang w:val="el-GR"/>
              </w:rPr>
            </w:pPr>
          </w:p>
        </w:tc>
        <w:tc>
          <w:tcPr>
            <w:tcW w:w="6094" w:type="dxa"/>
            <w:gridSpan w:val="2"/>
          </w:tcPr>
          <w:p w14:paraId="6A751702" w14:textId="77777777" w:rsidR="00BF2707" w:rsidRDefault="00BF2707" w:rsidP="002D0104">
            <w:pPr>
              <w:tabs>
                <w:tab w:val="clear" w:pos="567"/>
                <w:tab w:val="left" w:pos="318"/>
              </w:tabs>
              <w:spacing w:line="360" w:lineRule="auto"/>
              <w:rPr>
                <w:rFonts w:cs="Arial"/>
                <w:lang w:val="el-GR"/>
              </w:rPr>
            </w:pPr>
          </w:p>
        </w:tc>
      </w:tr>
      <w:tr w:rsidR="002619EE" w:rsidRPr="00B62EE0" w14:paraId="39541238" w14:textId="77777777" w:rsidTr="00AD27B8">
        <w:tc>
          <w:tcPr>
            <w:tcW w:w="2051" w:type="dxa"/>
          </w:tcPr>
          <w:p w14:paraId="7E875DD1" w14:textId="77777777" w:rsidR="002619EE" w:rsidRPr="002D0104" w:rsidRDefault="002619EE" w:rsidP="002D0104">
            <w:pPr>
              <w:spacing w:line="360" w:lineRule="auto"/>
              <w:jc w:val="left"/>
              <w:rPr>
                <w:rFonts w:cs="Arial"/>
                <w:lang w:val="el-GR"/>
              </w:rPr>
            </w:pPr>
          </w:p>
        </w:tc>
        <w:tc>
          <w:tcPr>
            <w:tcW w:w="926" w:type="dxa"/>
          </w:tcPr>
          <w:p w14:paraId="615AE9D4" w14:textId="7EB6BB21" w:rsidR="002619EE" w:rsidRPr="002D0104" w:rsidRDefault="002619EE" w:rsidP="00AD27B8">
            <w:pPr>
              <w:tabs>
                <w:tab w:val="clear" w:pos="567"/>
                <w:tab w:val="left" w:pos="0"/>
              </w:tabs>
              <w:spacing w:line="360" w:lineRule="auto"/>
              <w:jc w:val="right"/>
              <w:rPr>
                <w:rFonts w:cs="Arial"/>
                <w:lang w:val="el-GR"/>
              </w:rPr>
            </w:pPr>
            <w:r w:rsidRPr="002D0104">
              <w:rPr>
                <w:rFonts w:cs="Arial"/>
                <w:lang w:val="el-GR"/>
              </w:rPr>
              <w:t>(</w:t>
            </w:r>
            <w:r w:rsidR="007362A0">
              <w:rPr>
                <w:rFonts w:cs="Arial"/>
                <w:lang w:val="el-GR"/>
              </w:rPr>
              <w:t>β</w:t>
            </w:r>
            <w:r w:rsidRPr="002D0104">
              <w:rPr>
                <w:rFonts w:cs="Arial"/>
                <w:lang w:val="el-GR"/>
              </w:rPr>
              <w:t>)</w:t>
            </w:r>
          </w:p>
        </w:tc>
        <w:tc>
          <w:tcPr>
            <w:tcW w:w="6094" w:type="dxa"/>
            <w:gridSpan w:val="2"/>
          </w:tcPr>
          <w:p w14:paraId="2A271B6E" w14:textId="38BDF882" w:rsidR="002619EE" w:rsidRPr="002D0104" w:rsidRDefault="002F0552" w:rsidP="002D0104">
            <w:pPr>
              <w:tabs>
                <w:tab w:val="clear" w:pos="567"/>
                <w:tab w:val="left" w:pos="318"/>
              </w:tabs>
              <w:spacing w:line="360" w:lineRule="auto"/>
              <w:rPr>
                <w:rFonts w:cs="Arial"/>
                <w:lang w:val="el-GR"/>
              </w:rPr>
            </w:pPr>
            <w:r>
              <w:rPr>
                <w:rFonts w:cs="Arial"/>
                <w:lang w:val="el-GR"/>
              </w:rPr>
              <w:t>μ</w:t>
            </w:r>
            <w:r w:rsidR="002619EE" w:rsidRPr="002D0104">
              <w:rPr>
                <w:rFonts w:cs="Arial"/>
                <w:lang w:val="el-GR"/>
              </w:rPr>
              <w:t>ε τ</w:t>
            </w:r>
            <w:r>
              <w:rPr>
                <w:rFonts w:cs="Arial"/>
                <w:lang w:val="el-GR"/>
              </w:rPr>
              <w:t>ην αντικατάσταση</w:t>
            </w:r>
            <w:r w:rsidR="00864D1A" w:rsidRPr="002D0104">
              <w:rPr>
                <w:rFonts w:cs="Arial"/>
                <w:lang w:val="el-GR"/>
              </w:rPr>
              <w:t xml:space="preserve"> </w:t>
            </w:r>
            <w:r w:rsidR="00276666" w:rsidRPr="002D0104">
              <w:rPr>
                <w:rFonts w:cs="Arial"/>
                <w:lang w:val="el-GR"/>
              </w:rPr>
              <w:t xml:space="preserve">στο εδάφιο (1) αυτού </w:t>
            </w:r>
            <w:r w:rsidR="00864D1A" w:rsidRPr="002D0104">
              <w:rPr>
                <w:rFonts w:cs="Arial"/>
                <w:lang w:val="el-GR"/>
              </w:rPr>
              <w:t>της φράσης</w:t>
            </w:r>
            <w:r w:rsidR="00950FBE" w:rsidRPr="002D0104">
              <w:rPr>
                <w:rFonts w:cs="Arial"/>
                <w:lang w:val="el-GR"/>
              </w:rPr>
              <w:t xml:space="preserve"> «όταν εύλογα πιστεύει ότι το ύψος των τιμών στις οποίες διατίθενται τα προϊόντα αυτά στην αγορά είναι σε υπερβολικά πιο ψηλό επίπεδο από ό,τι δικαιολογείται από τις διεθνείς και εγχώριες συνθήκες»</w:t>
            </w:r>
            <w:r w:rsidR="0074678B">
              <w:rPr>
                <w:rFonts w:cs="Arial"/>
                <w:lang w:val="el-GR"/>
              </w:rPr>
              <w:t xml:space="preserve"> (πέμπτη έως όγδοη γραμμή),</w:t>
            </w:r>
            <w:r w:rsidR="00C50ED7">
              <w:rPr>
                <w:rFonts w:cs="Arial"/>
                <w:lang w:val="el-GR"/>
              </w:rPr>
              <w:t xml:space="preserve"> με τη φράση «</w:t>
            </w:r>
            <w:r w:rsidR="00C50ED7" w:rsidRPr="00C50ED7">
              <w:rPr>
                <w:rFonts w:cs="Arial"/>
                <w:lang w:val="el-GR"/>
              </w:rPr>
              <w:t xml:space="preserve">όταν το ύψος των τιμών στις οποίες διατίθενται τα προϊόντα αυτά στην αγορά είναι σε πιο </w:t>
            </w:r>
            <w:r w:rsidR="006767EE">
              <w:rPr>
                <w:rFonts w:cs="Arial"/>
                <w:lang w:val="el-GR"/>
              </w:rPr>
              <w:t>υ</w:t>
            </w:r>
            <w:r w:rsidR="00C50ED7" w:rsidRPr="00C50ED7">
              <w:rPr>
                <w:rFonts w:cs="Arial"/>
                <w:lang w:val="el-GR"/>
              </w:rPr>
              <w:t>ψηλό επίπεδο από ό,τι δικαιολογείται από τις διεθνείς και εγχώριες συνθήκες</w:t>
            </w:r>
            <w:r w:rsidR="00C50ED7">
              <w:rPr>
                <w:rFonts w:cs="Arial"/>
                <w:lang w:val="el-GR"/>
              </w:rPr>
              <w:t>, καθώς και για σκοπούς προστασίας των καταναλωτών»</w:t>
            </w:r>
            <w:r w:rsidR="00950FBE" w:rsidRPr="002D0104">
              <w:rPr>
                <w:rFonts w:cs="Arial"/>
                <w:lang w:val="el-GR"/>
              </w:rPr>
              <w:t>∙ και</w:t>
            </w:r>
          </w:p>
        </w:tc>
      </w:tr>
      <w:tr w:rsidR="00BF2707" w:rsidRPr="00B62EE0" w14:paraId="5EB16821" w14:textId="77777777" w:rsidTr="00AD27B8">
        <w:tc>
          <w:tcPr>
            <w:tcW w:w="2051" w:type="dxa"/>
          </w:tcPr>
          <w:p w14:paraId="75677F01" w14:textId="77777777" w:rsidR="00BF2707" w:rsidRPr="002D0104" w:rsidRDefault="00BF2707" w:rsidP="002D0104">
            <w:pPr>
              <w:spacing w:line="360" w:lineRule="auto"/>
              <w:jc w:val="left"/>
              <w:rPr>
                <w:rFonts w:cs="Arial"/>
                <w:lang w:val="el-GR"/>
              </w:rPr>
            </w:pPr>
          </w:p>
        </w:tc>
        <w:tc>
          <w:tcPr>
            <w:tcW w:w="926" w:type="dxa"/>
          </w:tcPr>
          <w:p w14:paraId="1E804034" w14:textId="77777777" w:rsidR="00BF2707" w:rsidRPr="002D0104" w:rsidRDefault="00BF2707" w:rsidP="00AD27B8">
            <w:pPr>
              <w:tabs>
                <w:tab w:val="clear" w:pos="567"/>
                <w:tab w:val="left" w:pos="0"/>
              </w:tabs>
              <w:spacing w:line="360" w:lineRule="auto"/>
              <w:jc w:val="right"/>
              <w:rPr>
                <w:rFonts w:cs="Arial"/>
                <w:lang w:val="el-GR"/>
              </w:rPr>
            </w:pPr>
          </w:p>
        </w:tc>
        <w:tc>
          <w:tcPr>
            <w:tcW w:w="6094" w:type="dxa"/>
            <w:gridSpan w:val="2"/>
          </w:tcPr>
          <w:p w14:paraId="392BC1AA" w14:textId="77777777" w:rsidR="00BF2707" w:rsidRDefault="00BF2707" w:rsidP="002D0104">
            <w:pPr>
              <w:tabs>
                <w:tab w:val="clear" w:pos="567"/>
                <w:tab w:val="left" w:pos="318"/>
              </w:tabs>
              <w:spacing w:line="360" w:lineRule="auto"/>
              <w:rPr>
                <w:rFonts w:cs="Arial"/>
                <w:lang w:val="el-GR"/>
              </w:rPr>
            </w:pPr>
          </w:p>
        </w:tc>
      </w:tr>
      <w:tr w:rsidR="0040564E" w:rsidRPr="00B62EE0" w14:paraId="0D0806AB" w14:textId="77777777" w:rsidTr="00AD27B8">
        <w:tc>
          <w:tcPr>
            <w:tcW w:w="2051" w:type="dxa"/>
          </w:tcPr>
          <w:p w14:paraId="3F2E7194" w14:textId="77777777" w:rsidR="0040564E" w:rsidRPr="002D0104" w:rsidRDefault="0040564E" w:rsidP="002D0104">
            <w:pPr>
              <w:spacing w:line="360" w:lineRule="auto"/>
              <w:jc w:val="left"/>
              <w:rPr>
                <w:rFonts w:cs="Arial"/>
                <w:lang w:val="el-GR"/>
              </w:rPr>
            </w:pPr>
          </w:p>
        </w:tc>
        <w:tc>
          <w:tcPr>
            <w:tcW w:w="926" w:type="dxa"/>
          </w:tcPr>
          <w:p w14:paraId="73C813DA" w14:textId="0482ECC2" w:rsidR="0040564E" w:rsidRPr="002D0104" w:rsidRDefault="0040564E" w:rsidP="00AD27B8">
            <w:pPr>
              <w:tabs>
                <w:tab w:val="clear" w:pos="567"/>
                <w:tab w:val="left" w:pos="0"/>
              </w:tabs>
              <w:spacing w:line="360" w:lineRule="auto"/>
              <w:jc w:val="right"/>
              <w:rPr>
                <w:rFonts w:cs="Arial"/>
                <w:lang w:val="el-GR"/>
              </w:rPr>
            </w:pPr>
            <w:r w:rsidRPr="002D0104">
              <w:rPr>
                <w:rFonts w:cs="Arial"/>
                <w:lang w:val="el-GR"/>
              </w:rPr>
              <w:t>(</w:t>
            </w:r>
            <w:r w:rsidR="007362A0">
              <w:rPr>
                <w:rFonts w:cs="Arial"/>
                <w:lang w:val="el-GR"/>
              </w:rPr>
              <w:t>γ</w:t>
            </w:r>
            <w:r w:rsidRPr="002D0104">
              <w:rPr>
                <w:rFonts w:cs="Arial"/>
                <w:lang w:val="el-GR"/>
              </w:rPr>
              <w:t>)</w:t>
            </w:r>
          </w:p>
        </w:tc>
        <w:tc>
          <w:tcPr>
            <w:tcW w:w="6094" w:type="dxa"/>
            <w:gridSpan w:val="2"/>
          </w:tcPr>
          <w:p w14:paraId="5DAE9146" w14:textId="5BA1C231" w:rsidR="0040564E" w:rsidRPr="002D0104" w:rsidRDefault="0040564E" w:rsidP="002D0104">
            <w:pPr>
              <w:tabs>
                <w:tab w:val="clear" w:pos="567"/>
                <w:tab w:val="left" w:pos="318"/>
              </w:tabs>
              <w:spacing w:line="360" w:lineRule="auto"/>
              <w:rPr>
                <w:rFonts w:cs="Arial"/>
                <w:lang w:val="el-GR"/>
              </w:rPr>
            </w:pPr>
            <w:r w:rsidRPr="002D0104">
              <w:rPr>
                <w:rFonts w:cs="Arial"/>
                <w:lang w:val="el-GR"/>
              </w:rPr>
              <w:t xml:space="preserve">με την </w:t>
            </w:r>
            <w:r w:rsidR="00864D1A" w:rsidRPr="002D0104">
              <w:rPr>
                <w:rFonts w:cs="Arial"/>
                <w:lang w:val="el-GR"/>
              </w:rPr>
              <w:t xml:space="preserve">αντικατάσταση του εδαφίου (3) </w:t>
            </w:r>
            <w:r w:rsidR="004A5CD2" w:rsidRPr="002D0104">
              <w:rPr>
                <w:rFonts w:cs="Arial"/>
                <w:lang w:val="el-GR"/>
              </w:rPr>
              <w:t xml:space="preserve">αυτού </w:t>
            </w:r>
            <w:r w:rsidR="00864D1A" w:rsidRPr="002D0104">
              <w:rPr>
                <w:rFonts w:cs="Arial"/>
                <w:lang w:val="el-GR"/>
              </w:rPr>
              <w:t xml:space="preserve">με το ακόλουθο εδάφιο: </w:t>
            </w:r>
          </w:p>
        </w:tc>
      </w:tr>
      <w:tr w:rsidR="00BF2707" w:rsidRPr="00B62EE0" w14:paraId="73E795EA" w14:textId="77777777" w:rsidTr="00AD27B8">
        <w:tc>
          <w:tcPr>
            <w:tcW w:w="2051" w:type="dxa"/>
          </w:tcPr>
          <w:p w14:paraId="1E1FB9EA" w14:textId="77777777" w:rsidR="00BF2707" w:rsidRPr="002D0104" w:rsidRDefault="00BF2707" w:rsidP="002D0104">
            <w:pPr>
              <w:spacing w:line="360" w:lineRule="auto"/>
              <w:jc w:val="left"/>
              <w:rPr>
                <w:rFonts w:cs="Arial"/>
                <w:lang w:val="el-GR"/>
              </w:rPr>
            </w:pPr>
          </w:p>
        </w:tc>
        <w:tc>
          <w:tcPr>
            <w:tcW w:w="926" w:type="dxa"/>
          </w:tcPr>
          <w:p w14:paraId="422C11B0" w14:textId="77777777" w:rsidR="00BF2707" w:rsidRPr="002D0104" w:rsidRDefault="00BF2707" w:rsidP="00AD27B8">
            <w:pPr>
              <w:tabs>
                <w:tab w:val="clear" w:pos="567"/>
                <w:tab w:val="left" w:pos="0"/>
              </w:tabs>
              <w:spacing w:line="360" w:lineRule="auto"/>
              <w:jc w:val="right"/>
              <w:rPr>
                <w:rFonts w:cs="Arial"/>
                <w:lang w:val="el-GR"/>
              </w:rPr>
            </w:pPr>
          </w:p>
        </w:tc>
        <w:tc>
          <w:tcPr>
            <w:tcW w:w="6094" w:type="dxa"/>
            <w:gridSpan w:val="2"/>
          </w:tcPr>
          <w:p w14:paraId="2FAF51F3" w14:textId="77777777" w:rsidR="00BF2707" w:rsidRPr="002D0104" w:rsidRDefault="00BF2707" w:rsidP="002D0104">
            <w:pPr>
              <w:tabs>
                <w:tab w:val="clear" w:pos="567"/>
                <w:tab w:val="left" w:pos="318"/>
              </w:tabs>
              <w:spacing w:line="360" w:lineRule="auto"/>
              <w:rPr>
                <w:rFonts w:cs="Arial"/>
                <w:lang w:val="el-GR"/>
              </w:rPr>
            </w:pPr>
          </w:p>
        </w:tc>
      </w:tr>
      <w:tr w:rsidR="00276666" w:rsidRPr="00B62EE0" w14:paraId="6806FC4C" w14:textId="77777777" w:rsidTr="00BF2707">
        <w:tc>
          <w:tcPr>
            <w:tcW w:w="2051" w:type="dxa"/>
          </w:tcPr>
          <w:p w14:paraId="523062CF" w14:textId="77777777" w:rsidR="00276666" w:rsidRPr="002D0104" w:rsidRDefault="00276666" w:rsidP="002D0104">
            <w:pPr>
              <w:spacing w:line="360" w:lineRule="auto"/>
              <w:jc w:val="left"/>
              <w:rPr>
                <w:rFonts w:cs="Arial"/>
                <w:lang w:val="el-GR"/>
              </w:rPr>
            </w:pPr>
          </w:p>
        </w:tc>
        <w:tc>
          <w:tcPr>
            <w:tcW w:w="926" w:type="dxa"/>
          </w:tcPr>
          <w:p w14:paraId="254B9151" w14:textId="0A692385" w:rsidR="00276666" w:rsidRPr="002D0104" w:rsidRDefault="00276666" w:rsidP="002D0104">
            <w:pPr>
              <w:tabs>
                <w:tab w:val="clear" w:pos="567"/>
                <w:tab w:val="left" w:pos="318"/>
              </w:tabs>
              <w:spacing w:line="360" w:lineRule="auto"/>
              <w:jc w:val="right"/>
              <w:rPr>
                <w:rFonts w:cs="Arial"/>
                <w:lang w:val="el-GR"/>
              </w:rPr>
            </w:pPr>
          </w:p>
        </w:tc>
        <w:tc>
          <w:tcPr>
            <w:tcW w:w="6094" w:type="dxa"/>
            <w:gridSpan w:val="2"/>
          </w:tcPr>
          <w:p w14:paraId="5F129C67" w14:textId="61D3E885" w:rsidR="00276666" w:rsidRPr="002D0104" w:rsidRDefault="00276666" w:rsidP="00BF2707">
            <w:pPr>
              <w:tabs>
                <w:tab w:val="clear" w:pos="567"/>
                <w:tab w:val="left" w:pos="624"/>
              </w:tabs>
              <w:spacing w:line="360" w:lineRule="auto"/>
              <w:rPr>
                <w:rFonts w:cs="Arial"/>
                <w:lang w:val="el-GR"/>
              </w:rPr>
            </w:pPr>
            <w:r w:rsidRPr="002D0104">
              <w:rPr>
                <w:rFonts w:cs="Arial"/>
                <w:lang w:val="el-GR"/>
              </w:rPr>
              <w:t>«(3)</w:t>
            </w:r>
            <w:r w:rsidR="00701C63">
              <w:rPr>
                <w:rFonts w:cs="Arial"/>
                <w:lang w:val="el-GR"/>
              </w:rPr>
              <w:tab/>
            </w:r>
            <w:r w:rsidRPr="002D0104">
              <w:rPr>
                <w:rFonts w:cs="Arial"/>
                <w:lang w:val="el-GR"/>
              </w:rPr>
              <w:t>Ο Υπουργός κατά τον καθορισμό των ανώτατων τιμών που αναφέρονται στο εδάφιο (1) λαμβάνει υπόψη-</w:t>
            </w:r>
          </w:p>
        </w:tc>
      </w:tr>
      <w:tr w:rsidR="00AD27B8" w:rsidRPr="00B62EE0" w14:paraId="778F98B3" w14:textId="77777777" w:rsidTr="00BF2707">
        <w:tc>
          <w:tcPr>
            <w:tcW w:w="2051" w:type="dxa"/>
          </w:tcPr>
          <w:p w14:paraId="725387E5" w14:textId="77777777" w:rsidR="00AD27B8" w:rsidRPr="002D0104" w:rsidRDefault="00AD27B8" w:rsidP="002D0104">
            <w:pPr>
              <w:spacing w:line="360" w:lineRule="auto"/>
              <w:jc w:val="left"/>
              <w:rPr>
                <w:rFonts w:cs="Arial"/>
                <w:lang w:val="el-GR"/>
              </w:rPr>
            </w:pPr>
          </w:p>
        </w:tc>
        <w:tc>
          <w:tcPr>
            <w:tcW w:w="926" w:type="dxa"/>
          </w:tcPr>
          <w:p w14:paraId="0991453F" w14:textId="77777777" w:rsidR="00AD27B8" w:rsidRPr="002D0104" w:rsidRDefault="00AD27B8" w:rsidP="002D0104">
            <w:pPr>
              <w:tabs>
                <w:tab w:val="clear" w:pos="567"/>
                <w:tab w:val="left" w:pos="318"/>
              </w:tabs>
              <w:spacing w:line="360" w:lineRule="auto"/>
              <w:jc w:val="right"/>
              <w:rPr>
                <w:rFonts w:cs="Arial"/>
                <w:lang w:val="el-GR"/>
              </w:rPr>
            </w:pPr>
          </w:p>
        </w:tc>
        <w:tc>
          <w:tcPr>
            <w:tcW w:w="6094" w:type="dxa"/>
            <w:gridSpan w:val="2"/>
          </w:tcPr>
          <w:p w14:paraId="251A287A" w14:textId="77777777" w:rsidR="00AD27B8" w:rsidRPr="002D0104" w:rsidRDefault="00AD27B8" w:rsidP="006767EE">
            <w:pPr>
              <w:tabs>
                <w:tab w:val="clear" w:pos="567"/>
                <w:tab w:val="left" w:pos="858"/>
              </w:tabs>
              <w:spacing w:line="360" w:lineRule="auto"/>
              <w:rPr>
                <w:rFonts w:cs="Arial"/>
                <w:lang w:val="el-GR"/>
              </w:rPr>
            </w:pPr>
          </w:p>
        </w:tc>
      </w:tr>
      <w:tr w:rsidR="006767EE" w:rsidRPr="00B62EE0" w14:paraId="5193FFF6" w14:textId="77777777" w:rsidTr="00BF2707">
        <w:tc>
          <w:tcPr>
            <w:tcW w:w="2051" w:type="dxa"/>
          </w:tcPr>
          <w:p w14:paraId="43020C23" w14:textId="77777777" w:rsidR="006767EE" w:rsidRPr="002D0104" w:rsidRDefault="006767EE" w:rsidP="002D0104">
            <w:pPr>
              <w:spacing w:line="360" w:lineRule="auto"/>
              <w:jc w:val="left"/>
              <w:rPr>
                <w:rFonts w:cs="Arial"/>
                <w:lang w:val="el-GR"/>
              </w:rPr>
            </w:pPr>
          </w:p>
        </w:tc>
        <w:tc>
          <w:tcPr>
            <w:tcW w:w="926" w:type="dxa"/>
          </w:tcPr>
          <w:p w14:paraId="40987634" w14:textId="77777777" w:rsidR="006767EE" w:rsidRPr="002D0104" w:rsidRDefault="006767EE" w:rsidP="002D0104">
            <w:pPr>
              <w:tabs>
                <w:tab w:val="clear" w:pos="567"/>
                <w:tab w:val="left" w:pos="318"/>
              </w:tabs>
              <w:spacing w:line="360" w:lineRule="auto"/>
              <w:jc w:val="right"/>
              <w:rPr>
                <w:rFonts w:cs="Arial"/>
                <w:lang w:val="el-GR"/>
              </w:rPr>
            </w:pPr>
          </w:p>
        </w:tc>
        <w:tc>
          <w:tcPr>
            <w:tcW w:w="1134" w:type="dxa"/>
          </w:tcPr>
          <w:p w14:paraId="5CD0881D" w14:textId="1DFBE6DF" w:rsidR="006767EE" w:rsidRPr="002D0104" w:rsidRDefault="006767EE" w:rsidP="00AD27B8">
            <w:pPr>
              <w:tabs>
                <w:tab w:val="clear" w:pos="567"/>
                <w:tab w:val="left" w:pos="318"/>
              </w:tabs>
              <w:spacing w:line="360" w:lineRule="auto"/>
              <w:jc w:val="right"/>
              <w:rPr>
                <w:rFonts w:cs="Arial"/>
                <w:lang w:val="el-GR"/>
              </w:rPr>
            </w:pPr>
            <w:r w:rsidRPr="002D0104">
              <w:rPr>
                <w:rFonts w:cs="Arial"/>
                <w:lang w:val="el-GR"/>
              </w:rPr>
              <w:t>(α)</w:t>
            </w:r>
          </w:p>
        </w:tc>
        <w:tc>
          <w:tcPr>
            <w:tcW w:w="4960" w:type="dxa"/>
          </w:tcPr>
          <w:p w14:paraId="33FB7A6A" w14:textId="4DEDF036" w:rsidR="006767EE" w:rsidRPr="002D0104" w:rsidRDefault="006767EE" w:rsidP="002D0104">
            <w:pPr>
              <w:tabs>
                <w:tab w:val="clear" w:pos="567"/>
                <w:tab w:val="left" w:pos="318"/>
              </w:tabs>
              <w:spacing w:line="360" w:lineRule="auto"/>
              <w:rPr>
                <w:rFonts w:cs="Arial"/>
                <w:lang w:val="el-GR"/>
              </w:rPr>
            </w:pPr>
            <w:r w:rsidRPr="002D0104">
              <w:rPr>
                <w:rFonts w:cs="Arial"/>
                <w:lang w:val="el-GR"/>
              </w:rPr>
              <w:t>τις τιμές εισαγωγής των πετρελαιοειδών∙</w:t>
            </w:r>
          </w:p>
        </w:tc>
      </w:tr>
      <w:tr w:rsidR="00AD27B8" w:rsidRPr="00B62EE0" w14:paraId="427DDC3A" w14:textId="77777777" w:rsidTr="00BF2707">
        <w:tc>
          <w:tcPr>
            <w:tcW w:w="2051" w:type="dxa"/>
          </w:tcPr>
          <w:p w14:paraId="1A50F176" w14:textId="77777777" w:rsidR="00AD27B8" w:rsidRPr="002D0104" w:rsidRDefault="00AD27B8" w:rsidP="002D0104">
            <w:pPr>
              <w:spacing w:line="360" w:lineRule="auto"/>
              <w:jc w:val="left"/>
              <w:rPr>
                <w:rFonts w:cs="Arial"/>
                <w:lang w:val="el-GR"/>
              </w:rPr>
            </w:pPr>
          </w:p>
        </w:tc>
        <w:tc>
          <w:tcPr>
            <w:tcW w:w="926" w:type="dxa"/>
          </w:tcPr>
          <w:p w14:paraId="2E4C0287" w14:textId="77777777" w:rsidR="00AD27B8" w:rsidRPr="002D0104" w:rsidRDefault="00AD27B8" w:rsidP="002D0104">
            <w:pPr>
              <w:tabs>
                <w:tab w:val="clear" w:pos="567"/>
                <w:tab w:val="left" w:pos="318"/>
              </w:tabs>
              <w:spacing w:line="360" w:lineRule="auto"/>
              <w:jc w:val="right"/>
              <w:rPr>
                <w:rFonts w:cs="Arial"/>
                <w:lang w:val="el-GR"/>
              </w:rPr>
            </w:pPr>
          </w:p>
        </w:tc>
        <w:tc>
          <w:tcPr>
            <w:tcW w:w="1134" w:type="dxa"/>
          </w:tcPr>
          <w:p w14:paraId="3509B389" w14:textId="77777777" w:rsidR="00AD27B8" w:rsidRPr="002D0104" w:rsidRDefault="00AD27B8" w:rsidP="00AD27B8">
            <w:pPr>
              <w:tabs>
                <w:tab w:val="clear" w:pos="567"/>
                <w:tab w:val="left" w:pos="318"/>
              </w:tabs>
              <w:spacing w:line="360" w:lineRule="auto"/>
              <w:jc w:val="right"/>
              <w:rPr>
                <w:rFonts w:cs="Arial"/>
                <w:lang w:val="el-GR"/>
              </w:rPr>
            </w:pPr>
          </w:p>
        </w:tc>
        <w:tc>
          <w:tcPr>
            <w:tcW w:w="4960" w:type="dxa"/>
          </w:tcPr>
          <w:p w14:paraId="503954FA" w14:textId="77777777" w:rsidR="00AD27B8" w:rsidRPr="002D0104" w:rsidRDefault="00AD27B8" w:rsidP="002D0104">
            <w:pPr>
              <w:tabs>
                <w:tab w:val="clear" w:pos="567"/>
                <w:tab w:val="left" w:pos="318"/>
              </w:tabs>
              <w:spacing w:line="360" w:lineRule="auto"/>
              <w:rPr>
                <w:rFonts w:cs="Arial"/>
                <w:lang w:val="el-GR"/>
              </w:rPr>
            </w:pPr>
          </w:p>
        </w:tc>
      </w:tr>
      <w:tr w:rsidR="006767EE" w:rsidRPr="00B62EE0" w14:paraId="673B969F" w14:textId="77777777" w:rsidTr="00BF2707">
        <w:tc>
          <w:tcPr>
            <w:tcW w:w="2051" w:type="dxa"/>
          </w:tcPr>
          <w:p w14:paraId="5BAF3A3A" w14:textId="77777777" w:rsidR="006767EE" w:rsidRPr="002D0104" w:rsidRDefault="006767EE" w:rsidP="002D0104">
            <w:pPr>
              <w:spacing w:line="360" w:lineRule="auto"/>
              <w:jc w:val="left"/>
              <w:rPr>
                <w:rFonts w:cs="Arial"/>
                <w:lang w:val="el-GR"/>
              </w:rPr>
            </w:pPr>
          </w:p>
        </w:tc>
        <w:tc>
          <w:tcPr>
            <w:tcW w:w="926" w:type="dxa"/>
          </w:tcPr>
          <w:p w14:paraId="6C59A9A5" w14:textId="77777777" w:rsidR="006767EE" w:rsidRPr="002D0104" w:rsidRDefault="006767EE" w:rsidP="002D0104">
            <w:pPr>
              <w:tabs>
                <w:tab w:val="clear" w:pos="567"/>
                <w:tab w:val="left" w:pos="318"/>
              </w:tabs>
              <w:spacing w:line="360" w:lineRule="auto"/>
              <w:jc w:val="right"/>
              <w:rPr>
                <w:rFonts w:cs="Arial"/>
                <w:lang w:val="el-GR"/>
              </w:rPr>
            </w:pPr>
          </w:p>
        </w:tc>
        <w:tc>
          <w:tcPr>
            <w:tcW w:w="1134" w:type="dxa"/>
          </w:tcPr>
          <w:p w14:paraId="46CE1255" w14:textId="7AD1DD54" w:rsidR="006767EE" w:rsidRPr="002D0104" w:rsidRDefault="006767EE" w:rsidP="00AD27B8">
            <w:pPr>
              <w:tabs>
                <w:tab w:val="clear" w:pos="567"/>
                <w:tab w:val="left" w:pos="318"/>
              </w:tabs>
              <w:spacing w:line="360" w:lineRule="auto"/>
              <w:jc w:val="right"/>
              <w:rPr>
                <w:rFonts w:cs="Arial"/>
                <w:lang w:val="el-GR"/>
              </w:rPr>
            </w:pPr>
            <w:r w:rsidRPr="002D0104">
              <w:rPr>
                <w:rFonts w:cs="Arial"/>
                <w:lang w:val="el-GR"/>
              </w:rPr>
              <w:t>(β)</w:t>
            </w:r>
          </w:p>
        </w:tc>
        <w:tc>
          <w:tcPr>
            <w:tcW w:w="4960" w:type="dxa"/>
          </w:tcPr>
          <w:p w14:paraId="6AA2163A" w14:textId="575D927A" w:rsidR="006767EE" w:rsidRPr="002D0104" w:rsidRDefault="006767EE" w:rsidP="002D0104">
            <w:pPr>
              <w:tabs>
                <w:tab w:val="clear" w:pos="567"/>
                <w:tab w:val="left" w:pos="318"/>
              </w:tabs>
              <w:spacing w:line="360" w:lineRule="auto"/>
              <w:rPr>
                <w:rFonts w:cs="Arial"/>
                <w:lang w:val="el-GR"/>
              </w:rPr>
            </w:pPr>
            <w:r w:rsidRPr="002D0104">
              <w:rPr>
                <w:rFonts w:cs="Arial"/>
                <w:lang w:val="el-GR"/>
              </w:rPr>
              <w:t>τα περιθώρια κέρδους των εταιρειών πετρελαιοειδών, των διανομέων και των πρατηριούχων∙</w:t>
            </w:r>
            <w:r>
              <w:rPr>
                <w:rFonts w:cs="Arial"/>
                <w:lang w:val="el-GR"/>
              </w:rPr>
              <w:t xml:space="preserve"> </w:t>
            </w:r>
            <w:r w:rsidRPr="002D0104">
              <w:rPr>
                <w:rFonts w:cs="Arial"/>
                <w:lang w:val="el-GR"/>
              </w:rPr>
              <w:t>και</w:t>
            </w:r>
          </w:p>
        </w:tc>
      </w:tr>
      <w:tr w:rsidR="00AD27B8" w:rsidRPr="00B62EE0" w14:paraId="47F95E42" w14:textId="77777777" w:rsidTr="00BF2707">
        <w:tc>
          <w:tcPr>
            <w:tcW w:w="2051" w:type="dxa"/>
          </w:tcPr>
          <w:p w14:paraId="34C92AF2" w14:textId="77777777" w:rsidR="00AD27B8" w:rsidRPr="002D0104" w:rsidRDefault="00AD27B8" w:rsidP="002D0104">
            <w:pPr>
              <w:spacing w:line="360" w:lineRule="auto"/>
              <w:jc w:val="left"/>
              <w:rPr>
                <w:rFonts w:cs="Arial"/>
                <w:lang w:val="el-GR"/>
              </w:rPr>
            </w:pPr>
          </w:p>
        </w:tc>
        <w:tc>
          <w:tcPr>
            <w:tcW w:w="926" w:type="dxa"/>
          </w:tcPr>
          <w:p w14:paraId="24814C80" w14:textId="77777777" w:rsidR="00AD27B8" w:rsidRPr="002D0104" w:rsidRDefault="00AD27B8" w:rsidP="002D0104">
            <w:pPr>
              <w:tabs>
                <w:tab w:val="clear" w:pos="567"/>
                <w:tab w:val="left" w:pos="318"/>
              </w:tabs>
              <w:spacing w:line="360" w:lineRule="auto"/>
              <w:jc w:val="right"/>
              <w:rPr>
                <w:rFonts w:cs="Arial"/>
                <w:lang w:val="el-GR"/>
              </w:rPr>
            </w:pPr>
          </w:p>
        </w:tc>
        <w:tc>
          <w:tcPr>
            <w:tcW w:w="1134" w:type="dxa"/>
          </w:tcPr>
          <w:p w14:paraId="0F608206" w14:textId="77777777" w:rsidR="00AD27B8" w:rsidRPr="002D0104" w:rsidRDefault="00AD27B8" w:rsidP="00AD27B8">
            <w:pPr>
              <w:tabs>
                <w:tab w:val="clear" w:pos="567"/>
                <w:tab w:val="left" w:pos="318"/>
              </w:tabs>
              <w:spacing w:line="360" w:lineRule="auto"/>
              <w:jc w:val="right"/>
              <w:rPr>
                <w:rFonts w:cs="Arial"/>
                <w:lang w:val="el-GR"/>
              </w:rPr>
            </w:pPr>
          </w:p>
        </w:tc>
        <w:tc>
          <w:tcPr>
            <w:tcW w:w="4960" w:type="dxa"/>
          </w:tcPr>
          <w:p w14:paraId="0468EA83" w14:textId="77777777" w:rsidR="00AD27B8" w:rsidRPr="002D0104" w:rsidRDefault="00AD27B8" w:rsidP="002D0104">
            <w:pPr>
              <w:tabs>
                <w:tab w:val="clear" w:pos="567"/>
                <w:tab w:val="left" w:pos="318"/>
              </w:tabs>
              <w:spacing w:line="360" w:lineRule="auto"/>
              <w:rPr>
                <w:rFonts w:cs="Arial"/>
                <w:lang w:val="el-GR"/>
              </w:rPr>
            </w:pPr>
          </w:p>
        </w:tc>
      </w:tr>
      <w:tr w:rsidR="006767EE" w:rsidRPr="00B62EE0" w14:paraId="6177CACB" w14:textId="77777777" w:rsidTr="00BF2707">
        <w:tc>
          <w:tcPr>
            <w:tcW w:w="2051" w:type="dxa"/>
          </w:tcPr>
          <w:p w14:paraId="7376F432" w14:textId="77777777" w:rsidR="006767EE" w:rsidRPr="002D0104" w:rsidRDefault="006767EE" w:rsidP="002D0104">
            <w:pPr>
              <w:spacing w:line="360" w:lineRule="auto"/>
              <w:jc w:val="left"/>
              <w:rPr>
                <w:rFonts w:cs="Arial"/>
                <w:lang w:val="el-GR"/>
              </w:rPr>
            </w:pPr>
          </w:p>
        </w:tc>
        <w:tc>
          <w:tcPr>
            <w:tcW w:w="926" w:type="dxa"/>
          </w:tcPr>
          <w:p w14:paraId="35831C4C" w14:textId="77777777" w:rsidR="006767EE" w:rsidRPr="002D0104" w:rsidRDefault="006767EE" w:rsidP="002D0104">
            <w:pPr>
              <w:tabs>
                <w:tab w:val="clear" w:pos="567"/>
                <w:tab w:val="left" w:pos="318"/>
              </w:tabs>
              <w:spacing w:line="360" w:lineRule="auto"/>
              <w:jc w:val="right"/>
              <w:rPr>
                <w:rFonts w:cs="Arial"/>
                <w:lang w:val="el-GR"/>
              </w:rPr>
            </w:pPr>
          </w:p>
        </w:tc>
        <w:tc>
          <w:tcPr>
            <w:tcW w:w="1134" w:type="dxa"/>
          </w:tcPr>
          <w:p w14:paraId="01E16C73" w14:textId="6B1A98DF" w:rsidR="006767EE" w:rsidRPr="002D0104" w:rsidRDefault="006767EE" w:rsidP="00AD27B8">
            <w:pPr>
              <w:tabs>
                <w:tab w:val="clear" w:pos="567"/>
                <w:tab w:val="left" w:pos="318"/>
              </w:tabs>
              <w:spacing w:line="360" w:lineRule="auto"/>
              <w:jc w:val="right"/>
              <w:rPr>
                <w:rFonts w:cs="Arial"/>
                <w:lang w:val="el-GR"/>
              </w:rPr>
            </w:pPr>
            <w:r w:rsidRPr="002D0104">
              <w:rPr>
                <w:rFonts w:cs="Arial"/>
                <w:lang w:val="el-GR"/>
              </w:rPr>
              <w:t>(γ)</w:t>
            </w:r>
          </w:p>
        </w:tc>
        <w:tc>
          <w:tcPr>
            <w:tcW w:w="4960" w:type="dxa"/>
          </w:tcPr>
          <w:p w14:paraId="400A2D47" w14:textId="7ED0A739" w:rsidR="006767EE" w:rsidRPr="002D0104" w:rsidRDefault="006767EE" w:rsidP="002D0104">
            <w:pPr>
              <w:tabs>
                <w:tab w:val="clear" w:pos="567"/>
                <w:tab w:val="left" w:pos="318"/>
              </w:tabs>
              <w:spacing w:line="360" w:lineRule="auto"/>
              <w:rPr>
                <w:rFonts w:cs="Arial"/>
                <w:lang w:val="el-GR"/>
              </w:rPr>
            </w:pPr>
            <w:r>
              <w:rPr>
                <w:rFonts w:cs="Arial"/>
                <w:lang w:val="el-GR"/>
              </w:rPr>
              <w:t xml:space="preserve">τις </w:t>
            </w:r>
            <w:r w:rsidRPr="002D0104">
              <w:rPr>
                <w:rFonts w:cs="Arial"/>
                <w:lang w:val="el-GR"/>
              </w:rPr>
              <w:t>ενδεχόμενες ιδιαίτερα δύσκολες οικονομικές συνθήκες που επιβάλ</w:t>
            </w:r>
            <w:r>
              <w:rPr>
                <w:rFonts w:cs="Arial"/>
                <w:lang w:val="el-GR"/>
              </w:rPr>
              <w:t>λ</w:t>
            </w:r>
            <w:r w:rsidRPr="002D0104">
              <w:rPr>
                <w:rFonts w:cs="Arial"/>
                <w:lang w:val="el-GR"/>
              </w:rPr>
              <w:t xml:space="preserve">ουν συγκράτηση της αύξησης των τιμών σε βασικά καταναλωτικά προϊόντα για σκοπούς προστασίας των καταναλωτών.». </w:t>
            </w:r>
          </w:p>
        </w:tc>
      </w:tr>
      <w:tr w:rsidR="000963CB" w:rsidRPr="00B62EE0" w14:paraId="33A38216" w14:textId="77777777" w:rsidTr="00BF2707">
        <w:tc>
          <w:tcPr>
            <w:tcW w:w="2051" w:type="dxa"/>
          </w:tcPr>
          <w:p w14:paraId="5137E5BC" w14:textId="77777777" w:rsidR="000963CB" w:rsidRPr="002D0104" w:rsidRDefault="000963CB" w:rsidP="002D0104">
            <w:pPr>
              <w:spacing w:line="360" w:lineRule="auto"/>
              <w:jc w:val="left"/>
              <w:rPr>
                <w:rFonts w:cs="Arial"/>
                <w:lang w:val="el-GR"/>
              </w:rPr>
            </w:pPr>
          </w:p>
        </w:tc>
        <w:tc>
          <w:tcPr>
            <w:tcW w:w="926" w:type="dxa"/>
          </w:tcPr>
          <w:p w14:paraId="68753530" w14:textId="77777777" w:rsidR="000963CB" w:rsidRPr="002D0104" w:rsidRDefault="000963CB" w:rsidP="002D0104">
            <w:pPr>
              <w:tabs>
                <w:tab w:val="clear" w:pos="567"/>
                <w:tab w:val="left" w:pos="318"/>
              </w:tabs>
              <w:spacing w:line="360" w:lineRule="auto"/>
              <w:jc w:val="right"/>
              <w:rPr>
                <w:rFonts w:cs="Arial"/>
                <w:lang w:val="el-GR"/>
              </w:rPr>
            </w:pPr>
          </w:p>
        </w:tc>
        <w:tc>
          <w:tcPr>
            <w:tcW w:w="1134" w:type="dxa"/>
          </w:tcPr>
          <w:p w14:paraId="73864EBF" w14:textId="77777777" w:rsidR="000963CB" w:rsidRPr="002D0104" w:rsidRDefault="000963CB" w:rsidP="00AD27B8">
            <w:pPr>
              <w:tabs>
                <w:tab w:val="clear" w:pos="567"/>
                <w:tab w:val="left" w:pos="318"/>
              </w:tabs>
              <w:spacing w:line="360" w:lineRule="auto"/>
              <w:jc w:val="right"/>
              <w:rPr>
                <w:rFonts w:cs="Arial"/>
                <w:lang w:val="el-GR"/>
              </w:rPr>
            </w:pPr>
          </w:p>
        </w:tc>
        <w:tc>
          <w:tcPr>
            <w:tcW w:w="4960" w:type="dxa"/>
          </w:tcPr>
          <w:p w14:paraId="0287ED33" w14:textId="77777777" w:rsidR="000963CB" w:rsidRDefault="000963CB" w:rsidP="002D0104">
            <w:pPr>
              <w:tabs>
                <w:tab w:val="clear" w:pos="567"/>
                <w:tab w:val="left" w:pos="318"/>
              </w:tabs>
              <w:spacing w:line="360" w:lineRule="auto"/>
              <w:rPr>
                <w:rFonts w:cs="Arial"/>
                <w:lang w:val="el-GR"/>
              </w:rPr>
            </w:pPr>
          </w:p>
        </w:tc>
      </w:tr>
      <w:tr w:rsidR="000963CB" w:rsidRPr="00B62EE0" w14:paraId="385E95F4" w14:textId="77777777" w:rsidTr="008513DB">
        <w:tc>
          <w:tcPr>
            <w:tcW w:w="2051" w:type="dxa"/>
          </w:tcPr>
          <w:p w14:paraId="31EE13D9" w14:textId="1DC6E46F" w:rsidR="000963CB" w:rsidRPr="002D0104" w:rsidRDefault="000963CB" w:rsidP="002D0104">
            <w:pPr>
              <w:spacing w:line="360" w:lineRule="auto"/>
              <w:jc w:val="left"/>
              <w:rPr>
                <w:rFonts w:cs="Arial"/>
                <w:lang w:val="el-GR"/>
              </w:rPr>
            </w:pPr>
            <w:r>
              <w:rPr>
                <w:rFonts w:cs="Arial"/>
                <w:lang w:val="el-GR"/>
              </w:rPr>
              <w:t>Τροποποίηση του άρθρου 6 του βασικού νόμου.</w:t>
            </w:r>
          </w:p>
        </w:tc>
        <w:tc>
          <w:tcPr>
            <w:tcW w:w="7020" w:type="dxa"/>
            <w:gridSpan w:val="3"/>
          </w:tcPr>
          <w:p w14:paraId="0425C761" w14:textId="3B2D3A6F" w:rsidR="000963CB" w:rsidRDefault="000963CB" w:rsidP="000963CB">
            <w:pPr>
              <w:tabs>
                <w:tab w:val="clear" w:pos="567"/>
                <w:tab w:val="left" w:pos="392"/>
              </w:tabs>
              <w:spacing w:line="360" w:lineRule="auto"/>
              <w:rPr>
                <w:rFonts w:cs="Arial"/>
                <w:lang w:val="el-GR"/>
              </w:rPr>
            </w:pPr>
            <w:r>
              <w:rPr>
                <w:rFonts w:cs="Arial"/>
                <w:lang w:val="el-GR"/>
              </w:rPr>
              <w:t>3.</w:t>
            </w:r>
            <w:r>
              <w:rPr>
                <w:rFonts w:cs="Arial"/>
                <w:lang w:val="el-GR"/>
              </w:rPr>
              <w:tab/>
              <w:t xml:space="preserve">Το άρθρο 6 του βασικού νόμου τροποποιείται με την αντικατάσταση στην παράγραφο (γ) του εδαφίου (1) αυτού της φράσης «υπερβολικά ψηλότερο επίπεδο από ότι δικαιολογείται» (έκτη </w:t>
            </w:r>
            <w:r w:rsidR="0074678B">
              <w:rPr>
                <w:rFonts w:cs="Arial"/>
                <w:lang w:val="el-GR"/>
              </w:rPr>
              <w:t>και έβδομη</w:t>
            </w:r>
            <w:r>
              <w:rPr>
                <w:rFonts w:cs="Arial"/>
                <w:lang w:val="el-GR"/>
              </w:rPr>
              <w:t xml:space="preserve"> γραμμή), με τη φράση «πιο υψηλό επίπεδο από ό,τι δικαιολογείται».</w:t>
            </w:r>
          </w:p>
        </w:tc>
      </w:tr>
    </w:tbl>
    <w:p w14:paraId="2E1135EF" w14:textId="77777777" w:rsidR="00D379B4" w:rsidRPr="002D0104" w:rsidRDefault="00D379B4" w:rsidP="002D0104">
      <w:pPr>
        <w:spacing w:line="360" w:lineRule="auto"/>
        <w:rPr>
          <w:rFonts w:cs="Arial"/>
          <w:lang w:val="el-GR"/>
        </w:rPr>
      </w:pPr>
    </w:p>
    <w:p w14:paraId="2E1135F0" w14:textId="77777777" w:rsidR="00D379B4" w:rsidRPr="002D0104" w:rsidRDefault="00D379B4" w:rsidP="002D0104">
      <w:pPr>
        <w:spacing w:line="360" w:lineRule="auto"/>
        <w:rPr>
          <w:rFonts w:cs="Arial"/>
          <w:lang w:val="el-GR"/>
        </w:rPr>
      </w:pPr>
    </w:p>
    <w:p w14:paraId="2E1135F1" w14:textId="77777777" w:rsidR="003C7746" w:rsidRPr="002D0104" w:rsidRDefault="003C7746" w:rsidP="002D0104">
      <w:pPr>
        <w:spacing w:line="360" w:lineRule="auto"/>
        <w:rPr>
          <w:rFonts w:cs="Arial"/>
          <w:lang w:val="el-GR"/>
        </w:rPr>
      </w:pPr>
    </w:p>
    <w:p w14:paraId="2E1135F4" w14:textId="7F0D07B5" w:rsidR="003C7746" w:rsidRPr="002D0104" w:rsidRDefault="00FD4606" w:rsidP="002D0104">
      <w:pPr>
        <w:spacing w:line="360" w:lineRule="auto"/>
        <w:rPr>
          <w:rFonts w:cs="Arial"/>
          <w:lang w:val="el-GR"/>
        </w:rPr>
      </w:pPr>
      <w:r w:rsidRPr="002D0104">
        <w:rPr>
          <w:rFonts w:cs="Arial"/>
          <w:lang w:val="el-GR"/>
        </w:rPr>
        <w:t xml:space="preserve">Αρ. </w:t>
      </w:r>
      <w:proofErr w:type="spellStart"/>
      <w:r w:rsidRPr="002D0104">
        <w:rPr>
          <w:rFonts w:cs="Arial"/>
          <w:lang w:val="el-GR"/>
        </w:rPr>
        <w:t>Φακ</w:t>
      </w:r>
      <w:proofErr w:type="spellEnd"/>
      <w:r w:rsidRPr="002D0104">
        <w:rPr>
          <w:rFonts w:cs="Arial"/>
          <w:lang w:val="el-GR"/>
        </w:rPr>
        <w:t xml:space="preserve">.: </w:t>
      </w:r>
      <w:r w:rsidR="006767EE">
        <w:rPr>
          <w:rFonts w:cs="Arial"/>
          <w:lang w:val="el-GR"/>
        </w:rPr>
        <w:t xml:space="preserve"> </w:t>
      </w:r>
      <w:r w:rsidR="007362A0">
        <w:rPr>
          <w:rFonts w:cs="Arial"/>
          <w:lang w:val="el-GR"/>
        </w:rPr>
        <w:t>23.02.063.037-2022</w:t>
      </w:r>
    </w:p>
    <w:p w14:paraId="2E1135F5" w14:textId="52C8BCF5" w:rsidR="003C7746" w:rsidRDefault="0095025F" w:rsidP="002D0104">
      <w:pPr>
        <w:spacing w:line="360" w:lineRule="auto"/>
        <w:rPr>
          <w:rFonts w:cs="Arial"/>
          <w:lang w:val="el-GR"/>
        </w:rPr>
      </w:pPr>
      <w:r w:rsidRPr="002D0104">
        <w:rPr>
          <w:rFonts w:cs="Arial"/>
          <w:lang w:val="el-GR"/>
        </w:rPr>
        <w:t>ΑΟΛ</w:t>
      </w:r>
      <w:r w:rsidR="004A5CD2" w:rsidRPr="002D0104">
        <w:rPr>
          <w:rFonts w:cs="Arial"/>
          <w:lang w:val="el-GR"/>
        </w:rPr>
        <w:t>/</w:t>
      </w:r>
      <w:r w:rsidR="006767EE">
        <w:rPr>
          <w:rFonts w:cs="Arial"/>
          <w:lang w:val="el-GR"/>
        </w:rPr>
        <w:t>ΓΧ/</w:t>
      </w:r>
      <w:r w:rsidR="00701C63">
        <w:rPr>
          <w:rFonts w:cs="Arial"/>
          <w:lang w:val="el-GR"/>
        </w:rPr>
        <w:t>ΧΧ</w:t>
      </w:r>
    </w:p>
    <w:p w14:paraId="652DE953" w14:textId="77777777" w:rsidR="00701C63" w:rsidRPr="002D0104" w:rsidRDefault="00701C63" w:rsidP="002D0104">
      <w:pPr>
        <w:spacing w:line="360" w:lineRule="auto"/>
        <w:rPr>
          <w:rFonts w:cs="Arial"/>
          <w:lang w:val="el-GR"/>
        </w:rPr>
      </w:pPr>
      <w:bookmarkStart w:id="0" w:name="_GoBack"/>
      <w:bookmarkEnd w:id="0"/>
    </w:p>
    <w:sectPr w:rsidR="00701C63" w:rsidRPr="002D0104" w:rsidSect="00487B84">
      <w:headerReference w:type="even" r:id="rId7"/>
      <w:headerReference w:type="default" r:id="rId8"/>
      <w:pgSz w:w="11907" w:h="16840" w:code="9"/>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232B" w14:textId="77777777" w:rsidR="00370867" w:rsidRDefault="00370867">
      <w:pPr>
        <w:spacing w:line="240" w:lineRule="auto"/>
      </w:pPr>
      <w:r>
        <w:separator/>
      </w:r>
    </w:p>
  </w:endnote>
  <w:endnote w:type="continuationSeparator" w:id="0">
    <w:p w14:paraId="100A47FE" w14:textId="77777777" w:rsidR="00370867" w:rsidRDefault="00370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E5E2" w14:textId="77777777" w:rsidR="00370867" w:rsidRDefault="00370867">
      <w:pPr>
        <w:spacing w:line="240" w:lineRule="auto"/>
      </w:pPr>
      <w:r>
        <w:separator/>
      </w:r>
    </w:p>
  </w:footnote>
  <w:footnote w:type="continuationSeparator" w:id="0">
    <w:p w14:paraId="76E2ECAC" w14:textId="77777777" w:rsidR="00370867" w:rsidRDefault="00370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3616"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end"/>
    </w:r>
  </w:p>
  <w:p w14:paraId="2E113617" w14:textId="77777777" w:rsidR="00795A78" w:rsidRDefault="00C97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3618"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separate"/>
    </w:r>
    <w:r w:rsidR="00544D06">
      <w:rPr>
        <w:rStyle w:val="PageNumber"/>
        <w:noProof/>
      </w:rPr>
      <w:t>3</w:t>
    </w:r>
    <w:r>
      <w:rPr>
        <w:rStyle w:val="PageNumber"/>
      </w:rPr>
      <w:fldChar w:fldCharType="end"/>
    </w:r>
  </w:p>
  <w:p w14:paraId="2E113619" w14:textId="77777777" w:rsidR="00795A78" w:rsidRDefault="00C97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D771D"/>
    <w:multiLevelType w:val="hybridMultilevel"/>
    <w:tmpl w:val="8BB6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EC37028"/>
    <w:multiLevelType w:val="multilevel"/>
    <w:tmpl w:val="F3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A"/>
    <w:rsid w:val="00007E3C"/>
    <w:rsid w:val="000537D8"/>
    <w:rsid w:val="00066579"/>
    <w:rsid w:val="00076194"/>
    <w:rsid w:val="00081DE1"/>
    <w:rsid w:val="0009263C"/>
    <w:rsid w:val="000963CB"/>
    <w:rsid w:val="000A2A50"/>
    <w:rsid w:val="000A7F6B"/>
    <w:rsid w:val="000B6BB7"/>
    <w:rsid w:val="000D07D1"/>
    <w:rsid w:val="000F1159"/>
    <w:rsid w:val="00116A70"/>
    <w:rsid w:val="00131DA4"/>
    <w:rsid w:val="00132BA8"/>
    <w:rsid w:val="00134458"/>
    <w:rsid w:val="00141551"/>
    <w:rsid w:val="00174339"/>
    <w:rsid w:val="00181308"/>
    <w:rsid w:val="00192F11"/>
    <w:rsid w:val="0019507C"/>
    <w:rsid w:val="001A4B92"/>
    <w:rsid w:val="001B6EFA"/>
    <w:rsid w:val="001C178E"/>
    <w:rsid w:val="001E2988"/>
    <w:rsid w:val="001E2E19"/>
    <w:rsid w:val="001F2ADA"/>
    <w:rsid w:val="002050C2"/>
    <w:rsid w:val="00207D0B"/>
    <w:rsid w:val="0021759B"/>
    <w:rsid w:val="00242FF2"/>
    <w:rsid w:val="002619EE"/>
    <w:rsid w:val="00272362"/>
    <w:rsid w:val="00276666"/>
    <w:rsid w:val="00292BF5"/>
    <w:rsid w:val="002C70A8"/>
    <w:rsid w:val="002D0104"/>
    <w:rsid w:val="002E1478"/>
    <w:rsid w:val="002F0552"/>
    <w:rsid w:val="003225B0"/>
    <w:rsid w:val="0034510E"/>
    <w:rsid w:val="00361903"/>
    <w:rsid w:val="0036784B"/>
    <w:rsid w:val="00370867"/>
    <w:rsid w:val="003718E0"/>
    <w:rsid w:val="00385AFE"/>
    <w:rsid w:val="00392D1F"/>
    <w:rsid w:val="003948DD"/>
    <w:rsid w:val="003A0C16"/>
    <w:rsid w:val="003A3552"/>
    <w:rsid w:val="003B275C"/>
    <w:rsid w:val="003B2A28"/>
    <w:rsid w:val="003C7746"/>
    <w:rsid w:val="0040564E"/>
    <w:rsid w:val="0043189F"/>
    <w:rsid w:val="00436830"/>
    <w:rsid w:val="00460973"/>
    <w:rsid w:val="0048535E"/>
    <w:rsid w:val="004A5CD2"/>
    <w:rsid w:val="004B3314"/>
    <w:rsid w:val="004D54A5"/>
    <w:rsid w:val="004E1042"/>
    <w:rsid w:val="00522FA9"/>
    <w:rsid w:val="00541111"/>
    <w:rsid w:val="00542D57"/>
    <w:rsid w:val="00544D06"/>
    <w:rsid w:val="00555BC6"/>
    <w:rsid w:val="005567C9"/>
    <w:rsid w:val="005628BF"/>
    <w:rsid w:val="00570AF3"/>
    <w:rsid w:val="00597F47"/>
    <w:rsid w:val="005C2859"/>
    <w:rsid w:val="005C571D"/>
    <w:rsid w:val="005D35B5"/>
    <w:rsid w:val="005D410A"/>
    <w:rsid w:val="006022ED"/>
    <w:rsid w:val="00606C78"/>
    <w:rsid w:val="006254A4"/>
    <w:rsid w:val="006273F9"/>
    <w:rsid w:val="00631968"/>
    <w:rsid w:val="006345EA"/>
    <w:rsid w:val="00644C77"/>
    <w:rsid w:val="006474C9"/>
    <w:rsid w:val="00667329"/>
    <w:rsid w:val="00671298"/>
    <w:rsid w:val="006767EE"/>
    <w:rsid w:val="0067745E"/>
    <w:rsid w:val="0069038F"/>
    <w:rsid w:val="00696481"/>
    <w:rsid w:val="00697FC8"/>
    <w:rsid w:val="006A7525"/>
    <w:rsid w:val="006D4FD5"/>
    <w:rsid w:val="006E1B2B"/>
    <w:rsid w:val="006F0E33"/>
    <w:rsid w:val="006F3853"/>
    <w:rsid w:val="00701C63"/>
    <w:rsid w:val="00704656"/>
    <w:rsid w:val="007168AC"/>
    <w:rsid w:val="007253A4"/>
    <w:rsid w:val="007362A0"/>
    <w:rsid w:val="0074678B"/>
    <w:rsid w:val="0075495A"/>
    <w:rsid w:val="00765B57"/>
    <w:rsid w:val="007714D2"/>
    <w:rsid w:val="007813D2"/>
    <w:rsid w:val="00782E74"/>
    <w:rsid w:val="00787700"/>
    <w:rsid w:val="00792E3D"/>
    <w:rsid w:val="007B3CAD"/>
    <w:rsid w:val="007B746A"/>
    <w:rsid w:val="007C03F7"/>
    <w:rsid w:val="007D06A8"/>
    <w:rsid w:val="007D256C"/>
    <w:rsid w:val="007E2BAD"/>
    <w:rsid w:val="008137AB"/>
    <w:rsid w:val="0082063A"/>
    <w:rsid w:val="00840664"/>
    <w:rsid w:val="00851F6D"/>
    <w:rsid w:val="00860DAE"/>
    <w:rsid w:val="00861E11"/>
    <w:rsid w:val="00864D1A"/>
    <w:rsid w:val="008658D9"/>
    <w:rsid w:val="008D1E35"/>
    <w:rsid w:val="008E53F7"/>
    <w:rsid w:val="008E6995"/>
    <w:rsid w:val="008F7537"/>
    <w:rsid w:val="009059F7"/>
    <w:rsid w:val="00921249"/>
    <w:rsid w:val="009242CE"/>
    <w:rsid w:val="00930A4B"/>
    <w:rsid w:val="00941544"/>
    <w:rsid w:val="0095025F"/>
    <w:rsid w:val="00950FBE"/>
    <w:rsid w:val="0097696A"/>
    <w:rsid w:val="009A15E8"/>
    <w:rsid w:val="009A586D"/>
    <w:rsid w:val="009C707E"/>
    <w:rsid w:val="009D2C37"/>
    <w:rsid w:val="009D334B"/>
    <w:rsid w:val="009E61D2"/>
    <w:rsid w:val="00A338E6"/>
    <w:rsid w:val="00A35E19"/>
    <w:rsid w:val="00A462A0"/>
    <w:rsid w:val="00A62A7B"/>
    <w:rsid w:val="00A6461C"/>
    <w:rsid w:val="00AB6061"/>
    <w:rsid w:val="00AD27B8"/>
    <w:rsid w:val="00AD41A1"/>
    <w:rsid w:val="00B22F95"/>
    <w:rsid w:val="00B57AD2"/>
    <w:rsid w:val="00B62EE0"/>
    <w:rsid w:val="00B64F95"/>
    <w:rsid w:val="00B65004"/>
    <w:rsid w:val="00B86F3C"/>
    <w:rsid w:val="00B91518"/>
    <w:rsid w:val="00BA7650"/>
    <w:rsid w:val="00BA7CE8"/>
    <w:rsid w:val="00BD2F0C"/>
    <w:rsid w:val="00BE03F2"/>
    <w:rsid w:val="00BE7DE8"/>
    <w:rsid w:val="00BF1100"/>
    <w:rsid w:val="00BF2707"/>
    <w:rsid w:val="00BF7693"/>
    <w:rsid w:val="00C138FF"/>
    <w:rsid w:val="00C50ED7"/>
    <w:rsid w:val="00C55388"/>
    <w:rsid w:val="00C5746C"/>
    <w:rsid w:val="00C71361"/>
    <w:rsid w:val="00C87D81"/>
    <w:rsid w:val="00CA0AD2"/>
    <w:rsid w:val="00CA1CA1"/>
    <w:rsid w:val="00CA75A7"/>
    <w:rsid w:val="00CE21F6"/>
    <w:rsid w:val="00CF30EC"/>
    <w:rsid w:val="00D1040B"/>
    <w:rsid w:val="00D14273"/>
    <w:rsid w:val="00D36C52"/>
    <w:rsid w:val="00D37580"/>
    <w:rsid w:val="00D379B4"/>
    <w:rsid w:val="00D577D0"/>
    <w:rsid w:val="00D65555"/>
    <w:rsid w:val="00D93F25"/>
    <w:rsid w:val="00DC0E15"/>
    <w:rsid w:val="00DD0613"/>
    <w:rsid w:val="00DF4CBD"/>
    <w:rsid w:val="00E12199"/>
    <w:rsid w:val="00E159D7"/>
    <w:rsid w:val="00E17ED1"/>
    <w:rsid w:val="00E209BB"/>
    <w:rsid w:val="00E42F4D"/>
    <w:rsid w:val="00E51186"/>
    <w:rsid w:val="00E51567"/>
    <w:rsid w:val="00E5682D"/>
    <w:rsid w:val="00E70545"/>
    <w:rsid w:val="00E86D03"/>
    <w:rsid w:val="00E875AF"/>
    <w:rsid w:val="00EC72C4"/>
    <w:rsid w:val="00ED5331"/>
    <w:rsid w:val="00EE46A1"/>
    <w:rsid w:val="00EE49AC"/>
    <w:rsid w:val="00EF055E"/>
    <w:rsid w:val="00EF1EBB"/>
    <w:rsid w:val="00EF5D70"/>
    <w:rsid w:val="00F01B26"/>
    <w:rsid w:val="00F0440F"/>
    <w:rsid w:val="00F06EAC"/>
    <w:rsid w:val="00F133AA"/>
    <w:rsid w:val="00F164A5"/>
    <w:rsid w:val="00F4022E"/>
    <w:rsid w:val="00F643B5"/>
    <w:rsid w:val="00F744A4"/>
    <w:rsid w:val="00F755BE"/>
    <w:rsid w:val="00F846AC"/>
    <w:rsid w:val="00F927BC"/>
    <w:rsid w:val="00F92B6E"/>
    <w:rsid w:val="00FB568C"/>
    <w:rsid w:val="00FC54D7"/>
    <w:rsid w:val="00FD46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596"/>
  <w15:docId w15:val="{5D0DC418-02E5-49D2-8272-6EEA8D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A"/>
    <w:pPr>
      <w:widowControl w:val="0"/>
      <w:tabs>
        <w:tab w:val="left" w:pos="567"/>
        <w:tab w:val="left" w:pos="4961"/>
      </w:tabs>
      <w:spacing w:after="0" w:line="480" w:lineRule="auto"/>
      <w:jc w:val="both"/>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63A"/>
    <w:pPr>
      <w:tabs>
        <w:tab w:val="clear" w:pos="567"/>
        <w:tab w:val="clear" w:pos="4961"/>
        <w:tab w:val="center" w:pos="4320"/>
        <w:tab w:val="right" w:pos="8640"/>
      </w:tabs>
    </w:pPr>
  </w:style>
  <w:style w:type="character" w:customStyle="1" w:styleId="HeaderChar">
    <w:name w:val="Header Char"/>
    <w:basedOn w:val="DefaultParagraphFont"/>
    <w:link w:val="Header"/>
    <w:rsid w:val="0082063A"/>
    <w:rPr>
      <w:rFonts w:ascii="Arial" w:eastAsia="SimSun" w:hAnsi="Arial" w:cs="Times New Roman"/>
      <w:sz w:val="24"/>
      <w:szCs w:val="24"/>
      <w:lang w:eastAsia="zh-CN"/>
    </w:rPr>
  </w:style>
  <w:style w:type="character" w:styleId="PageNumber">
    <w:name w:val="page number"/>
    <w:basedOn w:val="DefaultParagraphFont"/>
    <w:rsid w:val="0082063A"/>
  </w:style>
  <w:style w:type="table" w:styleId="TableGrid">
    <w:name w:val="Table Grid"/>
    <w:basedOn w:val="TableNormal"/>
    <w:uiPriority w:val="59"/>
    <w:unhideWhenUsed/>
    <w:rsid w:val="000A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1"/>
    <w:rPr>
      <w:rFonts w:ascii="Tahoma" w:eastAsia="SimSun" w:hAnsi="Tahoma" w:cs="Tahoma"/>
      <w:sz w:val="16"/>
      <w:szCs w:val="16"/>
      <w:lang w:eastAsia="zh-CN"/>
    </w:rPr>
  </w:style>
  <w:style w:type="paragraph" w:styleId="NoSpacing">
    <w:name w:val="No Spacing"/>
    <w:uiPriority w:val="1"/>
    <w:qFormat/>
    <w:rsid w:val="00F164A5"/>
    <w:pPr>
      <w:widowControl w:val="0"/>
      <w:tabs>
        <w:tab w:val="left" w:pos="567"/>
        <w:tab w:val="left" w:pos="4961"/>
      </w:tabs>
      <w:spacing w:after="0" w:line="240" w:lineRule="auto"/>
      <w:jc w:val="both"/>
    </w:pPr>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01984">
      <w:bodyDiv w:val="1"/>
      <w:marLeft w:val="0"/>
      <w:marRight w:val="0"/>
      <w:marTop w:val="0"/>
      <w:marBottom w:val="0"/>
      <w:divBdr>
        <w:top w:val="none" w:sz="0" w:space="0" w:color="auto"/>
        <w:left w:val="none" w:sz="0" w:space="0" w:color="auto"/>
        <w:bottom w:val="none" w:sz="0" w:space="0" w:color="auto"/>
        <w:right w:val="none" w:sz="0" w:space="0" w:color="auto"/>
      </w:divBdr>
    </w:div>
    <w:div w:id="12549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DAMIANOUA</dc:creator>
  <cp:lastModifiedBy>MANTOVANI</cp:lastModifiedBy>
  <cp:revision>2</cp:revision>
  <cp:lastPrinted>2022-04-06T07:35:00Z</cp:lastPrinted>
  <dcterms:created xsi:type="dcterms:W3CDTF">2022-07-12T11:24:00Z</dcterms:created>
  <dcterms:modified xsi:type="dcterms:W3CDTF">2022-07-12T11:24:00Z</dcterms:modified>
</cp:coreProperties>
</file>