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9"/>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512"/>
      </w:tblGrid>
      <w:tr w:rsidR="007926B0" w:rsidRPr="007926B0" w:rsidTr="003A1FAB">
        <w:trPr>
          <w:trHeight w:val="993"/>
        </w:trPr>
        <w:tc>
          <w:tcPr>
            <w:tcW w:w="9747" w:type="dxa"/>
            <w:gridSpan w:val="2"/>
            <w:tcBorders>
              <w:top w:val="nil"/>
              <w:left w:val="nil"/>
              <w:bottom w:val="nil"/>
              <w:right w:val="nil"/>
            </w:tcBorders>
          </w:tcPr>
          <w:p w:rsidR="007926B0" w:rsidRPr="003A1FAB" w:rsidRDefault="007926B0" w:rsidP="00454334">
            <w:pPr>
              <w:overflowPunct w:val="0"/>
              <w:autoSpaceDE w:val="0"/>
              <w:autoSpaceDN w:val="0"/>
              <w:adjustRightInd w:val="0"/>
              <w:spacing w:after="0" w:line="276" w:lineRule="auto"/>
              <w:jc w:val="center"/>
              <w:rPr>
                <w:rFonts w:ascii="Arial" w:eastAsia="Times New Roman" w:hAnsi="Arial" w:cs="Arial"/>
                <w:szCs w:val="24"/>
              </w:rPr>
            </w:pPr>
            <w:r w:rsidRPr="003A1FAB">
              <w:rPr>
                <w:rFonts w:ascii="Arial" w:eastAsia="Times New Roman" w:hAnsi="Arial" w:cs="Arial"/>
                <w:szCs w:val="24"/>
              </w:rPr>
              <w:t>ΟΙ  ΠΕΡΙ ΠΡΟΣΤΑΣΙΑΣ ΚΑΙ ΕΥΗΜΕΡΙΑΣ ΤΩΝ ΖΩΩΝ</w:t>
            </w:r>
          </w:p>
          <w:p w:rsidR="007926B0" w:rsidRPr="003A1FAB" w:rsidRDefault="007926B0" w:rsidP="00454334">
            <w:pPr>
              <w:overflowPunct w:val="0"/>
              <w:autoSpaceDE w:val="0"/>
              <w:autoSpaceDN w:val="0"/>
              <w:adjustRightInd w:val="0"/>
              <w:spacing w:after="0" w:line="276" w:lineRule="auto"/>
              <w:jc w:val="center"/>
              <w:rPr>
                <w:rFonts w:ascii="Arial" w:eastAsia="Times New Roman" w:hAnsi="Arial" w:cs="Arial"/>
                <w:szCs w:val="24"/>
              </w:rPr>
            </w:pPr>
            <w:r w:rsidRPr="003A1FAB">
              <w:rPr>
                <w:rFonts w:ascii="Arial" w:eastAsia="Times New Roman" w:hAnsi="Arial" w:cs="Arial"/>
                <w:szCs w:val="24"/>
              </w:rPr>
              <w:t>ΝΟΜΟΙ ΤΟΥ 1994 ΕΩΣ 2020</w:t>
            </w:r>
          </w:p>
          <w:p w:rsidR="007926B0" w:rsidRPr="007926B0" w:rsidRDefault="007926B0" w:rsidP="00454334">
            <w:pPr>
              <w:overflowPunct w:val="0"/>
              <w:autoSpaceDE w:val="0"/>
              <w:autoSpaceDN w:val="0"/>
              <w:adjustRightInd w:val="0"/>
              <w:spacing w:after="0" w:line="276" w:lineRule="auto"/>
              <w:jc w:val="center"/>
              <w:rPr>
                <w:rFonts w:ascii="Arial" w:eastAsia="Times New Roman" w:hAnsi="Arial" w:cs="Arial"/>
                <w:sz w:val="24"/>
                <w:szCs w:val="24"/>
              </w:rPr>
            </w:pPr>
          </w:p>
        </w:tc>
      </w:tr>
      <w:tr w:rsidR="007926B0" w:rsidRPr="007926B0" w:rsidTr="003A1FAB">
        <w:tc>
          <w:tcPr>
            <w:tcW w:w="9747" w:type="dxa"/>
            <w:gridSpan w:val="2"/>
            <w:tcBorders>
              <w:top w:val="nil"/>
              <w:left w:val="nil"/>
              <w:bottom w:val="nil"/>
              <w:right w:val="nil"/>
            </w:tcBorders>
          </w:tcPr>
          <w:p w:rsidR="007926B0" w:rsidRPr="003A1FAB" w:rsidRDefault="007926B0" w:rsidP="00454334">
            <w:pPr>
              <w:overflowPunct w:val="0"/>
              <w:autoSpaceDE w:val="0"/>
              <w:autoSpaceDN w:val="0"/>
              <w:adjustRightInd w:val="0"/>
              <w:spacing w:after="0" w:line="276" w:lineRule="auto"/>
              <w:jc w:val="center"/>
              <w:rPr>
                <w:rFonts w:ascii="Arial" w:eastAsia="Times New Roman" w:hAnsi="Arial" w:cs="Arial"/>
                <w:szCs w:val="24"/>
              </w:rPr>
            </w:pPr>
            <w:r w:rsidRPr="003A1FAB">
              <w:rPr>
                <w:rFonts w:ascii="Arial" w:eastAsia="Times New Roman" w:hAnsi="Arial" w:cs="Arial"/>
                <w:szCs w:val="24"/>
              </w:rPr>
              <w:t>Κανονισμοί δυνάμει των άρθρων 6, 9, 10 και 32</w:t>
            </w:r>
          </w:p>
          <w:p w:rsidR="007926B0" w:rsidRPr="00E768F2" w:rsidRDefault="007926B0" w:rsidP="00454334">
            <w:pPr>
              <w:overflowPunct w:val="0"/>
              <w:autoSpaceDE w:val="0"/>
              <w:autoSpaceDN w:val="0"/>
              <w:adjustRightInd w:val="0"/>
              <w:spacing w:after="0" w:line="276" w:lineRule="auto"/>
              <w:jc w:val="center"/>
              <w:rPr>
                <w:rFonts w:ascii="Arial" w:eastAsia="Times New Roman" w:hAnsi="Arial" w:cs="Arial"/>
                <w:sz w:val="24"/>
                <w:szCs w:val="24"/>
              </w:rPr>
            </w:pPr>
          </w:p>
        </w:tc>
      </w:tr>
      <w:tr w:rsidR="007926B0" w:rsidRPr="007926B0" w:rsidTr="003A1FAB">
        <w:tc>
          <w:tcPr>
            <w:tcW w:w="2235" w:type="dxa"/>
            <w:tcBorders>
              <w:top w:val="nil"/>
              <w:left w:val="nil"/>
              <w:bottom w:val="nil"/>
              <w:right w:val="nil"/>
            </w:tcBorders>
            <w:hideMark/>
          </w:tcPr>
          <w:p w:rsidR="007926B0" w:rsidRPr="007926B0" w:rsidRDefault="00807FF8" w:rsidP="00E768F2">
            <w:pPr>
              <w:tabs>
                <w:tab w:val="left" w:pos="720"/>
                <w:tab w:val="center" w:pos="4153"/>
                <w:tab w:val="right" w:pos="8306"/>
              </w:tabs>
              <w:overflowPunct w:val="0"/>
              <w:autoSpaceDE w:val="0"/>
              <w:autoSpaceDN w:val="0"/>
              <w:adjustRightInd w:val="0"/>
              <w:spacing w:after="0" w:line="276" w:lineRule="auto"/>
              <w:ind w:firstLine="37"/>
              <w:rPr>
                <w:rFonts w:ascii="Arial" w:eastAsia="Times New Roman" w:hAnsi="Arial" w:cs="Arial"/>
                <w:sz w:val="20"/>
                <w:szCs w:val="20"/>
              </w:rPr>
            </w:pPr>
            <w:r>
              <w:rPr>
                <w:rFonts w:ascii="Arial" w:eastAsia="Times New Roman" w:hAnsi="Arial" w:cs="Arial"/>
                <w:sz w:val="20"/>
                <w:szCs w:val="20"/>
              </w:rPr>
              <w:t xml:space="preserve"> </w:t>
            </w:r>
            <w:r w:rsidR="007926B0" w:rsidRPr="007926B0">
              <w:rPr>
                <w:rFonts w:ascii="Arial" w:eastAsia="Times New Roman" w:hAnsi="Arial" w:cs="Arial"/>
                <w:sz w:val="20"/>
                <w:szCs w:val="20"/>
              </w:rPr>
              <w:t>46 (Ι) του 1994</w:t>
            </w:r>
          </w:p>
          <w:p w:rsidR="007926B0" w:rsidRPr="007926B0" w:rsidRDefault="007926B0" w:rsidP="00E768F2">
            <w:pPr>
              <w:tabs>
                <w:tab w:val="left" w:pos="720"/>
                <w:tab w:val="left" w:pos="1560"/>
                <w:tab w:val="center" w:pos="4153"/>
                <w:tab w:val="right" w:pos="8306"/>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94 (Ι) του 1997</w:t>
            </w:r>
          </w:p>
          <w:p w:rsidR="007926B0" w:rsidRPr="007926B0" w:rsidRDefault="007926B0" w:rsidP="00E768F2">
            <w:pPr>
              <w:tabs>
                <w:tab w:val="left" w:pos="720"/>
                <w:tab w:val="left" w:pos="1560"/>
                <w:tab w:val="center" w:pos="4153"/>
                <w:tab w:val="right" w:pos="8306"/>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75 (Ι) του 2000</w:t>
            </w:r>
          </w:p>
          <w:p w:rsidR="007926B0" w:rsidRPr="007926B0" w:rsidRDefault="007926B0" w:rsidP="00E768F2">
            <w:pPr>
              <w:tabs>
                <w:tab w:val="left" w:pos="720"/>
                <w:tab w:val="left" w:pos="1560"/>
                <w:tab w:val="center" w:pos="4153"/>
                <w:tab w:val="right" w:pos="8306"/>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43 (Ι) του 2002</w:t>
            </w:r>
          </w:p>
          <w:p w:rsidR="007926B0" w:rsidRPr="007926B0" w:rsidRDefault="007926B0" w:rsidP="00E768F2">
            <w:pPr>
              <w:tabs>
                <w:tab w:val="left" w:pos="720"/>
                <w:tab w:val="left" w:pos="1560"/>
                <w:tab w:val="center" w:pos="4153"/>
                <w:tab w:val="right" w:pos="8306"/>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95 (Ι) του 2008</w:t>
            </w:r>
          </w:p>
          <w:p w:rsidR="007926B0" w:rsidRPr="007926B0" w:rsidRDefault="007926B0" w:rsidP="00E768F2">
            <w:pPr>
              <w:tabs>
                <w:tab w:val="left" w:pos="1560"/>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134 (Ι) του 2009</w:t>
            </w:r>
          </w:p>
          <w:p w:rsidR="007926B0" w:rsidRPr="007926B0" w:rsidRDefault="007926B0" w:rsidP="00E768F2">
            <w:pPr>
              <w:tabs>
                <w:tab w:val="left" w:pos="1560"/>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15 (Ι) του 2011</w:t>
            </w:r>
          </w:p>
          <w:p w:rsidR="007926B0" w:rsidRPr="007926B0" w:rsidRDefault="007926B0" w:rsidP="00E768F2">
            <w:pPr>
              <w:tabs>
                <w:tab w:val="left" w:pos="1560"/>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 xml:space="preserve">  55 (Ι) του 2013</w:t>
            </w:r>
          </w:p>
          <w:p w:rsidR="007926B0" w:rsidRPr="007926B0" w:rsidRDefault="007926B0" w:rsidP="00E768F2">
            <w:pPr>
              <w:tabs>
                <w:tab w:val="left" w:pos="1560"/>
              </w:tabs>
              <w:overflowPunct w:val="0"/>
              <w:autoSpaceDE w:val="0"/>
              <w:autoSpaceDN w:val="0"/>
              <w:adjustRightInd w:val="0"/>
              <w:spacing w:after="0" w:line="276" w:lineRule="auto"/>
              <w:ind w:right="459"/>
              <w:rPr>
                <w:rFonts w:ascii="Arial" w:eastAsia="Times New Roman" w:hAnsi="Arial" w:cs="Arial"/>
                <w:sz w:val="20"/>
                <w:szCs w:val="20"/>
              </w:rPr>
            </w:pPr>
            <w:r w:rsidRPr="007926B0">
              <w:rPr>
                <w:rFonts w:ascii="Arial" w:eastAsia="Times New Roman" w:hAnsi="Arial" w:cs="Arial"/>
                <w:sz w:val="20"/>
                <w:szCs w:val="20"/>
              </w:rPr>
              <w:t>175 (Ι) του 2020.</w:t>
            </w:r>
          </w:p>
        </w:tc>
        <w:tc>
          <w:tcPr>
            <w:tcW w:w="7512" w:type="dxa"/>
            <w:tcBorders>
              <w:top w:val="nil"/>
              <w:left w:val="nil"/>
              <w:bottom w:val="nil"/>
              <w:right w:val="nil"/>
            </w:tcBorders>
            <w:hideMark/>
          </w:tcPr>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r w:rsidRPr="003A1FAB">
              <w:rPr>
                <w:rFonts w:ascii="Arial" w:eastAsia="Times New Roman" w:hAnsi="Arial" w:cs="Arial"/>
                <w:szCs w:val="24"/>
              </w:rPr>
              <w:t>Το Υπουργικό Συμβούλιο, ασκώντας τις εξουσίες που χορηγούνται σε αυτό δυνάμει των άρθρων 6, 9, 10 και 32 των περί Προστασίας και Ευημερίας των Ζώων Νόμων του 1994 έως 2020, εκδίδει τους ακόλουθους Κανονισμούς.</w:t>
            </w:r>
          </w:p>
        </w:tc>
      </w:tr>
      <w:tr w:rsidR="007926B0" w:rsidRPr="007926B0" w:rsidTr="003A1FAB">
        <w:tc>
          <w:tcPr>
            <w:tcW w:w="2235" w:type="dxa"/>
            <w:tcBorders>
              <w:top w:val="nil"/>
              <w:left w:val="nil"/>
              <w:bottom w:val="nil"/>
              <w:right w:val="nil"/>
            </w:tcBorders>
          </w:tcPr>
          <w:p w:rsidR="007926B0" w:rsidRPr="007926B0" w:rsidRDefault="007926B0" w:rsidP="00454334">
            <w:pPr>
              <w:overflowPunct w:val="0"/>
              <w:autoSpaceDE w:val="0"/>
              <w:autoSpaceDN w:val="0"/>
              <w:adjustRightInd w:val="0"/>
              <w:spacing w:after="0" w:line="276" w:lineRule="auto"/>
              <w:rPr>
                <w:rFonts w:ascii="Arial" w:eastAsia="Times New Roman" w:hAnsi="Arial" w:cs="Arial"/>
                <w:sz w:val="20"/>
                <w:szCs w:val="20"/>
              </w:rPr>
            </w:pPr>
          </w:p>
        </w:tc>
        <w:tc>
          <w:tcPr>
            <w:tcW w:w="7512" w:type="dxa"/>
            <w:tcBorders>
              <w:top w:val="nil"/>
              <w:left w:val="nil"/>
              <w:bottom w:val="nil"/>
              <w:right w:val="nil"/>
            </w:tcBorders>
          </w:tcPr>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p>
        </w:tc>
      </w:tr>
      <w:tr w:rsidR="007926B0" w:rsidRPr="007926B0" w:rsidTr="003A1FAB">
        <w:tc>
          <w:tcPr>
            <w:tcW w:w="2235" w:type="dxa"/>
            <w:tcBorders>
              <w:top w:val="nil"/>
              <w:left w:val="nil"/>
              <w:bottom w:val="nil"/>
              <w:right w:val="nil"/>
            </w:tcBorders>
          </w:tcPr>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Συνοπτικός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τίτλος.</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Επίσημη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Εφημερίδα,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Παράρτημα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Τρίτο (Ι):</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lang w:val="en-US"/>
              </w:rPr>
              <w:t>15.11.2019</w:t>
            </w:r>
            <w:r w:rsidRPr="007926B0">
              <w:rPr>
                <w:rFonts w:ascii="Arial" w:eastAsia="Times New Roman" w:hAnsi="Arial" w:cs="Arial"/>
                <w:sz w:val="20"/>
                <w:szCs w:val="20"/>
              </w:rPr>
              <w:t>.</w:t>
            </w:r>
          </w:p>
        </w:tc>
        <w:tc>
          <w:tcPr>
            <w:tcW w:w="7512" w:type="dxa"/>
            <w:tcBorders>
              <w:top w:val="nil"/>
              <w:left w:val="nil"/>
              <w:bottom w:val="nil"/>
              <w:right w:val="nil"/>
            </w:tcBorders>
            <w:hideMark/>
          </w:tcPr>
          <w:p w:rsidR="007926B0" w:rsidRPr="003A1FAB" w:rsidRDefault="007926B0" w:rsidP="00211422">
            <w:pPr>
              <w:overflowPunct w:val="0"/>
              <w:autoSpaceDE w:val="0"/>
              <w:autoSpaceDN w:val="0"/>
              <w:adjustRightInd w:val="0"/>
              <w:spacing w:after="0" w:line="360" w:lineRule="auto"/>
              <w:jc w:val="both"/>
              <w:rPr>
                <w:rFonts w:ascii="Arial" w:eastAsia="Times New Roman" w:hAnsi="Arial" w:cs="Arial"/>
                <w:szCs w:val="24"/>
              </w:rPr>
            </w:pPr>
            <w:r w:rsidRPr="003A1FAB">
              <w:rPr>
                <w:rFonts w:ascii="Arial" w:eastAsia="Times New Roman" w:hAnsi="Arial" w:cs="Arial"/>
                <w:szCs w:val="24"/>
              </w:rPr>
              <w:t>1. Οι παρόντες Κανονισμοί θα αναφέρονται ως οι περί  Προστασίας και Ευημερίας των Ζώων (Προστασία Σκύλων και Γατών σε Εκτροφεία, Ξενοδοχεία, Καταφύγια και Υποστατικά Προσωρινής Φύλαξης) (Τροποποιητικοί) Κανονισμοί του 202</w:t>
            </w:r>
            <w:r w:rsidR="00211422" w:rsidRPr="00211422">
              <w:rPr>
                <w:rFonts w:ascii="Arial" w:eastAsia="Times New Roman" w:hAnsi="Arial" w:cs="Arial"/>
                <w:szCs w:val="24"/>
              </w:rPr>
              <w:t>2</w:t>
            </w:r>
            <w:r w:rsidRPr="003A1FAB">
              <w:rPr>
                <w:rFonts w:ascii="Arial" w:eastAsia="Times New Roman" w:hAnsi="Arial" w:cs="Arial"/>
                <w:szCs w:val="24"/>
              </w:rPr>
              <w:t xml:space="preserve"> και θα διαβάζονται μαζί με τους</w:t>
            </w:r>
            <w:r w:rsidRPr="003A1FAB">
              <w:rPr>
                <w:rFonts w:ascii="Times New Roman" w:eastAsia="Times New Roman" w:hAnsi="Times New Roman" w:cs="Times New Roman"/>
                <w:szCs w:val="20"/>
              </w:rPr>
              <w:t xml:space="preserve"> </w:t>
            </w:r>
            <w:r w:rsidRPr="003A1FAB">
              <w:rPr>
                <w:rFonts w:ascii="Arial" w:eastAsia="Times New Roman" w:hAnsi="Arial" w:cs="Arial"/>
                <w:szCs w:val="24"/>
              </w:rPr>
              <w:t>περί  Προστασίας και Ευημ</w:t>
            </w:r>
            <w:bookmarkStart w:id="0" w:name="_GoBack"/>
            <w:bookmarkEnd w:id="0"/>
            <w:r w:rsidRPr="003A1FAB">
              <w:rPr>
                <w:rFonts w:ascii="Arial" w:eastAsia="Times New Roman" w:hAnsi="Arial" w:cs="Arial"/>
                <w:szCs w:val="24"/>
              </w:rPr>
              <w:t>ερίας των Ζώων (Προστασία Σκύλων και Γατών σε Εκτροφεία, Ξενοδοχεία, Καταφύγια και Υποστατικά Προσωρινής Φύλαξης) Κανονισμούς του 2019 (οι οποίοι στο εξής θα αναφέρονται ως «οι βασικοί κανονισμοί») και οι βασικοί κανονισμοί και οι παρόντες Κανονισμοί θα αναφέρονται μαζί ως</w:t>
            </w:r>
            <w:r w:rsidRPr="003A1FAB">
              <w:rPr>
                <w:rFonts w:ascii="Times New Roman" w:eastAsia="Times New Roman" w:hAnsi="Times New Roman" w:cs="Times New Roman"/>
                <w:szCs w:val="20"/>
              </w:rPr>
              <w:t xml:space="preserve"> </w:t>
            </w:r>
            <w:r w:rsidRPr="003A1FAB">
              <w:rPr>
                <w:rFonts w:ascii="Arial" w:eastAsia="Times New Roman" w:hAnsi="Arial" w:cs="Arial"/>
                <w:szCs w:val="24"/>
              </w:rPr>
              <w:t>οι περί  Προστασίας και Ευημερίας των Ζώων (Προστασία Σκύλων και Γατών σε Εκτροφεία, Ξενοδοχεία, Καταφύγια και Υποστατικά Προσωρινής Φύλαξης) Κανονισμοί του 2019 έως 202</w:t>
            </w:r>
            <w:r w:rsidR="00211422" w:rsidRPr="00211422">
              <w:rPr>
                <w:rFonts w:ascii="Arial" w:eastAsia="Times New Roman" w:hAnsi="Arial" w:cs="Arial"/>
                <w:szCs w:val="24"/>
              </w:rPr>
              <w:t>2</w:t>
            </w:r>
            <w:r w:rsidRPr="003A1FAB">
              <w:rPr>
                <w:rFonts w:ascii="Arial" w:eastAsia="Times New Roman" w:hAnsi="Arial" w:cs="Arial"/>
                <w:szCs w:val="24"/>
              </w:rPr>
              <w:t xml:space="preserve">. </w:t>
            </w:r>
          </w:p>
        </w:tc>
      </w:tr>
      <w:tr w:rsidR="007926B0" w:rsidRPr="007926B0" w:rsidTr="003A1FAB">
        <w:tc>
          <w:tcPr>
            <w:tcW w:w="2235" w:type="dxa"/>
            <w:tcBorders>
              <w:top w:val="nil"/>
              <w:left w:val="nil"/>
              <w:bottom w:val="nil"/>
              <w:right w:val="nil"/>
            </w:tcBorders>
          </w:tcPr>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p>
        </w:tc>
        <w:tc>
          <w:tcPr>
            <w:tcW w:w="7512" w:type="dxa"/>
            <w:tcBorders>
              <w:top w:val="nil"/>
              <w:left w:val="nil"/>
              <w:bottom w:val="nil"/>
              <w:right w:val="nil"/>
            </w:tcBorders>
          </w:tcPr>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p>
        </w:tc>
      </w:tr>
      <w:tr w:rsidR="007926B0" w:rsidRPr="007926B0" w:rsidTr="003A1FAB">
        <w:tc>
          <w:tcPr>
            <w:tcW w:w="2235" w:type="dxa"/>
            <w:tcBorders>
              <w:top w:val="nil"/>
              <w:left w:val="nil"/>
              <w:bottom w:val="nil"/>
              <w:right w:val="nil"/>
            </w:tcBorders>
            <w:hideMark/>
          </w:tcPr>
          <w:p w:rsidR="005C701D"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Αντικατάσταση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του Κανονισμού 10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 xml:space="preserve">των βασικών </w:t>
            </w:r>
          </w:p>
          <w:p w:rsidR="007926B0" w:rsidRPr="007926B0" w:rsidRDefault="007926B0" w:rsidP="00E768F2">
            <w:pPr>
              <w:overflowPunct w:val="0"/>
              <w:autoSpaceDE w:val="0"/>
              <w:autoSpaceDN w:val="0"/>
              <w:adjustRightInd w:val="0"/>
              <w:spacing w:after="0" w:line="276" w:lineRule="auto"/>
              <w:ind w:right="318"/>
              <w:rPr>
                <w:rFonts w:ascii="Arial" w:eastAsia="Times New Roman" w:hAnsi="Arial" w:cs="Arial"/>
                <w:sz w:val="20"/>
                <w:szCs w:val="20"/>
              </w:rPr>
            </w:pPr>
            <w:r w:rsidRPr="007926B0">
              <w:rPr>
                <w:rFonts w:ascii="Arial" w:eastAsia="Times New Roman" w:hAnsi="Arial" w:cs="Arial"/>
                <w:sz w:val="20"/>
                <w:szCs w:val="20"/>
              </w:rPr>
              <w:t>κανονισμών.</w:t>
            </w:r>
          </w:p>
        </w:tc>
        <w:tc>
          <w:tcPr>
            <w:tcW w:w="7512" w:type="dxa"/>
            <w:tcBorders>
              <w:top w:val="nil"/>
              <w:left w:val="nil"/>
              <w:bottom w:val="nil"/>
              <w:right w:val="nil"/>
            </w:tcBorders>
          </w:tcPr>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r w:rsidRPr="003A1FAB">
              <w:rPr>
                <w:rFonts w:ascii="Arial" w:eastAsia="Times New Roman" w:hAnsi="Arial" w:cs="Arial"/>
                <w:szCs w:val="24"/>
              </w:rPr>
              <w:t>2.  Ο Κανονισμός 10 των βασικών κανονισμών αντικαθίσταται από τον ακόλουθο νέο Κανονισμό-</w:t>
            </w:r>
          </w:p>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p>
          <w:p w:rsidR="007926B0" w:rsidRPr="003A1FAB" w:rsidRDefault="007926B0" w:rsidP="003A1FAB">
            <w:pPr>
              <w:overflowPunct w:val="0"/>
              <w:autoSpaceDE w:val="0"/>
              <w:autoSpaceDN w:val="0"/>
              <w:adjustRightInd w:val="0"/>
              <w:spacing w:after="0" w:line="360" w:lineRule="auto"/>
              <w:jc w:val="both"/>
              <w:rPr>
                <w:rFonts w:ascii="Arial" w:eastAsia="Times New Roman" w:hAnsi="Arial" w:cs="Arial"/>
                <w:szCs w:val="24"/>
              </w:rPr>
            </w:pPr>
            <w:r w:rsidRPr="003A1FAB">
              <w:rPr>
                <w:rFonts w:ascii="Arial" w:eastAsia="Times New Roman" w:hAnsi="Arial" w:cs="Arial"/>
                <w:szCs w:val="24"/>
              </w:rPr>
              <w:t xml:space="preserve">«10. Υποστατικά που λειτουργούσαν πριν την έναρξη ισχύος των </w:t>
            </w:r>
            <w:r w:rsidRPr="003A1FAB">
              <w:rPr>
                <w:rFonts w:ascii="Times New Roman" w:eastAsia="Times New Roman" w:hAnsi="Times New Roman" w:cs="Times New Roman"/>
                <w:szCs w:val="20"/>
              </w:rPr>
              <w:t xml:space="preserve"> </w:t>
            </w:r>
            <w:r w:rsidRPr="003A1FAB">
              <w:rPr>
                <w:rFonts w:ascii="Arial" w:eastAsia="Times New Roman" w:hAnsi="Arial" w:cs="Arial"/>
                <w:szCs w:val="24"/>
              </w:rPr>
              <w:t>βασικών κανονισμών, δύνανται να συνεχίσουν την λειτουργία τους μέχρι 48 μήνες, από την έναρξη ισχύος των βασικών κανονισμών, στην περίπτωση όπου η μόνη έλλειψη που παρουσιάζουν αφορά την απαίτηση προσκόμισης αντιγράφου της πολεοδομικής άδειας και της άδειας οικοδομής, όπως αυτό απαιτείται στο σημείο (ε) της παραγράφου (3) του Κανονισμού 3 των βασικών κανονισμών. Μετά την ημερομηνία αυτή κανένα τέτοιο υποστατικό δεν δύναται να λειτουργεί εκτός εάν συμμορφώνεται πλήρως με τις διατάξεις των βασικών κανονισμών.</w:t>
            </w:r>
          </w:p>
        </w:tc>
      </w:tr>
    </w:tbl>
    <w:p w:rsidR="008617FC" w:rsidRPr="003A1FAB" w:rsidRDefault="001B0B87" w:rsidP="003A1FAB">
      <w:pPr>
        <w:tabs>
          <w:tab w:val="left" w:pos="851"/>
        </w:tabs>
        <w:spacing w:line="276" w:lineRule="auto"/>
        <w:ind w:right="-341"/>
        <w:rPr>
          <w:lang w:val="en-US"/>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4669155</wp:posOffset>
                </wp:positionH>
                <wp:positionV relativeFrom="paragraph">
                  <wp:posOffset>-481965</wp:posOffset>
                </wp:positionV>
                <wp:extent cx="11144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B87" w:rsidRPr="001B0B87" w:rsidRDefault="001B0B87">
                            <w:pPr>
                              <w:rPr>
                                <w:u w:val="single"/>
                              </w:rPr>
                            </w:pPr>
                            <w:r w:rsidRPr="001B0B87">
                              <w:rPr>
                                <w:u w:val="single"/>
                              </w:rPr>
                              <w:t>ΠΑΡΑΡΤΗΜΑ 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65pt;margin-top:-37.95pt;width:87.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" fillcolor="white [3201]" stroked="f" strokeweight=".5pt">
                <v:textbox>
                  <w:txbxContent>
                    <w:p w:rsidR="001B0B87" w:rsidRPr="001B0B87" w:rsidRDefault="001B0B87">
                      <w:pPr>
                        <w:rPr>
                          <w:u w:val="single"/>
                        </w:rPr>
                      </w:pPr>
                      <w:bookmarkStart w:id="1" w:name="_GoBack"/>
                      <w:r w:rsidRPr="001B0B87">
                        <w:rPr>
                          <w:u w:val="single"/>
                        </w:rPr>
                        <w:t>ΠΑΡΑΡΤΗΜΑ Ι</w:t>
                      </w:r>
                      <w:bookmarkEnd w:id="1"/>
                    </w:p>
                  </w:txbxContent>
                </v:textbox>
              </v:shape>
            </w:pict>
          </mc:Fallback>
        </mc:AlternateContent>
      </w:r>
    </w:p>
    <w:sectPr w:rsidR="008617FC" w:rsidRPr="003A1FAB" w:rsidSect="003A1FAB">
      <w:pgSz w:w="11906" w:h="16838"/>
      <w:pgMar w:top="1134"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0"/>
    <w:rsid w:val="001B0B87"/>
    <w:rsid w:val="00211422"/>
    <w:rsid w:val="003A1FAB"/>
    <w:rsid w:val="00454334"/>
    <w:rsid w:val="005C701D"/>
    <w:rsid w:val="007926B0"/>
    <w:rsid w:val="00807FF8"/>
    <w:rsid w:val="008617FC"/>
    <w:rsid w:val="00E768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Miltiadou  Anna</dc:creator>
  <cp:keywords/>
  <dc:description/>
  <cp:lastModifiedBy>User</cp:lastModifiedBy>
  <cp:revision>9</cp:revision>
  <cp:lastPrinted>2022-01-17T09:08:00Z</cp:lastPrinted>
  <dcterms:created xsi:type="dcterms:W3CDTF">2021-11-22T10:20:00Z</dcterms:created>
  <dcterms:modified xsi:type="dcterms:W3CDTF">2022-01-17T09:10:00Z</dcterms:modified>
</cp:coreProperties>
</file>