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B7FE" w14:textId="70D15B53" w:rsidR="00AB5853" w:rsidRPr="007200CE" w:rsidRDefault="00AB5853" w:rsidP="00E549B2">
      <w:pPr>
        <w:spacing w:after="0" w:line="240" w:lineRule="auto"/>
        <w:jc w:val="both"/>
        <w:rPr>
          <w:rFonts w:ascii="Arial" w:eastAsiaTheme="minorEastAsia" w:hAnsi="Arial" w:cs="Arial"/>
          <w:lang w:val="el-GR" w:eastAsia="zh-CN"/>
        </w:rPr>
      </w:pPr>
      <w:r w:rsidRPr="007200CE">
        <w:rPr>
          <w:rFonts w:ascii="Arial" w:eastAsiaTheme="minorEastAsia" w:hAnsi="Arial" w:cs="Arial"/>
          <w:lang w:val="el-GR" w:eastAsia="en-GB"/>
        </w:rPr>
        <w:t>Υ.Γ.Α.Α.Π.: 12.03.</w:t>
      </w:r>
      <w:r w:rsidR="00876933" w:rsidRPr="007200CE">
        <w:rPr>
          <w:rFonts w:ascii="Arial" w:eastAsiaTheme="minorEastAsia" w:hAnsi="Arial" w:cs="Arial"/>
          <w:lang w:val="el-GR" w:eastAsia="zh-CN"/>
        </w:rPr>
        <w:t>11</w:t>
      </w:r>
      <w:r w:rsidRPr="007200CE">
        <w:rPr>
          <w:rFonts w:ascii="Arial" w:eastAsiaTheme="minorEastAsia" w:hAnsi="Arial" w:cs="Arial"/>
          <w:lang w:val="el-GR" w:eastAsia="zh-CN"/>
        </w:rPr>
        <w:t>1</w:t>
      </w:r>
    </w:p>
    <w:p w14:paraId="7DA62BDD" w14:textId="77777777" w:rsidR="00AB5853" w:rsidRPr="007200CE" w:rsidRDefault="00AB5853" w:rsidP="00E549B2">
      <w:pPr>
        <w:spacing w:after="0" w:line="240" w:lineRule="auto"/>
        <w:jc w:val="both"/>
        <w:rPr>
          <w:rFonts w:ascii="Arial" w:eastAsiaTheme="minorEastAsia" w:hAnsi="Arial" w:cs="Arial"/>
          <w:b/>
          <w:u w:val="single"/>
          <w:lang w:val="el-GR" w:eastAsia="en-GB"/>
        </w:rPr>
      </w:pPr>
    </w:p>
    <w:p w14:paraId="6AEDBE02" w14:textId="77777777" w:rsidR="00AB5853" w:rsidRPr="007200CE" w:rsidRDefault="00AB5853" w:rsidP="00E549B2">
      <w:pPr>
        <w:spacing w:after="0" w:line="240" w:lineRule="auto"/>
        <w:jc w:val="center"/>
        <w:rPr>
          <w:rFonts w:ascii="Arial" w:eastAsiaTheme="minorEastAsia" w:hAnsi="Arial" w:cs="Arial"/>
          <w:b/>
          <w:u w:val="single"/>
          <w:lang w:val="el-GR" w:eastAsia="en-GB"/>
        </w:rPr>
      </w:pPr>
      <w:r w:rsidRPr="007200CE">
        <w:rPr>
          <w:rFonts w:ascii="Arial" w:eastAsiaTheme="minorEastAsia" w:hAnsi="Arial" w:cs="Arial"/>
          <w:b/>
          <w:u w:val="single"/>
          <w:lang w:val="el-GR" w:eastAsia="en-GB"/>
        </w:rPr>
        <w:t>ΕΙΣΗΓΗΤΙΚΗ ΕΚΘΕΣΗ</w:t>
      </w:r>
    </w:p>
    <w:p w14:paraId="1EA156F7" w14:textId="77777777" w:rsidR="0095291A" w:rsidRPr="007200CE" w:rsidRDefault="0095291A" w:rsidP="00E549B2">
      <w:pPr>
        <w:spacing w:after="0" w:line="240" w:lineRule="auto"/>
        <w:rPr>
          <w:rFonts w:ascii="Arial" w:eastAsiaTheme="minorEastAsia" w:hAnsi="Arial" w:cs="Arial"/>
          <w:b/>
          <w:u w:val="single"/>
          <w:lang w:val="el-GR" w:eastAsia="zh-CN"/>
        </w:rPr>
      </w:pPr>
    </w:p>
    <w:p w14:paraId="2E91F8CE" w14:textId="77777777" w:rsidR="0095291A" w:rsidRPr="007200CE" w:rsidRDefault="0095291A" w:rsidP="00E549B2">
      <w:pPr>
        <w:tabs>
          <w:tab w:val="center" w:pos="4320"/>
          <w:tab w:val="right" w:pos="8640"/>
        </w:tabs>
        <w:spacing w:after="0" w:line="240" w:lineRule="auto"/>
        <w:jc w:val="center"/>
        <w:rPr>
          <w:rFonts w:ascii="Arial" w:eastAsia="MS Mincho" w:hAnsi="Arial" w:cs="Arial"/>
          <w:b/>
          <w:bCs/>
          <w:u w:val="single"/>
          <w:lang w:val="el-GR"/>
        </w:rPr>
      </w:pPr>
      <w:r w:rsidRPr="007200CE">
        <w:rPr>
          <w:rFonts w:ascii="Arial" w:eastAsia="MS Mincho" w:hAnsi="Arial" w:cs="Arial"/>
          <w:b/>
          <w:bCs/>
          <w:u w:val="single"/>
          <w:lang w:val="el-GR"/>
        </w:rPr>
        <w:t>Τροποποίηση Παραρτήματος ΙΙΙ «ΜΕΘΟΔΟΙ ΑΞΙΟΛΟΓΗΣΗΣ ΓΙΑ ΤΟΥΣ ΔΕΙΚΤΕΣ ΘΟΡΥΒΟΥ» των περί Αξιολόγησης και Διαχείρισης του Περιβαλλοντικού Θορύβου Νόμων του 2004 έως 2021</w:t>
      </w:r>
    </w:p>
    <w:p w14:paraId="3102BDB8" w14:textId="77777777" w:rsidR="0095291A" w:rsidRPr="007200CE" w:rsidRDefault="0095291A" w:rsidP="00E549B2">
      <w:pPr>
        <w:tabs>
          <w:tab w:val="center" w:pos="4320"/>
          <w:tab w:val="right" w:pos="8640"/>
        </w:tabs>
        <w:spacing w:after="0" w:line="240" w:lineRule="auto"/>
        <w:jc w:val="center"/>
        <w:rPr>
          <w:rFonts w:ascii="Arial" w:eastAsia="MS Mincho" w:hAnsi="Arial" w:cs="Arial"/>
          <w:b/>
          <w:bCs/>
          <w:u w:val="single"/>
          <w:lang w:val="el-GR"/>
        </w:rPr>
      </w:pPr>
    </w:p>
    <w:p w14:paraId="51350F3D" w14:textId="77777777" w:rsidR="0095291A" w:rsidRPr="007200CE" w:rsidRDefault="0095291A" w:rsidP="00E549B2">
      <w:pPr>
        <w:tabs>
          <w:tab w:val="center" w:pos="4320"/>
          <w:tab w:val="right" w:pos="8640"/>
        </w:tabs>
        <w:spacing w:after="0" w:line="240" w:lineRule="auto"/>
        <w:jc w:val="center"/>
        <w:rPr>
          <w:rFonts w:ascii="Arial" w:eastAsia="Times New Roman" w:hAnsi="Arial" w:cs="Arial"/>
          <w:lang w:val="el-GR"/>
        </w:rPr>
      </w:pPr>
      <w:r w:rsidRPr="007200CE">
        <w:rPr>
          <w:rFonts w:ascii="Arial" w:eastAsia="MS Mincho" w:hAnsi="Arial" w:cs="Arial"/>
          <w:b/>
          <w:bCs/>
          <w:u w:val="single"/>
          <w:lang w:val="el-GR"/>
        </w:rPr>
        <w:t>Εναρμόνιση της ΚΑΤ’ ΕΞΟΥΣΙΟΔΟΤΗΣΗ ΟΔΗΓΙΑΣ (ΕΕ) 2021/1226 της Επιτροπής της 21ης Δεκεμβρίου 2020 για την τροποποίηση, με σκοπό την προσαρμογή στην επιστημονική και τεχνολογική πρόοδο, του παραρτήματος II της οδηγίας 2002/49/ΕΚ του Ευρωπαϊκού Κοινοβουλίου και του Συμβουλίου όσον αφορά τις κοινές μεθόδους αξιολόγησης του θορύβου</w:t>
      </w:r>
    </w:p>
    <w:p w14:paraId="7B96775D" w14:textId="77777777" w:rsidR="0095291A" w:rsidRPr="007200CE" w:rsidRDefault="0095291A" w:rsidP="00E549B2">
      <w:pPr>
        <w:tabs>
          <w:tab w:val="left" w:pos="567"/>
        </w:tabs>
        <w:spacing w:after="0" w:line="240" w:lineRule="auto"/>
        <w:jc w:val="both"/>
        <w:rPr>
          <w:rFonts w:ascii="Arial" w:eastAsia="Times New Roman" w:hAnsi="Arial" w:cs="Arial"/>
          <w:lang w:val="el-GR"/>
        </w:rPr>
      </w:pPr>
    </w:p>
    <w:p w14:paraId="64C00BC5" w14:textId="3C196B2C" w:rsidR="0095291A" w:rsidRPr="007200CE" w:rsidRDefault="0095291A" w:rsidP="004577BF">
      <w:pPr>
        <w:tabs>
          <w:tab w:val="center" w:pos="4320"/>
          <w:tab w:val="right" w:pos="8640"/>
        </w:tabs>
        <w:spacing w:after="0" w:line="240" w:lineRule="auto"/>
        <w:ind w:firstLine="567"/>
        <w:jc w:val="both"/>
        <w:rPr>
          <w:rFonts w:ascii="Arial" w:eastAsia="Times New Roman" w:hAnsi="Arial" w:cs="Arial"/>
          <w:lang w:val="el-GR"/>
        </w:rPr>
      </w:pPr>
      <w:r w:rsidRPr="007200CE">
        <w:rPr>
          <w:rFonts w:ascii="Arial" w:eastAsia="Times New Roman" w:hAnsi="Arial" w:cs="Arial"/>
          <w:noProof/>
          <w:lang w:val="el-GR" w:eastAsia="el-GR"/>
        </w:rPr>
        <w:t xml:space="preserve">Το Υπουργικό Συμβούλιο στη </w:t>
      </w:r>
      <w:r w:rsidR="004577BF">
        <w:rPr>
          <w:rFonts w:ascii="Arial" w:eastAsia="Times New Roman" w:hAnsi="Arial" w:cs="Arial"/>
          <w:noProof/>
          <w:lang w:val="el-GR" w:eastAsia="el-GR"/>
        </w:rPr>
        <w:t>Σ</w:t>
      </w:r>
      <w:r w:rsidRPr="007200CE">
        <w:rPr>
          <w:rFonts w:ascii="Arial" w:eastAsia="Times New Roman" w:hAnsi="Arial" w:cs="Arial"/>
          <w:noProof/>
          <w:lang w:val="el-GR" w:eastAsia="el-GR"/>
        </w:rPr>
        <w:t xml:space="preserve">υνεδρία του στις </w:t>
      </w:r>
      <w:r w:rsidR="000D4FE6" w:rsidRPr="007200CE">
        <w:rPr>
          <w:rFonts w:ascii="Arial" w:eastAsia="Times New Roman" w:hAnsi="Arial" w:cs="Arial"/>
          <w:noProof/>
          <w:lang w:val="el-GR" w:eastAsia="el-GR"/>
        </w:rPr>
        <w:t>26</w:t>
      </w:r>
      <w:r w:rsidRPr="007200CE">
        <w:rPr>
          <w:rFonts w:ascii="Arial" w:eastAsia="Times New Roman" w:hAnsi="Arial" w:cs="Arial"/>
          <w:noProof/>
          <w:lang w:val="el-GR" w:eastAsia="el-GR"/>
        </w:rPr>
        <w:t xml:space="preserve"> </w:t>
      </w:r>
      <w:r w:rsidR="000D4FE6" w:rsidRPr="007200CE">
        <w:rPr>
          <w:rFonts w:ascii="Arial" w:eastAsia="Times New Roman" w:hAnsi="Arial" w:cs="Arial"/>
          <w:noProof/>
          <w:lang w:val="el-GR" w:eastAsia="el-GR"/>
        </w:rPr>
        <w:t>Ιανουαρίου</w:t>
      </w:r>
      <w:r w:rsidRPr="007200CE">
        <w:rPr>
          <w:rFonts w:ascii="Arial" w:eastAsia="Times New Roman" w:hAnsi="Arial" w:cs="Arial"/>
          <w:noProof/>
          <w:lang w:val="el-GR" w:eastAsia="el-GR"/>
        </w:rPr>
        <w:t xml:space="preserve"> 202</w:t>
      </w:r>
      <w:r w:rsidR="000D4FE6" w:rsidRPr="007200CE">
        <w:rPr>
          <w:rFonts w:ascii="Arial" w:eastAsia="Times New Roman" w:hAnsi="Arial" w:cs="Arial"/>
          <w:noProof/>
          <w:lang w:val="el-GR" w:eastAsia="el-GR"/>
        </w:rPr>
        <w:t>2</w:t>
      </w:r>
      <w:r w:rsidR="004577BF">
        <w:rPr>
          <w:rFonts w:ascii="Arial" w:eastAsia="Times New Roman" w:hAnsi="Arial" w:cs="Arial"/>
          <w:noProof/>
          <w:lang w:val="el-GR" w:eastAsia="el-GR"/>
        </w:rPr>
        <w:t>,</w:t>
      </w:r>
      <w:r w:rsidRPr="007200CE">
        <w:rPr>
          <w:rFonts w:ascii="Arial" w:eastAsia="Times New Roman" w:hAnsi="Arial" w:cs="Arial"/>
          <w:noProof/>
          <w:color w:val="FF0000"/>
          <w:lang w:val="el-GR" w:eastAsia="el-GR"/>
        </w:rPr>
        <w:t xml:space="preserve"> </w:t>
      </w:r>
      <w:r w:rsidRPr="007200CE">
        <w:rPr>
          <w:rFonts w:ascii="Arial" w:eastAsia="Times New Roman" w:hAnsi="Arial" w:cs="Arial"/>
          <w:noProof/>
          <w:lang w:val="el-GR" w:eastAsia="el-GR"/>
        </w:rPr>
        <w:t xml:space="preserve">ενέκρινε το Νομοσχέδιο με τίτλο </w:t>
      </w:r>
      <w:r w:rsidR="004577BF" w:rsidRPr="007200CE">
        <w:rPr>
          <w:rFonts w:ascii="Arial" w:eastAsia="Calibri" w:hAnsi="Arial" w:cs="Arial"/>
          <w:lang w:val="el-GR"/>
        </w:rPr>
        <w:t>«Ο περί Αξιολόγησης και Διαχείρισης του Περιβαλλοντικού Θορύβου (Τροποποιητικός) Νόμος του 2022»</w:t>
      </w:r>
      <w:r w:rsidR="004577BF" w:rsidRPr="007200CE">
        <w:rPr>
          <w:rFonts w:ascii="Arial" w:eastAsia="MS Mincho" w:hAnsi="Arial" w:cs="Arial"/>
          <w:bCs/>
          <w:color w:val="FF0000"/>
          <w:lang w:val="el-GR"/>
        </w:rPr>
        <w:t xml:space="preserve"> </w:t>
      </w:r>
      <w:r w:rsidRPr="007200CE">
        <w:rPr>
          <w:rFonts w:ascii="Arial" w:eastAsia="MS Mincho" w:hAnsi="Arial" w:cs="Arial"/>
          <w:bCs/>
          <w:color w:val="FF0000"/>
          <w:lang w:val="el-GR"/>
        </w:rPr>
        <w:t xml:space="preserve"> </w:t>
      </w:r>
      <w:r w:rsidRPr="007200CE">
        <w:rPr>
          <w:rFonts w:ascii="Arial" w:eastAsiaTheme="minorEastAsia" w:hAnsi="Arial" w:cs="Arial"/>
          <w:lang w:val="el-GR" w:eastAsia="en-GB"/>
        </w:rPr>
        <w:t>και εξουσιοδότησε τον Υπουργό Γεωργίας, Αγροτικής Ανάπτυξης και Περιβάλλοντος να το καταθέσει στη Βουλή των Αντιπροσώπων για ψήφισ</w:t>
      </w:r>
      <w:r w:rsidR="004577BF">
        <w:rPr>
          <w:rFonts w:ascii="Arial" w:eastAsiaTheme="minorEastAsia" w:hAnsi="Arial" w:cs="Arial"/>
          <w:lang w:val="el-GR" w:eastAsia="en-GB"/>
        </w:rPr>
        <w:t>ή</w:t>
      </w:r>
      <w:r w:rsidRPr="007200CE">
        <w:rPr>
          <w:rFonts w:ascii="Arial" w:eastAsiaTheme="minorEastAsia" w:hAnsi="Arial" w:cs="Arial"/>
          <w:lang w:val="el-GR" w:eastAsia="en-GB"/>
        </w:rPr>
        <w:t xml:space="preserve"> του σε </w:t>
      </w:r>
      <w:r w:rsidR="004577BF">
        <w:rPr>
          <w:rFonts w:ascii="Arial" w:eastAsiaTheme="minorEastAsia" w:hAnsi="Arial" w:cs="Arial"/>
          <w:lang w:val="el-GR" w:eastAsia="en-GB"/>
        </w:rPr>
        <w:t>Ν</w:t>
      </w:r>
      <w:r w:rsidRPr="007200CE">
        <w:rPr>
          <w:rFonts w:ascii="Arial" w:eastAsiaTheme="minorEastAsia" w:hAnsi="Arial" w:cs="Arial"/>
          <w:lang w:val="el-GR" w:eastAsia="en-GB"/>
        </w:rPr>
        <w:t>όμο.</w:t>
      </w:r>
    </w:p>
    <w:p w14:paraId="7C4F2CCC" w14:textId="77777777" w:rsidR="0095291A" w:rsidRPr="007200CE" w:rsidRDefault="0095291A" w:rsidP="00E549B2">
      <w:pPr>
        <w:tabs>
          <w:tab w:val="left" w:pos="567"/>
        </w:tabs>
        <w:spacing w:after="0" w:line="240" w:lineRule="auto"/>
        <w:jc w:val="both"/>
        <w:rPr>
          <w:rFonts w:ascii="Arial" w:eastAsia="MS Mincho" w:hAnsi="Arial" w:cs="Arial"/>
          <w:lang w:val="el-GR"/>
        </w:rPr>
      </w:pPr>
    </w:p>
    <w:p w14:paraId="566E33AE" w14:textId="36313A45" w:rsidR="0095291A" w:rsidRPr="007200CE" w:rsidRDefault="0095291A" w:rsidP="00E549B2">
      <w:pPr>
        <w:tabs>
          <w:tab w:val="left" w:pos="567"/>
        </w:tabs>
        <w:spacing w:after="0" w:line="240" w:lineRule="auto"/>
        <w:jc w:val="both"/>
        <w:rPr>
          <w:rFonts w:ascii="Arial" w:eastAsia="Times New Roman" w:hAnsi="Arial" w:cs="Arial"/>
          <w:lang w:val="el-GR"/>
        </w:rPr>
      </w:pPr>
      <w:r w:rsidRPr="007200CE">
        <w:rPr>
          <w:rFonts w:ascii="Arial" w:eastAsia="Times New Roman" w:hAnsi="Arial" w:cs="Arial"/>
          <w:lang w:val="el-GR"/>
        </w:rPr>
        <w:t>2.</w:t>
      </w:r>
      <w:r w:rsidR="004577BF" w:rsidRPr="007200CE">
        <w:rPr>
          <w:rFonts w:ascii="Arial" w:eastAsia="Times New Roman" w:hAnsi="Arial" w:cs="Arial"/>
          <w:lang w:val="el-GR"/>
        </w:rPr>
        <w:tab/>
      </w:r>
      <w:r w:rsidRPr="007200CE">
        <w:rPr>
          <w:rFonts w:ascii="Arial" w:eastAsia="Times New Roman" w:hAnsi="Arial" w:cs="Arial"/>
          <w:lang w:val="el-GR"/>
        </w:rPr>
        <w:t xml:space="preserve">Το Τμήμα Περιβάλλοντος του Υπουργείου Γεωργίας, Αγροτικής Ανάπτυξης και Περιβάλλοντος είναι η αρμόδια αρχή για την εφαρμογή των περί της Αξιολόγησης και Διαχείρισης του Περιβαλλοντικού Θορύβου Νόμων του 2004 έως 2021 που εναρμόνισαν την Εθνική Νομοθεσία με την Οδηγία 2002/49/ΕΚ του Ευρωπαϊκού Κοινοβουλίου και του Συμβουλίου της 25ης Ιουνίου 2002 σχετικά με την αξιολόγηση και τη διαχείριση του περιβαλλοντικού θορύβου. </w:t>
      </w:r>
    </w:p>
    <w:p w14:paraId="5CC16EA7" w14:textId="77777777" w:rsidR="0095291A" w:rsidRPr="007200CE" w:rsidRDefault="0095291A" w:rsidP="00E549B2">
      <w:pPr>
        <w:spacing w:after="0" w:line="240" w:lineRule="auto"/>
        <w:jc w:val="both"/>
        <w:rPr>
          <w:rFonts w:ascii="Arial" w:eastAsia="Times New Roman" w:hAnsi="Arial" w:cs="Arial"/>
          <w:lang w:val="el-GR"/>
        </w:rPr>
      </w:pPr>
    </w:p>
    <w:p w14:paraId="03BEF1B6" w14:textId="59303F55" w:rsidR="0095291A" w:rsidRPr="007200CE" w:rsidRDefault="0095291A" w:rsidP="00E549B2">
      <w:pPr>
        <w:pStyle w:val="ListParagraph"/>
        <w:numPr>
          <w:ilvl w:val="0"/>
          <w:numId w:val="4"/>
        </w:numPr>
        <w:spacing w:after="0" w:line="240" w:lineRule="auto"/>
        <w:ind w:left="0" w:firstLine="0"/>
        <w:jc w:val="both"/>
        <w:rPr>
          <w:rFonts w:ascii="Arial" w:eastAsia="Times New Roman" w:hAnsi="Arial" w:cs="Arial"/>
          <w:b/>
          <w:lang w:val="el-GR"/>
        </w:rPr>
      </w:pPr>
      <w:r w:rsidRPr="007200CE">
        <w:rPr>
          <w:rFonts w:ascii="Arial" w:eastAsia="Times New Roman" w:hAnsi="Arial" w:cs="Arial"/>
          <w:lang w:val="el-GR"/>
        </w:rPr>
        <w:t>Το παρόν νομοσχέδιο τροποποιεί το Παράρτημα ΙΙΙ του περί της Αξιολόγησης και Διαχείρισης του Περιβαλλοντικού Θορύβου (Τροποποιητικού) Νόμου του 2019 [Ν.125(Ι)/2019], ο οποίος τέθηκε σε ισχύ στις 31/7/2019. Ο Νόμος του 2019 εναρμόνισε την Οδηγία (ΕΕ) 2015/996 της Επιτροπής της 19ης Μαΐου 2015 για τη θέσπιση κοινών μεθόδων αξιολόγησης του θορύβου (CNOSSOS) για όλα τα κράτη μέλη. Το Παράρτημα της οδηγίας αυτής περιγράφει τις κοινές μεθόδους της Ε.Ε. για τον υπολογισμό της έκθεσης σε διαφορετικά επίπεδα θορύβου από οδική, αεροπορική και σιδηροδρομική κυκλοφορία και βιομηχανικές εγκαταστάσεις. Μέχρι σήμερα η Κύπρος και τα λοιπά κράτη μέλη χρησιμοποιούσαν τις πιο πάνω κοινές μεθόδους αξιολόγησης (</w:t>
      </w:r>
      <w:r w:rsidRPr="007200CE">
        <w:rPr>
          <w:rFonts w:ascii="Arial" w:eastAsia="Times New Roman" w:hAnsi="Arial" w:cs="Arial"/>
        </w:rPr>
        <w:t>CNOSSOS</w:t>
      </w:r>
      <w:r w:rsidRPr="007200CE">
        <w:rPr>
          <w:rFonts w:ascii="Arial" w:eastAsia="Times New Roman" w:hAnsi="Arial" w:cs="Arial"/>
          <w:lang w:val="el-GR"/>
        </w:rPr>
        <w:t>) για τον υπολογισμό της έκθεσης σε διαφορετικά επίπεδα θορύβου από οδική, αεροπορική και σιδηροδρομική κυκλοφορία και βιομηχανικές εγκαταστάσεις, με την εκπόνηση Στρατηγικών Χαρτών Θορύβου και Σχεδίων Δράσης ανά πέντε (5) χρόνια.</w:t>
      </w:r>
    </w:p>
    <w:p w14:paraId="4F4B7BF4" w14:textId="77777777" w:rsidR="0095291A" w:rsidRPr="007200CE" w:rsidRDefault="0095291A" w:rsidP="00E549B2">
      <w:pPr>
        <w:spacing w:after="0" w:line="240" w:lineRule="auto"/>
        <w:ind w:firstLine="90"/>
        <w:jc w:val="both"/>
        <w:rPr>
          <w:rFonts w:ascii="Arial" w:eastAsia="Times New Roman" w:hAnsi="Arial" w:cs="Arial"/>
          <w:b/>
          <w:lang w:val="el-GR"/>
        </w:rPr>
      </w:pPr>
    </w:p>
    <w:p w14:paraId="1DDF1942" w14:textId="6DEC95F0" w:rsidR="0095291A" w:rsidRPr="007200CE" w:rsidRDefault="00176E25" w:rsidP="00E549B2">
      <w:pPr>
        <w:pStyle w:val="ListParagraph"/>
        <w:numPr>
          <w:ilvl w:val="0"/>
          <w:numId w:val="4"/>
        </w:numPr>
        <w:spacing w:after="0" w:line="240" w:lineRule="auto"/>
        <w:ind w:left="0" w:firstLine="0"/>
        <w:jc w:val="both"/>
        <w:rPr>
          <w:rFonts w:ascii="Arial" w:eastAsia="Times New Roman" w:hAnsi="Arial" w:cs="Arial"/>
          <w:b/>
          <w:lang w:val="el-GR"/>
        </w:rPr>
      </w:pPr>
      <w:r w:rsidRPr="007200CE">
        <w:rPr>
          <w:rFonts w:ascii="Arial" w:eastAsia="Times New Roman" w:hAnsi="Arial" w:cs="Arial"/>
          <w:lang w:val="el-GR"/>
        </w:rPr>
        <w:t xml:space="preserve"> </w:t>
      </w:r>
      <w:r w:rsidR="0095291A" w:rsidRPr="007200CE">
        <w:rPr>
          <w:rFonts w:ascii="Arial" w:eastAsia="Times New Roman" w:hAnsi="Arial" w:cs="Arial"/>
          <w:lang w:val="el-GR"/>
        </w:rPr>
        <w:t>Η Ε.Ε. έκρινε ότι το πιο πάνω Παράρτημα της Οδηγίας του 2015 έπρεπε να προσαρμοστεί στην τεχνολογική και επιστημονική πρόοδο. Συνεπώς, από το 2016 έως το 2020 η Επιτροπή συνεργάστηκε με τεχνικούς και επιστημονικούς εμπειρογνώμονες από τα κράτη μέλη για να αξιολογήσει ποιες προσαρμογές ήταν αναγκαίες, λαμβάνοντας υπόψη τις τεχνολογικές και επιστημονικές εξελίξεις όσον αφορά τον υπολογισμό του περιβάλλοντος θορύβου. Αυτή η διαδικασία διεξήχθη σε στενή διαβούλευση με την ομάδα εμπειρογνωμόνων για τον θόρυβο, που αποτελείται από κράτη μέλη (στην οποία συμμετείχε η Κύπρος), το Ευρωπαϊκό Κοινοβούλιο, ενδιαφερόμενα μέρη του κλάδου, δημόσιες αρχές των κρατών μελών, ΜΚΟ, πολίτες και μέλη της ακαδημαϊκής κοινότητας.</w:t>
      </w:r>
    </w:p>
    <w:p w14:paraId="12D8B5BF" w14:textId="77777777" w:rsidR="0095291A" w:rsidRPr="007200CE" w:rsidRDefault="0095291A" w:rsidP="00E549B2">
      <w:pPr>
        <w:spacing w:after="0" w:line="240" w:lineRule="auto"/>
        <w:jc w:val="both"/>
        <w:rPr>
          <w:rFonts w:ascii="Arial" w:eastAsia="Times New Roman" w:hAnsi="Arial" w:cs="Arial"/>
          <w:b/>
          <w:lang w:val="el-GR"/>
        </w:rPr>
      </w:pPr>
    </w:p>
    <w:p w14:paraId="1EC11FC7" w14:textId="77777777" w:rsidR="0095291A" w:rsidRPr="007200CE" w:rsidRDefault="0095291A" w:rsidP="00E549B2">
      <w:pPr>
        <w:numPr>
          <w:ilvl w:val="0"/>
          <w:numId w:val="4"/>
        </w:numPr>
        <w:spacing w:after="0" w:line="240" w:lineRule="auto"/>
        <w:ind w:left="0" w:firstLine="0"/>
        <w:jc w:val="both"/>
        <w:rPr>
          <w:rFonts w:ascii="Arial" w:eastAsia="Times New Roman" w:hAnsi="Arial" w:cs="Arial"/>
          <w:bCs/>
          <w:lang w:val="el-GR"/>
        </w:rPr>
      </w:pPr>
      <w:r w:rsidRPr="007200CE">
        <w:rPr>
          <w:rFonts w:ascii="Arial" w:eastAsia="Times New Roman" w:hAnsi="Arial" w:cs="Arial"/>
          <w:bCs/>
          <w:lang w:val="el-GR"/>
        </w:rPr>
        <w:t>Με βάση τα πιο πάνω, στις 28 Ιουλίου 2021 δημοσιεύτηκε η κατ’ εξουσιοδότηση Οδηγία (ΕΕ) 2021/1226 της Επιτροπής της 21</w:t>
      </w:r>
      <w:r w:rsidRPr="007200CE">
        <w:rPr>
          <w:rFonts w:ascii="Arial" w:eastAsia="Times New Roman" w:hAnsi="Arial" w:cs="Arial"/>
          <w:bCs/>
          <w:vertAlign w:val="superscript"/>
          <w:lang w:val="el-GR"/>
        </w:rPr>
        <w:t>ης</w:t>
      </w:r>
      <w:r w:rsidRPr="007200CE">
        <w:rPr>
          <w:rFonts w:ascii="Arial" w:eastAsia="Times New Roman" w:hAnsi="Arial" w:cs="Arial"/>
          <w:bCs/>
          <w:lang w:val="el-GR"/>
        </w:rPr>
        <w:t xml:space="preserve"> Δεκεμβρίου 2020 για την τροποποίηση του Παραρτήματος της Οδηγίας του 2015 (Παράρτημα II της Οδηγίας 2002/49/ΕΚ), αναθεωρώντας τις κοινές μεθόδους αξιολόγησης του θορύβου </w:t>
      </w:r>
      <w:r w:rsidRPr="007200CE">
        <w:rPr>
          <w:rFonts w:ascii="Arial" w:eastAsia="Times New Roman" w:hAnsi="Arial" w:cs="Arial"/>
          <w:lang w:val="el-GR"/>
        </w:rPr>
        <w:t xml:space="preserve">(CNOSSOS), </w:t>
      </w:r>
      <w:r w:rsidRPr="007200CE">
        <w:rPr>
          <w:rFonts w:ascii="Arial" w:eastAsia="Times New Roman" w:hAnsi="Arial" w:cs="Arial"/>
          <w:bCs/>
          <w:lang w:val="el-GR"/>
        </w:rPr>
        <w:t>με σκοπό την προσαρμογή στην επιστημονική και τεχνολογική πρόοδο.</w:t>
      </w:r>
    </w:p>
    <w:p w14:paraId="71ECE264" w14:textId="77777777" w:rsidR="0095291A" w:rsidRPr="007200CE" w:rsidRDefault="0095291A" w:rsidP="00E549B2">
      <w:pPr>
        <w:spacing w:after="0" w:line="240" w:lineRule="auto"/>
        <w:rPr>
          <w:rFonts w:ascii="Arial" w:eastAsia="Times New Roman" w:hAnsi="Arial" w:cs="Arial"/>
          <w:lang w:val="el-GR"/>
        </w:rPr>
      </w:pPr>
    </w:p>
    <w:p w14:paraId="27B61303" w14:textId="77777777" w:rsidR="0095291A" w:rsidRPr="007200CE" w:rsidRDefault="0095291A" w:rsidP="00E549B2">
      <w:pPr>
        <w:numPr>
          <w:ilvl w:val="0"/>
          <w:numId w:val="4"/>
        </w:numPr>
        <w:spacing w:after="0" w:line="240" w:lineRule="auto"/>
        <w:ind w:left="0" w:firstLine="0"/>
        <w:jc w:val="both"/>
        <w:rPr>
          <w:rFonts w:ascii="Arial" w:eastAsia="Times New Roman" w:hAnsi="Arial" w:cs="Arial"/>
          <w:b/>
          <w:lang w:val="el-GR"/>
        </w:rPr>
      </w:pPr>
      <w:r w:rsidRPr="007200CE">
        <w:rPr>
          <w:rFonts w:ascii="Arial" w:eastAsia="Times New Roman" w:hAnsi="Arial" w:cs="Arial"/>
          <w:lang w:val="el-GR"/>
        </w:rPr>
        <w:t>Το υπό εξέταση νομοσχέδιο εναρμονίζει την Οδηγία (ΕΕ) 2021/1226, με την οποία η Κύπρος είναι υποχρεωμένη να χρησιμοποιεί αυτές τις μεθόδους το αργότερο από τις 31 Δεκεμβρίου 2021. Η Κύπρος οφείλει να χρησιμοποιεί αυτές τις μεθόδους, αρχίζοντας από τον 4</w:t>
      </w:r>
      <w:r w:rsidRPr="007200CE">
        <w:rPr>
          <w:rFonts w:ascii="Arial" w:eastAsia="Times New Roman" w:hAnsi="Arial" w:cs="Arial"/>
          <w:vertAlign w:val="superscript"/>
          <w:lang w:val="el-GR"/>
        </w:rPr>
        <w:t>ο</w:t>
      </w:r>
      <w:r w:rsidRPr="007200CE">
        <w:rPr>
          <w:rFonts w:ascii="Arial" w:eastAsia="Times New Roman" w:hAnsi="Arial" w:cs="Arial"/>
          <w:lang w:val="el-GR"/>
        </w:rPr>
        <w:t xml:space="preserve"> γύρο στρατηγικής χαρτογράφησης θορύβου, με την εκπόνηση στρατηγικών χαρτών θορύβου μέχρι τις 30/6/2022 και τη θέσπιση σχεδίων δράσης μέχρι τις 18/7/2023, με στόχο την πρόληψη και τον περιορισμό του περιβαλλοντικού θορύβου. Επίσης, οι περιβαλλοντικές μελέτες που εκπονούνται για έργα όπως οδικό δίκτυο, σιδηροδρομικό δίκτυο, αεροδρόμια και βιομηχανικές εγκαταστάσεις, εφαρμόζουν αυτές τις κοινές μεθόδους αξιολόγησης του θορύβου.</w:t>
      </w:r>
    </w:p>
    <w:p w14:paraId="0F041729" w14:textId="77777777" w:rsidR="0095291A" w:rsidRPr="007200CE" w:rsidRDefault="0095291A" w:rsidP="00E549B2">
      <w:pPr>
        <w:spacing w:after="0" w:line="240" w:lineRule="auto"/>
        <w:ind w:left="720"/>
        <w:rPr>
          <w:rFonts w:ascii="Arial" w:eastAsia="Times New Roman" w:hAnsi="Arial" w:cs="Arial"/>
          <w:lang w:val="el-GR"/>
        </w:rPr>
      </w:pPr>
    </w:p>
    <w:p w14:paraId="2AF934CC" w14:textId="77777777" w:rsidR="0095291A" w:rsidRPr="007200CE" w:rsidRDefault="0095291A" w:rsidP="00E549B2">
      <w:pPr>
        <w:numPr>
          <w:ilvl w:val="0"/>
          <w:numId w:val="4"/>
        </w:numPr>
        <w:spacing w:after="0" w:line="240" w:lineRule="auto"/>
        <w:ind w:left="0" w:firstLine="0"/>
        <w:jc w:val="both"/>
        <w:rPr>
          <w:rFonts w:ascii="Arial" w:eastAsia="Times New Roman" w:hAnsi="Arial" w:cs="Arial"/>
          <w:b/>
          <w:lang w:val="el-GR"/>
        </w:rPr>
      </w:pPr>
      <w:r w:rsidRPr="007200CE">
        <w:rPr>
          <w:rFonts w:ascii="Arial" w:eastAsia="Times New Roman" w:hAnsi="Arial" w:cs="Arial"/>
          <w:lang w:val="el-GR"/>
        </w:rPr>
        <w:t>Σημειώνεται ότι το Τμήμα Περιβάλλοντος πραγματοποίησε στοχευμένη διαβούλευση τον Ιανουάριο 2021, με σκοπό την ετοιμασία του νομοσχεδίου για εναρμόνιση της εν λόγω οδηγίας. Συγκεκριμένα, ο διάλογος αφορούσε την Επίτροπο Περιβάλλοντος, Υπουργεία / Τμήματα</w:t>
      </w:r>
      <w:r w:rsidRPr="007200CE">
        <w:rPr>
          <w:rFonts w:ascii="Arial" w:eastAsia="Times New Roman" w:hAnsi="Arial" w:cs="Arial"/>
          <w:bCs/>
          <w:lang w:val="el-GR"/>
        </w:rPr>
        <w:t xml:space="preserve"> (Υπουργείο Δικαιοσύνης και Δημοσίας Τάξεως, Υπουργείο Ενέργειας, Εμπορίου και Βιομηχανίας, Υπουργείο Εσωτερικών, Ιατρικές Υπηρεσίες και Υπηρεσίες Δημόσιας Υγείας, Τμήμα Δημοσίων Έργων, Τμήμα Οδικών Μεταφορών, Τμήμα Πολεοδομίας και Οικήσεως, Τμήμα Πολιτικής Αεροπορίας, Στατιστική Υπηρεσία, Τμήμα Ηλεκτρομηχανολογικών Υπηρεσιών), Αρχή Λιμένων Κύπρου,</w:t>
      </w:r>
      <w:r w:rsidRPr="007200CE">
        <w:rPr>
          <w:rFonts w:ascii="Arial" w:eastAsia="Times New Roman" w:hAnsi="Arial" w:cs="Arial"/>
          <w:lang w:val="el-GR"/>
        </w:rPr>
        <w:t xml:space="preserve"> Επιστημονικό Τεχνικό Επιμελητήριο Κύπρου και Ακαδημαϊκά Ιδρύματα. Λαμβάνοντας υπόψη ότι οι τροποποιήσεις αυτές είναι τεχνικού χαρακτήρα, οι πιο πάνω φορείς δεν εξέφρασαν σημαντικές απόψεις που να διαφοροποιούν τόσο το σύνολο εξισώσεων και συντελεστών του Παραρτήματος του νομοσχεδίου. </w:t>
      </w:r>
    </w:p>
    <w:p w14:paraId="356B32BA" w14:textId="77777777" w:rsidR="0095291A" w:rsidRPr="007200CE" w:rsidRDefault="0095291A" w:rsidP="00E549B2">
      <w:pPr>
        <w:spacing w:after="0" w:line="240" w:lineRule="auto"/>
        <w:rPr>
          <w:rFonts w:ascii="Arial" w:eastAsia="Times New Roman" w:hAnsi="Arial" w:cs="Arial"/>
          <w:bCs/>
          <w:lang w:val="el-GR"/>
        </w:rPr>
      </w:pPr>
    </w:p>
    <w:p w14:paraId="6C85E162" w14:textId="77777777" w:rsidR="0095291A" w:rsidRPr="007200CE" w:rsidRDefault="0095291A" w:rsidP="00E549B2">
      <w:pPr>
        <w:numPr>
          <w:ilvl w:val="0"/>
          <w:numId w:val="4"/>
        </w:numPr>
        <w:spacing w:after="0" w:line="240" w:lineRule="auto"/>
        <w:ind w:hanging="720"/>
        <w:jc w:val="both"/>
        <w:rPr>
          <w:rFonts w:ascii="Arial" w:eastAsia="Times New Roman" w:hAnsi="Arial" w:cs="Arial"/>
          <w:bCs/>
          <w:lang w:val="el-GR"/>
        </w:rPr>
      </w:pPr>
      <w:r w:rsidRPr="007200CE">
        <w:rPr>
          <w:rFonts w:ascii="Arial" w:eastAsia="Times New Roman" w:hAnsi="Arial" w:cs="Arial"/>
          <w:u w:val="single"/>
          <w:lang w:val="el-GR"/>
        </w:rPr>
        <w:t>Οικονομικές Επιπτώσεις</w:t>
      </w:r>
      <w:r w:rsidRPr="007200CE">
        <w:rPr>
          <w:rFonts w:ascii="Arial" w:eastAsia="Times New Roman" w:hAnsi="Arial" w:cs="Arial"/>
          <w:lang w:val="el-GR"/>
        </w:rPr>
        <w:t>: Δεν αναμένεται να προκύψει οικονομικός αντίκτυπος στον δημόσιο και ιδιωτικό τομέα.</w:t>
      </w:r>
    </w:p>
    <w:p w14:paraId="6724684E" w14:textId="77777777" w:rsidR="0095291A" w:rsidRPr="007200CE" w:rsidRDefault="0095291A" w:rsidP="00E549B2">
      <w:pPr>
        <w:spacing w:after="0" w:line="240" w:lineRule="auto"/>
        <w:ind w:left="720"/>
        <w:rPr>
          <w:rFonts w:ascii="Arial" w:eastAsia="Times New Roman" w:hAnsi="Arial" w:cs="Arial"/>
          <w:bCs/>
          <w:lang w:val="el-GR"/>
        </w:rPr>
      </w:pPr>
    </w:p>
    <w:p w14:paraId="7AC27457" w14:textId="77777777" w:rsidR="0095291A" w:rsidRPr="007200CE" w:rsidRDefault="0095291A" w:rsidP="00E549B2">
      <w:pPr>
        <w:numPr>
          <w:ilvl w:val="0"/>
          <w:numId w:val="4"/>
        </w:numPr>
        <w:spacing w:after="0" w:line="240" w:lineRule="auto"/>
        <w:ind w:left="0" w:firstLine="0"/>
        <w:jc w:val="both"/>
        <w:rPr>
          <w:rFonts w:ascii="Arial" w:eastAsia="Times New Roman" w:hAnsi="Arial" w:cs="Arial"/>
          <w:bCs/>
          <w:lang w:val="el-GR"/>
        </w:rPr>
      </w:pPr>
      <w:r w:rsidRPr="007200CE">
        <w:rPr>
          <w:rFonts w:ascii="Arial" w:eastAsia="Times New Roman" w:hAnsi="Arial" w:cs="Arial"/>
          <w:u w:val="single"/>
          <w:lang w:val="el-GR"/>
        </w:rPr>
        <w:t>Κοινωνικές Επιπτώσεις</w:t>
      </w:r>
      <w:r w:rsidRPr="007200CE">
        <w:rPr>
          <w:rFonts w:ascii="Arial" w:eastAsia="Times New Roman" w:hAnsi="Arial" w:cs="Arial"/>
          <w:lang w:val="el-GR"/>
        </w:rPr>
        <w:t>: Δεν αναμένεται να προκύψουν συνέπειες στην εξυπηρέτηση των πολιτών/επιχειρήσεων, στην απασχόληση, στις συνθήκες εργασίας, στην ισότητα των φύλων, κ.λπ.</w:t>
      </w:r>
    </w:p>
    <w:p w14:paraId="10F61F0D" w14:textId="77777777" w:rsidR="0095291A" w:rsidRPr="007200CE" w:rsidRDefault="0095291A" w:rsidP="00E549B2">
      <w:pPr>
        <w:spacing w:after="0" w:line="240" w:lineRule="auto"/>
        <w:ind w:left="720"/>
        <w:rPr>
          <w:rFonts w:ascii="Arial" w:eastAsia="Times New Roman" w:hAnsi="Arial" w:cs="Arial"/>
          <w:bCs/>
          <w:lang w:val="el-GR"/>
        </w:rPr>
      </w:pPr>
    </w:p>
    <w:p w14:paraId="49EFB7B7" w14:textId="61C74DBB" w:rsidR="00AB5853" w:rsidRPr="007200CE" w:rsidRDefault="0095291A" w:rsidP="00E549B2">
      <w:pPr>
        <w:numPr>
          <w:ilvl w:val="0"/>
          <w:numId w:val="4"/>
        </w:numPr>
        <w:spacing w:after="0" w:line="240" w:lineRule="auto"/>
        <w:ind w:left="0" w:firstLine="0"/>
        <w:jc w:val="both"/>
        <w:rPr>
          <w:rFonts w:ascii="Arial" w:eastAsia="Times New Roman" w:hAnsi="Arial" w:cs="Arial"/>
          <w:bCs/>
          <w:lang w:val="el-GR"/>
        </w:rPr>
      </w:pPr>
      <w:r w:rsidRPr="007200CE">
        <w:rPr>
          <w:rFonts w:ascii="Arial" w:eastAsia="Times New Roman" w:hAnsi="Arial" w:cs="Arial"/>
          <w:u w:val="single"/>
          <w:lang w:val="el-GR"/>
        </w:rPr>
        <w:t>Περιβαλλοντικές Επιπτώσεις</w:t>
      </w:r>
      <w:r w:rsidRPr="007200CE">
        <w:rPr>
          <w:rFonts w:ascii="Arial" w:eastAsia="Times New Roman" w:hAnsi="Arial" w:cs="Arial"/>
          <w:lang w:val="el-GR"/>
        </w:rPr>
        <w:t>: Δεν αναμένεται να προκύψουν αρνητικές επιπτώσεις στο περιβάλλον, ωστόσο θα βελτιωθεί αισθητά η ποιότητα των περιβαλλοντικών μελετών με θετικές επιπτώσεις στη διαδικασία αξιολόγησής τους.</w:t>
      </w:r>
    </w:p>
    <w:p w14:paraId="41B0D58E" w14:textId="77777777" w:rsidR="00AB5853" w:rsidRPr="007200CE" w:rsidRDefault="00AB5853" w:rsidP="00E549B2">
      <w:pPr>
        <w:spacing w:after="0" w:line="240" w:lineRule="auto"/>
        <w:contextualSpacing/>
        <w:jc w:val="both"/>
        <w:rPr>
          <w:rFonts w:ascii="Arial" w:eastAsia="Times New Roman" w:hAnsi="Arial" w:cs="Arial"/>
          <w:lang w:val="el-GR"/>
        </w:rPr>
      </w:pPr>
    </w:p>
    <w:p w14:paraId="37FD7FE1" w14:textId="228C1182" w:rsidR="00AB5853" w:rsidRPr="007200CE" w:rsidRDefault="00E72D48" w:rsidP="00E549B2">
      <w:pPr>
        <w:spacing w:after="0" w:line="240" w:lineRule="auto"/>
        <w:contextualSpacing/>
        <w:jc w:val="both"/>
        <w:rPr>
          <w:rFonts w:ascii="Arial" w:eastAsia="Times New Roman" w:hAnsi="Arial" w:cs="Arial"/>
          <w:lang w:val="el-GR"/>
        </w:rPr>
      </w:pPr>
      <w:r>
        <w:rPr>
          <w:rFonts w:ascii="Arial" w:eastAsia="Times New Roman" w:hAnsi="Arial" w:cs="Arial"/>
          <w:lang w:val="el-GR"/>
        </w:rPr>
        <w:t>11</w:t>
      </w:r>
      <w:r w:rsidR="00AB5853" w:rsidRPr="007200CE">
        <w:rPr>
          <w:rFonts w:ascii="Arial" w:eastAsia="Times New Roman" w:hAnsi="Arial" w:cs="Arial"/>
          <w:lang w:val="el-GR"/>
        </w:rPr>
        <w:t>.</w:t>
      </w:r>
      <w:r w:rsidR="00AB5853" w:rsidRPr="007200CE">
        <w:rPr>
          <w:rFonts w:ascii="Arial" w:eastAsia="Times New Roman" w:hAnsi="Arial" w:cs="Arial"/>
          <w:lang w:val="el-GR"/>
        </w:rPr>
        <w:tab/>
        <w:t xml:space="preserve">Το αναφερόμενο Νομοσχέδιο, το οποίο εγκρίθηκε από το Υπουργικό Συμβούλιο με την Απόφαση με ημερομηνία </w:t>
      </w:r>
      <w:r w:rsidR="00E549B2" w:rsidRPr="007200CE">
        <w:rPr>
          <w:rFonts w:ascii="Arial" w:eastAsia="Times New Roman" w:hAnsi="Arial" w:cs="Arial"/>
          <w:lang w:val="el-GR"/>
        </w:rPr>
        <w:t>26 Ιανουαρίου</w:t>
      </w:r>
      <w:r w:rsidR="00AB5853" w:rsidRPr="007200CE">
        <w:rPr>
          <w:rFonts w:ascii="Arial" w:eastAsia="Times New Roman" w:hAnsi="Arial" w:cs="Arial"/>
          <w:lang w:val="el-GR"/>
        </w:rPr>
        <w:t xml:space="preserve"> 202</w:t>
      </w:r>
      <w:r w:rsidR="00E549B2" w:rsidRPr="007200CE">
        <w:rPr>
          <w:rFonts w:ascii="Arial" w:eastAsia="Times New Roman" w:hAnsi="Arial" w:cs="Arial"/>
          <w:lang w:val="el-GR"/>
        </w:rPr>
        <w:t>2</w:t>
      </w:r>
      <w:r w:rsidR="00AB5853" w:rsidRPr="007200CE">
        <w:rPr>
          <w:rFonts w:ascii="Arial" w:eastAsia="Times New Roman" w:hAnsi="Arial" w:cs="Arial"/>
          <w:lang w:val="el-GR"/>
        </w:rPr>
        <w:t>, μαζί με την Αιτιολογική Έκθεση, τη σχετική Εισηγητική Έκθεση</w:t>
      </w:r>
      <w:r w:rsidR="004577BF">
        <w:rPr>
          <w:rFonts w:ascii="Arial" w:eastAsia="Times New Roman" w:hAnsi="Arial" w:cs="Arial"/>
          <w:lang w:val="el-GR"/>
        </w:rPr>
        <w:t xml:space="preserve"> και </w:t>
      </w:r>
      <w:r w:rsidR="00AB5853" w:rsidRPr="007200CE">
        <w:rPr>
          <w:rFonts w:ascii="Arial" w:eastAsia="Times New Roman" w:hAnsi="Arial" w:cs="Arial"/>
          <w:lang w:val="el-GR"/>
        </w:rPr>
        <w:t>το συμπληρωμένο Ερωτηματολόγιο Ανάλυσης Αντίκτυπου επισυνάπτονται και κατατίθενται στη Βουλή των Αντιπροσώπων, με σκοπό την ψήφισ</w:t>
      </w:r>
      <w:r w:rsidR="004577BF">
        <w:rPr>
          <w:rFonts w:ascii="Arial" w:eastAsia="Times New Roman" w:hAnsi="Arial" w:cs="Arial"/>
          <w:lang w:val="el-GR"/>
        </w:rPr>
        <w:t>ή</w:t>
      </w:r>
      <w:r w:rsidR="00AB5853" w:rsidRPr="007200CE">
        <w:rPr>
          <w:rFonts w:ascii="Arial" w:eastAsia="Times New Roman" w:hAnsi="Arial" w:cs="Arial"/>
          <w:lang w:val="el-GR"/>
        </w:rPr>
        <w:t xml:space="preserve"> του σε </w:t>
      </w:r>
      <w:r w:rsidR="004577BF">
        <w:rPr>
          <w:rFonts w:ascii="Arial" w:eastAsia="Times New Roman" w:hAnsi="Arial" w:cs="Arial"/>
          <w:lang w:val="el-GR"/>
        </w:rPr>
        <w:t>Ν</w:t>
      </w:r>
      <w:r w:rsidR="00AB5853" w:rsidRPr="007200CE">
        <w:rPr>
          <w:rFonts w:ascii="Arial" w:eastAsia="Times New Roman" w:hAnsi="Arial" w:cs="Arial"/>
          <w:lang w:val="el-GR"/>
        </w:rPr>
        <w:t>όμο.</w:t>
      </w:r>
    </w:p>
    <w:p w14:paraId="131FA5AB" w14:textId="77777777" w:rsidR="00AB5853" w:rsidRPr="007200CE" w:rsidRDefault="00AB5853" w:rsidP="00E549B2">
      <w:pPr>
        <w:spacing w:after="0" w:line="240" w:lineRule="auto"/>
        <w:ind w:firstLine="720"/>
        <w:jc w:val="both"/>
        <w:rPr>
          <w:rFonts w:ascii="Arial" w:eastAsiaTheme="minorEastAsia" w:hAnsi="Arial" w:cs="Arial"/>
          <w:lang w:val="el-GR" w:eastAsia="en-GB"/>
        </w:rPr>
      </w:pPr>
    </w:p>
    <w:p w14:paraId="40235D2C" w14:textId="77777777" w:rsidR="00AB5853" w:rsidRPr="007200CE" w:rsidRDefault="00AB5853" w:rsidP="00E549B2">
      <w:pPr>
        <w:spacing w:after="0" w:line="240" w:lineRule="auto"/>
        <w:ind w:firstLine="720"/>
        <w:jc w:val="both"/>
        <w:rPr>
          <w:rFonts w:ascii="Arial" w:eastAsiaTheme="minorEastAsia" w:hAnsi="Arial" w:cs="Arial"/>
          <w:lang w:val="el-GR" w:eastAsia="en-GB"/>
        </w:rPr>
      </w:pPr>
    </w:p>
    <w:p w14:paraId="27BA48D6" w14:textId="77777777" w:rsidR="00AB5853" w:rsidRPr="007200CE" w:rsidRDefault="00AB5853" w:rsidP="00E549B2">
      <w:pPr>
        <w:spacing w:after="0" w:line="240" w:lineRule="auto"/>
        <w:ind w:firstLine="720"/>
        <w:jc w:val="both"/>
        <w:rPr>
          <w:rFonts w:ascii="Arial" w:eastAsiaTheme="minorEastAsia" w:hAnsi="Arial" w:cs="Arial"/>
          <w:lang w:val="el-GR" w:eastAsia="en-GB"/>
        </w:rPr>
      </w:pPr>
    </w:p>
    <w:p w14:paraId="30890A24" w14:textId="77777777" w:rsidR="00AB5853" w:rsidRPr="007200CE" w:rsidRDefault="00AB5853" w:rsidP="00E549B2">
      <w:pPr>
        <w:spacing w:after="0" w:line="240" w:lineRule="auto"/>
        <w:jc w:val="both"/>
        <w:rPr>
          <w:rFonts w:ascii="Arial" w:eastAsiaTheme="minorEastAsia" w:hAnsi="Arial" w:cs="Arial"/>
          <w:b/>
          <w:lang w:val="el-GR" w:eastAsia="en-GB"/>
        </w:rPr>
      </w:pPr>
      <w:r w:rsidRPr="007200CE">
        <w:rPr>
          <w:rFonts w:ascii="Arial" w:eastAsiaTheme="minorEastAsia" w:hAnsi="Arial" w:cs="Arial"/>
          <w:b/>
          <w:lang w:val="el-GR" w:eastAsia="en-GB"/>
        </w:rPr>
        <w:t>ΥΠΟΥΡΓΕΙΟ ΓΕΩΡΓΙΑΣ, ΑΓΡΟΤΙΚΗΣ ΑΝΑΠΤΥΞΗΣ</w:t>
      </w:r>
    </w:p>
    <w:p w14:paraId="1456DD19" w14:textId="77777777" w:rsidR="00AB5853" w:rsidRPr="007200CE" w:rsidRDefault="00AB5853" w:rsidP="00E549B2">
      <w:pPr>
        <w:spacing w:after="0" w:line="240" w:lineRule="auto"/>
        <w:jc w:val="both"/>
        <w:rPr>
          <w:rFonts w:ascii="Arial" w:eastAsiaTheme="minorEastAsia" w:hAnsi="Arial" w:cs="Arial"/>
          <w:b/>
          <w:lang w:val="el-GR" w:eastAsia="en-GB"/>
        </w:rPr>
      </w:pPr>
      <w:r w:rsidRPr="007200CE">
        <w:rPr>
          <w:rFonts w:ascii="Arial" w:eastAsiaTheme="minorEastAsia" w:hAnsi="Arial" w:cs="Arial"/>
          <w:b/>
          <w:lang w:val="el-GR" w:eastAsia="en-GB"/>
        </w:rPr>
        <w:t>ΚΑΙ ΠΕΡΙΒΑΛΛΟΝΤΟΣ</w:t>
      </w:r>
    </w:p>
    <w:p w14:paraId="636CCFA3" w14:textId="77777777" w:rsidR="00AB5853" w:rsidRPr="007200CE" w:rsidRDefault="00AB5853" w:rsidP="00E549B2">
      <w:pPr>
        <w:spacing w:after="0" w:line="240" w:lineRule="auto"/>
        <w:jc w:val="both"/>
        <w:rPr>
          <w:rFonts w:ascii="Arial" w:eastAsiaTheme="minorEastAsia" w:hAnsi="Arial" w:cs="Arial"/>
          <w:lang w:val="el-GR" w:eastAsia="en-GB"/>
        </w:rPr>
      </w:pPr>
    </w:p>
    <w:p w14:paraId="60668BF6" w14:textId="77777777" w:rsidR="00AB5853" w:rsidRPr="007200CE" w:rsidRDefault="00AB5853" w:rsidP="00E549B2">
      <w:pPr>
        <w:spacing w:after="0" w:line="240" w:lineRule="auto"/>
        <w:jc w:val="both"/>
        <w:rPr>
          <w:rFonts w:ascii="Arial" w:eastAsiaTheme="minorEastAsia" w:hAnsi="Arial" w:cs="Arial"/>
          <w:lang w:val="el-GR" w:eastAsia="en-GB"/>
        </w:rPr>
      </w:pPr>
    </w:p>
    <w:p w14:paraId="59143DD9" w14:textId="4DBACD06" w:rsidR="00AB5853" w:rsidRPr="007200CE" w:rsidRDefault="00AB5853" w:rsidP="00E549B2">
      <w:pPr>
        <w:spacing w:after="0" w:line="240" w:lineRule="auto"/>
        <w:jc w:val="both"/>
        <w:rPr>
          <w:rFonts w:ascii="Arial" w:eastAsiaTheme="minorEastAsia" w:hAnsi="Arial" w:cs="Arial"/>
          <w:lang w:val="el-GR" w:eastAsia="en-GB"/>
        </w:rPr>
      </w:pPr>
      <w:r w:rsidRPr="007200CE">
        <w:rPr>
          <w:rFonts w:ascii="Arial" w:eastAsiaTheme="minorEastAsia" w:hAnsi="Arial" w:cs="Arial"/>
          <w:lang w:val="el-GR" w:eastAsia="en-GB"/>
        </w:rPr>
        <w:t xml:space="preserve">1 </w:t>
      </w:r>
      <w:r w:rsidR="00C14056" w:rsidRPr="007200CE">
        <w:rPr>
          <w:rFonts w:ascii="Arial" w:eastAsiaTheme="minorEastAsia" w:hAnsi="Arial" w:cs="Arial"/>
          <w:lang w:val="el-GR" w:eastAsia="en-GB"/>
        </w:rPr>
        <w:t>Φεβρουαρίου</w:t>
      </w:r>
      <w:r w:rsidRPr="007200CE">
        <w:rPr>
          <w:rFonts w:ascii="Arial" w:eastAsiaTheme="minorEastAsia" w:hAnsi="Arial" w:cs="Arial"/>
          <w:lang w:val="el-GR" w:eastAsia="en-GB"/>
        </w:rPr>
        <w:t>, 202</w:t>
      </w:r>
      <w:r w:rsidR="00C14056" w:rsidRPr="007200CE">
        <w:rPr>
          <w:rFonts w:ascii="Arial" w:eastAsiaTheme="minorEastAsia" w:hAnsi="Arial" w:cs="Arial"/>
          <w:lang w:val="el-GR" w:eastAsia="en-GB"/>
        </w:rPr>
        <w:t>2</w:t>
      </w:r>
    </w:p>
    <w:p w14:paraId="789593BB" w14:textId="77777777" w:rsidR="00AB5853" w:rsidRPr="007200CE" w:rsidRDefault="00AB5853" w:rsidP="00E549B2">
      <w:pPr>
        <w:spacing w:after="0" w:line="240" w:lineRule="auto"/>
        <w:jc w:val="both"/>
        <w:rPr>
          <w:rFonts w:ascii="Arial" w:eastAsiaTheme="minorEastAsia" w:hAnsi="Arial" w:cs="Arial"/>
          <w:lang w:val="el-GR" w:eastAsia="en-GB"/>
        </w:rPr>
      </w:pPr>
      <w:r w:rsidRPr="007200CE">
        <w:rPr>
          <w:rFonts w:ascii="Arial" w:eastAsiaTheme="minorEastAsia" w:hAnsi="Arial" w:cs="Arial"/>
          <w:lang w:val="el-GR" w:eastAsia="en-GB"/>
        </w:rPr>
        <w:t>ΑΝ</w:t>
      </w:r>
    </w:p>
    <w:p w14:paraId="1D516E56" w14:textId="77777777" w:rsidR="00AB5853" w:rsidRPr="007200CE" w:rsidRDefault="00AB5853" w:rsidP="00E549B2">
      <w:pPr>
        <w:spacing w:after="200" w:line="240" w:lineRule="auto"/>
        <w:rPr>
          <w:rFonts w:ascii="Arial" w:eastAsiaTheme="minorEastAsia" w:hAnsi="Arial" w:cs="Arial"/>
          <w:lang w:val="el-GR" w:eastAsia="en-GB"/>
        </w:rPr>
      </w:pPr>
    </w:p>
    <w:p w14:paraId="15D701E2" w14:textId="77777777" w:rsidR="00EF5BA3" w:rsidRPr="007200CE" w:rsidRDefault="00EF5BA3" w:rsidP="00E549B2">
      <w:pPr>
        <w:spacing w:line="240" w:lineRule="auto"/>
        <w:rPr>
          <w:rFonts w:ascii="Arial" w:hAnsi="Arial" w:cs="Arial"/>
        </w:rPr>
      </w:pPr>
    </w:p>
    <w:p w14:paraId="23416010" w14:textId="77777777" w:rsidR="00C14056" w:rsidRPr="007200CE" w:rsidRDefault="00C14056" w:rsidP="00E549B2">
      <w:pPr>
        <w:spacing w:line="240" w:lineRule="auto"/>
        <w:rPr>
          <w:rFonts w:ascii="Arial" w:hAnsi="Arial" w:cs="Arial"/>
        </w:rPr>
      </w:pPr>
    </w:p>
    <w:sectPr w:rsidR="00C14056" w:rsidRPr="007200CE" w:rsidSect="00370646">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8BF1" w14:textId="77777777" w:rsidR="0040545D" w:rsidRDefault="0040545D" w:rsidP="00176E25">
      <w:pPr>
        <w:spacing w:after="0" w:line="240" w:lineRule="auto"/>
      </w:pPr>
      <w:r>
        <w:separator/>
      </w:r>
    </w:p>
  </w:endnote>
  <w:endnote w:type="continuationSeparator" w:id="0">
    <w:p w14:paraId="21C0678C" w14:textId="77777777" w:rsidR="0040545D" w:rsidRDefault="0040545D" w:rsidP="0017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527044"/>
      <w:docPartObj>
        <w:docPartGallery w:val="Page Numbers (Top of Page)"/>
        <w:docPartUnique/>
      </w:docPartObj>
    </w:sdtPr>
    <w:sdtEndPr/>
    <w:sdtContent>
      <w:p w14:paraId="6BB59826" w14:textId="77777777" w:rsidR="00815583" w:rsidRDefault="00E549B2" w:rsidP="00815583">
        <w:pPr>
          <w:pStyle w:val="Header"/>
          <w:jc w:val="right"/>
        </w:pPr>
        <w:r>
          <w:t xml:space="preserve">Σελίδα </w:t>
        </w:r>
        <w:r>
          <w:rPr>
            <w:b/>
            <w:sz w:val="24"/>
            <w:szCs w:val="24"/>
          </w:rPr>
          <w:fldChar w:fldCharType="begin"/>
        </w:r>
        <w:r>
          <w:rPr>
            <w:b/>
          </w:rPr>
          <w:instrText>PAGE</w:instrText>
        </w:r>
        <w:r>
          <w:rPr>
            <w:b/>
            <w:sz w:val="24"/>
            <w:szCs w:val="24"/>
          </w:rPr>
          <w:fldChar w:fldCharType="separate"/>
        </w:r>
        <w:r w:rsidR="00C3138C">
          <w:rPr>
            <w:b/>
            <w:noProof/>
          </w:rPr>
          <w:t>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C3138C">
          <w:rPr>
            <w:b/>
            <w:noProof/>
          </w:rPr>
          <w:t>2</w:t>
        </w:r>
        <w:r>
          <w:rPr>
            <w:b/>
            <w:sz w:val="24"/>
            <w:szCs w:val="24"/>
          </w:rPr>
          <w:fldChar w:fldCharType="end"/>
        </w:r>
      </w:p>
    </w:sdtContent>
  </w:sdt>
  <w:p w14:paraId="309ACFEF" w14:textId="77777777" w:rsidR="00815583" w:rsidRDefault="0033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078B" w14:textId="77777777" w:rsidR="0040545D" w:rsidRDefault="0040545D" w:rsidP="00176E25">
      <w:pPr>
        <w:spacing w:after="0" w:line="240" w:lineRule="auto"/>
      </w:pPr>
      <w:r>
        <w:separator/>
      </w:r>
    </w:p>
  </w:footnote>
  <w:footnote w:type="continuationSeparator" w:id="0">
    <w:p w14:paraId="7D2A3D4F" w14:textId="77777777" w:rsidR="0040545D" w:rsidRDefault="0040545D" w:rsidP="00176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9279" w14:textId="77777777" w:rsidR="00907AAE" w:rsidRDefault="0033141A" w:rsidP="00176E25">
    <w:pPr>
      <w:pStyle w:val="Header"/>
      <w:jc w:val="center"/>
    </w:pPr>
  </w:p>
  <w:p w14:paraId="40EC226B" w14:textId="77777777" w:rsidR="00907AAE" w:rsidRDefault="0033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D3B"/>
    <w:multiLevelType w:val="hybridMultilevel"/>
    <w:tmpl w:val="76E6E81A"/>
    <w:lvl w:ilvl="0" w:tplc="5A6A29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90526"/>
    <w:multiLevelType w:val="hybridMultilevel"/>
    <w:tmpl w:val="FF1EE19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A6934"/>
    <w:multiLevelType w:val="hybridMultilevel"/>
    <w:tmpl w:val="EC6233E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B6324"/>
    <w:multiLevelType w:val="hybridMultilevel"/>
    <w:tmpl w:val="D4AEBDB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53"/>
    <w:rsid w:val="000D4FE6"/>
    <w:rsid w:val="00176E25"/>
    <w:rsid w:val="002830CD"/>
    <w:rsid w:val="0033141A"/>
    <w:rsid w:val="00356D31"/>
    <w:rsid w:val="0040545D"/>
    <w:rsid w:val="004552B1"/>
    <w:rsid w:val="004577BF"/>
    <w:rsid w:val="007200CE"/>
    <w:rsid w:val="00876933"/>
    <w:rsid w:val="008776FD"/>
    <w:rsid w:val="0095291A"/>
    <w:rsid w:val="00AB5853"/>
    <w:rsid w:val="00C14056"/>
    <w:rsid w:val="00C3138C"/>
    <w:rsid w:val="00D102DE"/>
    <w:rsid w:val="00D565A9"/>
    <w:rsid w:val="00E549B2"/>
    <w:rsid w:val="00E72D48"/>
    <w:rsid w:val="00E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20B"/>
  <w15:docId w15:val="{E2E4D2E7-3A00-489F-8280-26518182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53"/>
  </w:style>
  <w:style w:type="paragraph" w:styleId="Footer">
    <w:name w:val="footer"/>
    <w:basedOn w:val="Normal"/>
    <w:link w:val="FooterChar"/>
    <w:uiPriority w:val="99"/>
    <w:unhideWhenUsed/>
    <w:rsid w:val="00AB5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53"/>
  </w:style>
  <w:style w:type="paragraph" w:styleId="ListParagraph">
    <w:name w:val="List Paragraph"/>
    <w:basedOn w:val="Normal"/>
    <w:uiPriority w:val="34"/>
    <w:qFormat/>
    <w:rsid w:val="00AB5853"/>
    <w:pPr>
      <w:ind w:left="720"/>
      <w:contextualSpacing/>
    </w:pPr>
  </w:style>
  <w:style w:type="paragraph" w:styleId="BodyText">
    <w:name w:val="Body Text"/>
    <w:basedOn w:val="Normal"/>
    <w:link w:val="BodyTextChar"/>
    <w:rsid w:val="00AB5853"/>
    <w:pPr>
      <w:spacing w:after="0" w:line="240" w:lineRule="auto"/>
      <w:jc w:val="both"/>
    </w:pPr>
    <w:rPr>
      <w:rFonts w:ascii="Book Antiqua" w:eastAsia="Times New Roman" w:hAnsi="Book Antiqua" w:cs="Times New Roman"/>
      <w:sz w:val="24"/>
      <w:szCs w:val="24"/>
      <w:lang w:val="el-GR"/>
    </w:rPr>
  </w:style>
  <w:style w:type="character" w:customStyle="1" w:styleId="BodyTextChar">
    <w:name w:val="Body Text Char"/>
    <w:basedOn w:val="DefaultParagraphFont"/>
    <w:link w:val="BodyText"/>
    <w:rsid w:val="00AB5853"/>
    <w:rPr>
      <w:rFonts w:ascii="Book Antiqua" w:eastAsia="Times New Roman" w:hAnsi="Book Antiqua" w:cs="Times New Roman"/>
      <w:sz w:val="24"/>
      <w:szCs w:val="24"/>
      <w:lang w:val="el-GR"/>
    </w:rPr>
  </w:style>
  <w:style w:type="paragraph" w:styleId="BalloonText">
    <w:name w:val="Balloon Text"/>
    <w:basedOn w:val="Normal"/>
    <w:link w:val="BalloonTextChar"/>
    <w:uiPriority w:val="99"/>
    <w:semiHidden/>
    <w:unhideWhenUsed/>
    <w:rsid w:val="0072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Petrou</dc:creator>
  <cp:lastModifiedBy>Sotiris Petrou</cp:lastModifiedBy>
  <cp:revision>2</cp:revision>
  <dcterms:created xsi:type="dcterms:W3CDTF">2022-02-01T09:26:00Z</dcterms:created>
  <dcterms:modified xsi:type="dcterms:W3CDTF">2022-02-01T09:26:00Z</dcterms:modified>
</cp:coreProperties>
</file>