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8B97" w14:textId="1DE074DE" w:rsidR="006740F1" w:rsidRPr="006740F1" w:rsidRDefault="006740F1" w:rsidP="00955B9B">
      <w:pPr>
        <w:spacing w:line="360" w:lineRule="auto"/>
        <w:jc w:val="center"/>
        <w:rPr>
          <w:lang w:val="el-GR"/>
        </w:rPr>
      </w:pPr>
      <w:r w:rsidRPr="006740F1">
        <w:rPr>
          <w:rFonts w:ascii="Arial" w:eastAsia="Times New Roman" w:hAnsi="Arial" w:cs="Arial"/>
          <w:color w:val="000000"/>
          <w:sz w:val="24"/>
          <w:szCs w:val="24"/>
          <w:lang w:val="el-GR"/>
        </w:rPr>
        <w:t>ΝΟΜΟΣ ΠΟΥ ΠΡΟΒΛΕΠΕΙ ΓΙΑ ΤΟΝ ΠΡΟΥΠΟΛΟΓΙΣΜΟ ΤΗΣ ΑΡΧΗΣ ΗΛΕΚΤΡΙΣΜΟΥ ΚΥΠΡΟΥ ΓΙΑ ΤΟ ΟΙΚΟΝΟΜΙΚΟ ΕΤΟΣ ΠΟΥ ΛΗΓΕΙ ΤΗΝ ΤΡΙΑΚΟΣΤΗ ΠΡΩΤΗ ΔΕΚΕΜΒΡΙΟΥ ΤΟΥ ΕΤΟΥΣ ΔΥΟ ΧΙΛΙΑΔΕΣ ΕΙΚΟΣΙ ΔΥΟ</w:t>
      </w:r>
    </w:p>
    <w:tbl>
      <w:tblPr>
        <w:tblW w:w="9389" w:type="dxa"/>
        <w:tblInd w:w="93" w:type="dxa"/>
        <w:tblLook w:val="04A0" w:firstRow="1" w:lastRow="0" w:firstColumn="1" w:lastColumn="0" w:noHBand="0" w:noVBand="1"/>
      </w:tblPr>
      <w:tblGrid>
        <w:gridCol w:w="2027"/>
        <w:gridCol w:w="1107"/>
        <w:gridCol w:w="6237"/>
        <w:gridCol w:w="18"/>
      </w:tblGrid>
      <w:tr w:rsidR="0015443A" w:rsidRPr="001370B7" w14:paraId="76CA3D63" w14:textId="77777777" w:rsidTr="00DD2536">
        <w:trPr>
          <w:trHeight w:val="1679"/>
        </w:trPr>
        <w:tc>
          <w:tcPr>
            <w:tcW w:w="2027" w:type="dxa"/>
            <w:shd w:val="clear" w:color="auto" w:fill="auto"/>
            <w:hideMark/>
          </w:tcPr>
          <w:p w14:paraId="4EB810E2"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Προοίμιο.</w:t>
            </w:r>
          </w:p>
          <w:p w14:paraId="066C809A" w14:textId="77777777" w:rsidR="0015443A" w:rsidRPr="006740F1" w:rsidRDefault="0015443A" w:rsidP="00955B9B">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194 του 1987</w:t>
            </w:r>
          </w:p>
          <w:p w14:paraId="0B8E46E6" w14:textId="77777777" w:rsidR="0015443A" w:rsidRPr="006740F1" w:rsidRDefault="0015443A" w:rsidP="00955B9B">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318 του 1987</w:t>
            </w:r>
          </w:p>
          <w:p w14:paraId="6C42ACCF" w14:textId="7E5E9C79" w:rsidR="0015443A" w:rsidRPr="006740F1" w:rsidRDefault="0015443A" w:rsidP="00955B9B">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52 του 1988</w:t>
            </w:r>
          </w:p>
          <w:p w14:paraId="54EC776F" w14:textId="09DA2CF5" w:rsidR="0015443A" w:rsidRPr="006740F1" w:rsidRDefault="0015443A" w:rsidP="00955B9B">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69 του 1989</w:t>
            </w:r>
          </w:p>
          <w:p w14:paraId="0EAECF71" w14:textId="77777777" w:rsidR="0015443A" w:rsidRPr="006740F1" w:rsidRDefault="0015443A" w:rsidP="00955B9B">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186 του 1991</w:t>
            </w:r>
          </w:p>
          <w:p w14:paraId="6358EE07" w14:textId="77777777" w:rsidR="0015443A" w:rsidRPr="006740F1" w:rsidRDefault="0015443A" w:rsidP="00955B9B">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19(Ι) του 2001</w:t>
            </w:r>
          </w:p>
          <w:p w14:paraId="3AE3211E" w14:textId="13141BE9" w:rsidR="0015443A" w:rsidRPr="006740F1" w:rsidRDefault="0015443A" w:rsidP="00955B9B">
            <w:pPr>
              <w:spacing w:after="0" w:line="360" w:lineRule="auto"/>
              <w:ind w:right="57"/>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35(Ι) του 2012.</w:t>
            </w:r>
          </w:p>
        </w:tc>
        <w:tc>
          <w:tcPr>
            <w:tcW w:w="7362" w:type="dxa"/>
            <w:gridSpan w:val="3"/>
            <w:shd w:val="clear" w:color="auto" w:fill="auto"/>
            <w:hideMark/>
          </w:tcPr>
          <w:p w14:paraId="0D970C94" w14:textId="70A8D604" w:rsidR="0015443A" w:rsidRPr="006740F1" w:rsidRDefault="0015443A"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ΕΠΕΙΔΗ, σύμφωνα με τις διατάξεις του άρθρου 3 του περί Νομικών Προσώπων Δημοσίου Δικαίου (Ψήφιση Προϋπολογισμών) Νόμου,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διαδικασία που αναφέρονται σ</w:t>
            </w:r>
            <w:r w:rsidRPr="00955B9B">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αυτόν,</w:t>
            </w:r>
          </w:p>
        </w:tc>
      </w:tr>
      <w:tr w:rsidR="0015443A" w:rsidRPr="001370B7" w14:paraId="7DF91C01" w14:textId="77777777" w:rsidTr="00DD2536">
        <w:trPr>
          <w:trHeight w:val="373"/>
        </w:trPr>
        <w:tc>
          <w:tcPr>
            <w:tcW w:w="2027" w:type="dxa"/>
            <w:shd w:val="clear" w:color="auto" w:fill="auto"/>
          </w:tcPr>
          <w:p w14:paraId="776BF144"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26C5667A"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248CAF57" w14:textId="77777777" w:rsidTr="00DD2536">
        <w:trPr>
          <w:trHeight w:val="1185"/>
        </w:trPr>
        <w:tc>
          <w:tcPr>
            <w:tcW w:w="2027" w:type="dxa"/>
            <w:shd w:val="clear" w:color="auto" w:fill="auto"/>
          </w:tcPr>
          <w:p w14:paraId="47A204F0" w14:textId="1BD28400" w:rsidR="0015443A" w:rsidRPr="006740F1" w:rsidRDefault="0015443A" w:rsidP="00F114A8">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20(Ι) του 2014</w:t>
            </w:r>
          </w:p>
          <w:p w14:paraId="2DA43C56" w14:textId="77777777" w:rsidR="0015443A" w:rsidRPr="006740F1" w:rsidRDefault="0015443A" w:rsidP="00F114A8">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123(Ι) του 2016</w:t>
            </w:r>
          </w:p>
          <w:p w14:paraId="10AB7E38" w14:textId="77777777" w:rsidR="0015443A" w:rsidRPr="006740F1" w:rsidRDefault="0015443A" w:rsidP="00F114A8">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133(Ι) του 2016</w:t>
            </w:r>
          </w:p>
          <w:p w14:paraId="1E15EF0E" w14:textId="77777777" w:rsidR="0015443A" w:rsidRPr="006740F1" w:rsidRDefault="0015443A" w:rsidP="00F114A8">
            <w:pPr>
              <w:spacing w:after="0" w:line="360" w:lineRule="auto"/>
              <w:ind w:right="57"/>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159(Ι) του 2017.</w:t>
            </w:r>
          </w:p>
        </w:tc>
        <w:tc>
          <w:tcPr>
            <w:tcW w:w="7362" w:type="dxa"/>
            <w:gridSpan w:val="3"/>
            <w:shd w:val="clear" w:color="auto" w:fill="auto"/>
          </w:tcPr>
          <w:p w14:paraId="46B4E39C"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 xml:space="preserve">ΚΑΙ ΕΠΕΙΔΗ, με βάση τις διατάξεις του περί της Δημοσιονομικής Ευθύνης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ίδιο τρόπο και διαδικασία που αναφέρονται σ’ αυτόν, </w:t>
            </w:r>
          </w:p>
        </w:tc>
      </w:tr>
      <w:tr w:rsidR="0015443A" w:rsidRPr="001370B7" w14:paraId="75A9023A" w14:textId="77777777" w:rsidTr="00DD2536">
        <w:trPr>
          <w:trHeight w:val="295"/>
        </w:trPr>
        <w:tc>
          <w:tcPr>
            <w:tcW w:w="2027" w:type="dxa"/>
            <w:shd w:val="clear" w:color="auto" w:fill="auto"/>
          </w:tcPr>
          <w:p w14:paraId="736319F0" w14:textId="77777777" w:rsidR="0015443A" w:rsidRPr="006740F1" w:rsidRDefault="0015443A" w:rsidP="00F114A8">
            <w:pPr>
              <w:spacing w:after="0" w:line="360" w:lineRule="auto"/>
              <w:ind w:right="113"/>
              <w:jc w:val="right"/>
              <w:rPr>
                <w:rFonts w:ascii="Arial" w:eastAsia="Times New Roman" w:hAnsi="Arial" w:cs="Arial"/>
                <w:color w:val="000000"/>
                <w:sz w:val="24"/>
                <w:szCs w:val="24"/>
                <w:lang w:val="el-GR"/>
              </w:rPr>
            </w:pPr>
          </w:p>
        </w:tc>
        <w:tc>
          <w:tcPr>
            <w:tcW w:w="7362" w:type="dxa"/>
            <w:gridSpan w:val="3"/>
            <w:shd w:val="clear" w:color="auto" w:fill="auto"/>
          </w:tcPr>
          <w:p w14:paraId="2A576421"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0C4489F3" w14:textId="77777777" w:rsidTr="00DD2536">
        <w:trPr>
          <w:trHeight w:val="750"/>
        </w:trPr>
        <w:tc>
          <w:tcPr>
            <w:tcW w:w="2027" w:type="dxa"/>
            <w:shd w:val="clear" w:color="auto" w:fill="auto"/>
            <w:hideMark/>
          </w:tcPr>
          <w:p w14:paraId="442F6403"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0AEEF548" w14:textId="6F414473" w:rsidR="0015443A" w:rsidRPr="006740F1" w:rsidRDefault="0015443A"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ΚΑΙ ΕΠΕΙΔΗ, είναι αναγκαία η πρόβλεψη για εκείνες τις δαπάνες της Αρχής Ηλεκτρισμού Κύπρου για το έτος που λήγει την 31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Δεκεμβρίου 2022 για τις οποίες δεν έχει ήδη γίνει πρόβλεψη ή δε θα γίνει τέτοια αργότερα από οποιοδήποτε Νόμο,</w:t>
            </w:r>
          </w:p>
        </w:tc>
      </w:tr>
      <w:tr w:rsidR="0015443A" w:rsidRPr="001370B7" w14:paraId="76156721" w14:textId="77777777" w:rsidTr="00DD2536">
        <w:trPr>
          <w:trHeight w:val="353"/>
        </w:trPr>
        <w:tc>
          <w:tcPr>
            <w:tcW w:w="2027" w:type="dxa"/>
            <w:shd w:val="clear" w:color="auto" w:fill="auto"/>
          </w:tcPr>
          <w:p w14:paraId="2FAFCA62"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75F5E9C0"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7151E7AC" w14:textId="77777777" w:rsidTr="00DD2536">
        <w:trPr>
          <w:trHeight w:val="413"/>
        </w:trPr>
        <w:tc>
          <w:tcPr>
            <w:tcW w:w="2027" w:type="dxa"/>
            <w:shd w:val="clear" w:color="auto" w:fill="auto"/>
            <w:hideMark/>
          </w:tcPr>
          <w:p w14:paraId="3C6CEAFF"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7FFB9361"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ΚΑΙ ΕΠΕΙΔΗ, είναι αναγκαία η δημιουργία ορισμένων νέων θέσεων και η κατάργηση ορισμένων υφισταμένων θέσεων,</w:t>
            </w:r>
          </w:p>
        </w:tc>
      </w:tr>
      <w:tr w:rsidR="0015443A" w:rsidRPr="001370B7" w14:paraId="67F68DF2" w14:textId="77777777" w:rsidTr="00DD2536">
        <w:trPr>
          <w:trHeight w:val="121"/>
        </w:trPr>
        <w:tc>
          <w:tcPr>
            <w:tcW w:w="2027" w:type="dxa"/>
            <w:shd w:val="clear" w:color="auto" w:fill="auto"/>
            <w:noWrap/>
            <w:vAlign w:val="bottom"/>
            <w:hideMark/>
          </w:tcPr>
          <w:p w14:paraId="6E31A000"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647141CF"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r>
      <w:tr w:rsidR="0015443A" w:rsidRPr="001370B7" w14:paraId="4B7F78F2" w14:textId="77777777" w:rsidTr="00DD2536">
        <w:trPr>
          <w:trHeight w:val="240"/>
        </w:trPr>
        <w:tc>
          <w:tcPr>
            <w:tcW w:w="2027" w:type="dxa"/>
            <w:shd w:val="clear" w:color="auto" w:fill="auto"/>
            <w:hideMark/>
          </w:tcPr>
          <w:p w14:paraId="78B069DB"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1F77A19B" w14:textId="22BBCEC7" w:rsidR="0015443A" w:rsidRPr="006740F1" w:rsidRDefault="0015443A" w:rsidP="00923BC1">
            <w:pPr>
              <w:tabs>
                <w:tab w:val="left" w:pos="284"/>
                <w:tab w:val="left" w:pos="680"/>
              </w:tabs>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Για όλους τους πιο πάνω λόγους</w:t>
            </w:r>
            <w:r w:rsidRPr="001D7716">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η Βουλή των Αντιπροσώπων ψηφίζει ως ακολούθως:</w:t>
            </w:r>
          </w:p>
        </w:tc>
      </w:tr>
      <w:tr w:rsidR="0015443A" w:rsidRPr="001370B7" w14:paraId="01B61C48" w14:textId="77777777" w:rsidTr="00DD2536">
        <w:trPr>
          <w:trHeight w:val="99"/>
        </w:trPr>
        <w:tc>
          <w:tcPr>
            <w:tcW w:w="2027" w:type="dxa"/>
            <w:shd w:val="clear" w:color="auto" w:fill="auto"/>
            <w:noWrap/>
            <w:vAlign w:val="bottom"/>
            <w:hideMark/>
          </w:tcPr>
          <w:p w14:paraId="744FBA3F"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3A199000"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r>
      <w:tr w:rsidR="0015443A" w:rsidRPr="001370B7" w14:paraId="72FC2ABB" w14:textId="77777777" w:rsidTr="00DD2536">
        <w:trPr>
          <w:trHeight w:val="480"/>
        </w:trPr>
        <w:tc>
          <w:tcPr>
            <w:tcW w:w="2027" w:type="dxa"/>
            <w:shd w:val="clear" w:color="auto" w:fill="auto"/>
            <w:hideMark/>
          </w:tcPr>
          <w:p w14:paraId="4267A62F" w14:textId="77777777" w:rsidR="0015443A" w:rsidRPr="006740F1" w:rsidRDefault="0015443A" w:rsidP="006740F1">
            <w:pPr>
              <w:spacing w:after="0" w:line="360" w:lineRule="auto"/>
              <w:jc w:val="both"/>
              <w:rPr>
                <w:rFonts w:ascii="Arial" w:eastAsia="Times New Roman" w:hAnsi="Arial" w:cs="Arial"/>
                <w:color w:val="000000"/>
                <w:sz w:val="24"/>
                <w:szCs w:val="24"/>
              </w:rPr>
            </w:pPr>
            <w:proofErr w:type="spellStart"/>
            <w:r w:rsidRPr="006740F1">
              <w:rPr>
                <w:rFonts w:ascii="Arial" w:eastAsia="Times New Roman" w:hAnsi="Arial" w:cs="Arial"/>
                <w:color w:val="000000"/>
                <w:sz w:val="24"/>
                <w:szCs w:val="24"/>
              </w:rPr>
              <w:t>Συνο</w:t>
            </w:r>
            <w:proofErr w:type="spellEnd"/>
            <w:r w:rsidRPr="006740F1">
              <w:rPr>
                <w:rFonts w:ascii="Arial" w:eastAsia="Times New Roman" w:hAnsi="Arial" w:cs="Arial"/>
                <w:color w:val="000000"/>
                <w:sz w:val="24"/>
                <w:szCs w:val="24"/>
              </w:rPr>
              <w:t xml:space="preserve">πτικός </w:t>
            </w:r>
            <w:proofErr w:type="spellStart"/>
            <w:r w:rsidRPr="006740F1">
              <w:rPr>
                <w:rFonts w:ascii="Arial" w:eastAsia="Times New Roman" w:hAnsi="Arial" w:cs="Arial"/>
                <w:color w:val="000000"/>
                <w:sz w:val="24"/>
                <w:szCs w:val="24"/>
              </w:rPr>
              <w:t>τίτλος</w:t>
            </w:r>
            <w:proofErr w:type="spellEnd"/>
            <w:r w:rsidRPr="006740F1">
              <w:rPr>
                <w:rFonts w:ascii="Arial" w:eastAsia="Times New Roman" w:hAnsi="Arial" w:cs="Arial"/>
                <w:color w:val="000000"/>
                <w:sz w:val="24"/>
                <w:szCs w:val="24"/>
              </w:rPr>
              <w:t>.</w:t>
            </w:r>
          </w:p>
        </w:tc>
        <w:tc>
          <w:tcPr>
            <w:tcW w:w="7362" w:type="dxa"/>
            <w:gridSpan w:val="3"/>
            <w:shd w:val="clear" w:color="auto" w:fill="auto"/>
            <w:hideMark/>
          </w:tcPr>
          <w:p w14:paraId="6AAC6719" w14:textId="44624B97"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1D7716">
              <w:rPr>
                <w:rFonts w:ascii="Arial" w:eastAsia="Times New Roman" w:hAnsi="Arial" w:cs="Arial"/>
                <w:bCs/>
                <w:color w:val="000000"/>
                <w:sz w:val="24"/>
                <w:szCs w:val="24"/>
                <w:lang w:val="el-GR"/>
              </w:rPr>
              <w:t>1.</w:t>
            </w:r>
            <w:r>
              <w:rPr>
                <w:rFonts w:ascii="Arial" w:eastAsia="Times New Roman" w:hAnsi="Arial" w:cs="Arial"/>
                <w:bCs/>
                <w:color w:val="000000"/>
                <w:sz w:val="24"/>
                <w:szCs w:val="24"/>
                <w:lang w:val="el-GR"/>
              </w:rPr>
              <w:tab/>
            </w:r>
            <w:r w:rsidR="00C8384E">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Ο παρών Νόμος θα αναφέρεται ως ο περί Προϋπολογισμού της Αρχής Ηλεκτρισμού Κύπρου του 2022 Νόμος του 2022.</w:t>
            </w:r>
          </w:p>
        </w:tc>
      </w:tr>
      <w:tr w:rsidR="00321834" w:rsidRPr="001370B7" w14:paraId="142D62E8" w14:textId="77777777" w:rsidTr="00DD2536">
        <w:trPr>
          <w:trHeight w:val="480"/>
        </w:trPr>
        <w:tc>
          <w:tcPr>
            <w:tcW w:w="2027" w:type="dxa"/>
            <w:shd w:val="clear" w:color="auto" w:fill="auto"/>
          </w:tcPr>
          <w:p w14:paraId="3EC798D1" w14:textId="77777777" w:rsidR="00321834" w:rsidRPr="00C8384E" w:rsidRDefault="00321834"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0A3E541C" w14:textId="77777777" w:rsidR="00321834" w:rsidRPr="001D7716" w:rsidRDefault="00321834" w:rsidP="001D7716">
            <w:pPr>
              <w:tabs>
                <w:tab w:val="left" w:pos="397"/>
              </w:tabs>
              <w:spacing w:after="0" w:line="360" w:lineRule="auto"/>
              <w:jc w:val="both"/>
              <w:rPr>
                <w:rFonts w:ascii="Arial" w:eastAsia="Times New Roman" w:hAnsi="Arial" w:cs="Arial"/>
                <w:bCs/>
                <w:color w:val="000000"/>
                <w:sz w:val="24"/>
                <w:szCs w:val="24"/>
                <w:lang w:val="el-GR"/>
              </w:rPr>
            </w:pPr>
          </w:p>
        </w:tc>
      </w:tr>
      <w:tr w:rsidR="0015443A" w:rsidRPr="001370B7" w14:paraId="2229A754" w14:textId="77777777" w:rsidTr="00DD2536">
        <w:trPr>
          <w:trHeight w:val="1465"/>
        </w:trPr>
        <w:tc>
          <w:tcPr>
            <w:tcW w:w="2027" w:type="dxa"/>
            <w:shd w:val="clear" w:color="auto" w:fill="auto"/>
            <w:hideMark/>
          </w:tcPr>
          <w:p w14:paraId="78E04819" w14:textId="794FFC97" w:rsidR="0015443A" w:rsidRPr="006740F1" w:rsidRDefault="0015443A" w:rsidP="006740F1">
            <w:pPr>
              <w:spacing w:after="0" w:line="360" w:lineRule="auto"/>
              <w:rPr>
                <w:rFonts w:ascii="Arial" w:eastAsia="Times New Roman" w:hAnsi="Arial" w:cs="Arial"/>
                <w:sz w:val="24"/>
                <w:szCs w:val="24"/>
                <w:lang w:val="el-GR"/>
              </w:rPr>
            </w:pPr>
            <w:r w:rsidRPr="006740F1">
              <w:rPr>
                <w:rFonts w:ascii="Arial" w:eastAsia="Times New Roman" w:hAnsi="Arial" w:cs="Arial"/>
                <w:sz w:val="24"/>
                <w:szCs w:val="24"/>
                <w:lang w:val="el-GR"/>
              </w:rPr>
              <w:t xml:space="preserve">Έγκριση κονδυλίων ύψους </w:t>
            </w:r>
            <w:r w:rsidRPr="006740F1">
              <w:rPr>
                <w:rFonts w:ascii="Arial" w:eastAsia="Times New Roman" w:hAnsi="Arial" w:cs="Arial"/>
                <w:sz w:val="24"/>
                <w:szCs w:val="24"/>
                <w:lang w:val="el-GR"/>
              </w:rPr>
              <w:lastRenderedPageBreak/>
              <w:t>€1.761.672.000 για τη χρήση του έτους που λήγει την 31</w:t>
            </w:r>
            <w:r w:rsidRPr="006740F1">
              <w:rPr>
                <w:rFonts w:ascii="Arial" w:eastAsia="Times New Roman" w:hAnsi="Arial" w:cs="Arial"/>
                <w:sz w:val="24"/>
                <w:szCs w:val="24"/>
                <w:vertAlign w:val="superscript"/>
                <w:lang w:val="el-GR"/>
              </w:rPr>
              <w:t>η</w:t>
            </w:r>
            <w:r w:rsidRPr="006740F1">
              <w:rPr>
                <w:rFonts w:ascii="Arial" w:eastAsia="Times New Roman" w:hAnsi="Arial" w:cs="Arial"/>
                <w:sz w:val="24"/>
                <w:szCs w:val="24"/>
                <w:lang w:val="el-GR"/>
              </w:rPr>
              <w:t xml:space="preserve"> Δεκεμβρίου 2022.</w:t>
            </w:r>
          </w:p>
        </w:tc>
        <w:tc>
          <w:tcPr>
            <w:tcW w:w="7362" w:type="dxa"/>
            <w:gridSpan w:val="3"/>
            <w:shd w:val="clear" w:color="auto" w:fill="auto"/>
            <w:hideMark/>
          </w:tcPr>
          <w:p w14:paraId="1FD0A3D3" w14:textId="2E6F550E" w:rsidR="0015443A" w:rsidRPr="006740F1" w:rsidRDefault="0015443A" w:rsidP="00C8384E">
            <w:pPr>
              <w:tabs>
                <w:tab w:val="left" w:pos="284"/>
                <w:tab w:val="left" w:pos="680"/>
              </w:tabs>
              <w:spacing w:after="0" w:line="360" w:lineRule="auto"/>
              <w:jc w:val="both"/>
              <w:rPr>
                <w:rFonts w:ascii="Arial" w:eastAsia="Times New Roman" w:hAnsi="Arial" w:cs="Arial"/>
                <w:sz w:val="24"/>
                <w:szCs w:val="24"/>
                <w:lang w:val="el-GR"/>
              </w:rPr>
            </w:pPr>
            <w:r w:rsidRPr="00AB3C6A">
              <w:rPr>
                <w:rFonts w:ascii="Arial" w:eastAsia="Times New Roman" w:hAnsi="Arial" w:cs="Arial"/>
                <w:bCs/>
                <w:sz w:val="24"/>
                <w:szCs w:val="24"/>
                <w:lang w:val="el-GR"/>
              </w:rPr>
              <w:lastRenderedPageBreak/>
              <w:t>2.</w:t>
            </w:r>
            <w:r>
              <w:rPr>
                <w:rFonts w:ascii="Arial" w:eastAsia="Times New Roman" w:hAnsi="Arial" w:cs="Arial"/>
                <w:bCs/>
                <w:sz w:val="24"/>
                <w:szCs w:val="24"/>
                <w:lang w:val="el-GR"/>
              </w:rPr>
              <w:tab/>
            </w:r>
            <w:r w:rsidR="00C8384E">
              <w:rPr>
                <w:rFonts w:ascii="Arial" w:eastAsia="Times New Roman" w:hAnsi="Arial" w:cs="Arial"/>
                <w:bCs/>
                <w:sz w:val="24"/>
                <w:szCs w:val="24"/>
                <w:lang w:val="el-GR"/>
              </w:rPr>
              <w:tab/>
            </w:r>
            <w:r w:rsidRPr="006740F1">
              <w:rPr>
                <w:rFonts w:ascii="Arial" w:eastAsia="Times New Roman" w:hAnsi="Arial" w:cs="Arial"/>
                <w:sz w:val="24"/>
                <w:szCs w:val="24"/>
                <w:lang w:val="el-GR"/>
              </w:rPr>
              <w:t xml:space="preserve">Επιπροσθέτως των ποσών που έχουν ήδη προϋπολογισθεί νόμιμα για τη χρήση της Αρχής Ηλεκτρισμού Κύπρου ή που θα προϋπολογιστούν αργότερα νόμιμα για τη χρήση αυτή, εγκρίνεται </w:t>
            </w:r>
            <w:r w:rsidRPr="006740F1">
              <w:rPr>
                <w:rFonts w:ascii="Arial" w:eastAsia="Times New Roman" w:hAnsi="Arial" w:cs="Arial"/>
                <w:sz w:val="24"/>
                <w:szCs w:val="24"/>
                <w:lang w:val="el-GR"/>
              </w:rPr>
              <w:lastRenderedPageBreak/>
              <w:t>όπως χρησιμοποιηθεί από την Αρχή Ηλεκτρισμού Κύπρου για τη χρήση του έτους που λήγει την 31</w:t>
            </w:r>
            <w:r w:rsidRPr="006740F1">
              <w:rPr>
                <w:rFonts w:ascii="Arial" w:eastAsia="Times New Roman" w:hAnsi="Arial" w:cs="Arial"/>
                <w:sz w:val="24"/>
                <w:szCs w:val="24"/>
                <w:vertAlign w:val="superscript"/>
                <w:lang w:val="el-GR"/>
              </w:rPr>
              <w:t>η</w:t>
            </w:r>
            <w:r w:rsidRPr="006740F1">
              <w:rPr>
                <w:rFonts w:ascii="Arial" w:eastAsia="Times New Roman" w:hAnsi="Arial" w:cs="Arial"/>
                <w:sz w:val="24"/>
                <w:szCs w:val="24"/>
                <w:lang w:val="el-GR"/>
              </w:rPr>
              <w:t xml:space="preserve"> Δεκεμβρίου 2022 ποσό που δεν υπερβαίνει το ένα δισεκατομμύριο επτακόσια εξήντα ένα εκατομμύρια εξακόσιες εβδομήντα δύο χιλιάδες ευρώ για την κάλυψη των δαπανών της Αρχής Ηλεκτρισμού Κύπρου για την περίοδο αυτή.</w:t>
            </w:r>
          </w:p>
        </w:tc>
      </w:tr>
      <w:tr w:rsidR="0015443A" w:rsidRPr="00445CF9" w14:paraId="763C9357" w14:textId="77777777" w:rsidTr="00DD2536">
        <w:trPr>
          <w:trHeight w:val="144"/>
        </w:trPr>
        <w:tc>
          <w:tcPr>
            <w:tcW w:w="2027" w:type="dxa"/>
            <w:shd w:val="clear" w:color="auto" w:fill="auto"/>
            <w:noWrap/>
            <w:vAlign w:val="bottom"/>
            <w:hideMark/>
          </w:tcPr>
          <w:p w14:paraId="3304F48B"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3773F2F6"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r>
      <w:tr w:rsidR="0015443A" w:rsidRPr="001370B7" w14:paraId="69DB0497" w14:textId="77777777" w:rsidTr="00DD2536">
        <w:trPr>
          <w:trHeight w:val="525"/>
        </w:trPr>
        <w:tc>
          <w:tcPr>
            <w:tcW w:w="2027" w:type="dxa"/>
            <w:shd w:val="clear" w:color="auto" w:fill="auto"/>
            <w:hideMark/>
          </w:tcPr>
          <w:p w14:paraId="0CED77DB" w14:textId="77777777" w:rsidR="0015443A" w:rsidRPr="006740F1" w:rsidRDefault="0015443A" w:rsidP="00AB3C6A">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 xml:space="preserve">Ειδίκευση των ποσών που θα δαπανηθούν. </w:t>
            </w:r>
            <w:r w:rsidRPr="0015443A">
              <w:rPr>
                <w:rFonts w:ascii="Arial" w:eastAsia="Times New Roman" w:hAnsi="Arial" w:cs="Arial"/>
                <w:color w:val="000000"/>
                <w:sz w:val="24"/>
                <w:szCs w:val="24"/>
                <w:lang w:val="el-GR"/>
              </w:rPr>
              <w:t>Πρώτος Πίνακας.</w:t>
            </w:r>
          </w:p>
        </w:tc>
        <w:tc>
          <w:tcPr>
            <w:tcW w:w="7362" w:type="dxa"/>
            <w:gridSpan w:val="3"/>
            <w:shd w:val="clear" w:color="auto" w:fill="auto"/>
            <w:hideMark/>
          </w:tcPr>
          <w:p w14:paraId="7BD9B3FE" w14:textId="4F656FAB" w:rsidR="0015443A" w:rsidRPr="00AB3C6A" w:rsidRDefault="0015443A" w:rsidP="008A2D83">
            <w:pPr>
              <w:tabs>
                <w:tab w:val="left" w:pos="284"/>
                <w:tab w:val="left" w:pos="680"/>
              </w:tabs>
              <w:spacing w:after="0" w:line="360" w:lineRule="auto"/>
              <w:jc w:val="both"/>
              <w:rPr>
                <w:rFonts w:ascii="Arial" w:eastAsia="Times New Roman" w:hAnsi="Arial" w:cs="Arial"/>
                <w:sz w:val="24"/>
                <w:szCs w:val="24"/>
                <w:lang w:val="el-GR"/>
              </w:rPr>
            </w:pPr>
            <w:r w:rsidRPr="00AB3C6A">
              <w:rPr>
                <w:rFonts w:ascii="Arial" w:eastAsia="Times New Roman" w:hAnsi="Arial" w:cs="Arial"/>
                <w:sz w:val="24"/>
                <w:szCs w:val="24"/>
                <w:lang w:val="el-GR"/>
              </w:rPr>
              <w:t>3.</w:t>
            </w:r>
            <w:r>
              <w:rPr>
                <w:rFonts w:ascii="Arial" w:eastAsia="Times New Roman" w:hAnsi="Arial" w:cs="Arial"/>
                <w:sz w:val="24"/>
                <w:szCs w:val="24"/>
                <w:lang w:val="el-GR"/>
              </w:rPr>
              <w:tab/>
            </w:r>
            <w:r w:rsidR="00C8384E">
              <w:rPr>
                <w:rFonts w:ascii="Arial" w:eastAsia="Times New Roman" w:hAnsi="Arial" w:cs="Arial"/>
                <w:sz w:val="24"/>
                <w:szCs w:val="24"/>
                <w:lang w:val="el-GR"/>
              </w:rPr>
              <w:tab/>
            </w:r>
            <w:r w:rsidRPr="00C8384E">
              <w:rPr>
                <w:rFonts w:ascii="Arial" w:eastAsia="Times New Roman" w:hAnsi="Arial" w:cs="Arial"/>
                <w:color w:val="000000"/>
                <w:sz w:val="24"/>
                <w:szCs w:val="24"/>
                <w:lang w:val="el-GR"/>
              </w:rPr>
              <w:t>Το</w:t>
            </w:r>
            <w:r w:rsidRPr="00AB3C6A">
              <w:rPr>
                <w:rFonts w:ascii="Arial" w:eastAsia="Times New Roman" w:hAnsi="Arial" w:cs="Arial"/>
                <w:sz w:val="24"/>
                <w:szCs w:val="24"/>
                <w:lang w:val="el-GR"/>
              </w:rPr>
              <w:t xml:space="preserve"> ποσό που </w:t>
            </w:r>
            <w:r>
              <w:rPr>
                <w:rFonts w:ascii="Arial" w:eastAsia="Times New Roman" w:hAnsi="Arial" w:cs="Arial"/>
                <w:sz w:val="24"/>
                <w:szCs w:val="24"/>
                <w:lang w:val="el-GR"/>
              </w:rPr>
              <w:t>εγκρίνεται</w:t>
            </w:r>
            <w:r w:rsidRPr="00AB3C6A">
              <w:rPr>
                <w:rFonts w:ascii="Arial" w:eastAsia="Times New Roman" w:hAnsi="Arial" w:cs="Arial"/>
                <w:sz w:val="24"/>
                <w:szCs w:val="24"/>
                <w:lang w:val="el-GR"/>
              </w:rPr>
              <w:t xml:space="preserve">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15443A" w:rsidRPr="001370B7" w14:paraId="4BDCDE84" w14:textId="77777777" w:rsidTr="00DD2536">
        <w:trPr>
          <w:trHeight w:val="102"/>
        </w:trPr>
        <w:tc>
          <w:tcPr>
            <w:tcW w:w="2027" w:type="dxa"/>
            <w:shd w:val="clear" w:color="auto" w:fill="auto"/>
            <w:noWrap/>
            <w:vAlign w:val="bottom"/>
            <w:hideMark/>
          </w:tcPr>
          <w:p w14:paraId="124C15A9"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528177C7"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r>
      <w:tr w:rsidR="0015443A" w:rsidRPr="001370B7" w14:paraId="1BB0AFC4" w14:textId="77777777" w:rsidTr="00DD2536">
        <w:trPr>
          <w:trHeight w:val="2400"/>
        </w:trPr>
        <w:tc>
          <w:tcPr>
            <w:tcW w:w="2027" w:type="dxa"/>
            <w:shd w:val="clear" w:color="auto" w:fill="auto"/>
            <w:hideMark/>
          </w:tcPr>
          <w:p w14:paraId="6DE38989" w14:textId="77777777" w:rsidR="0015443A"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Χρησιμοποίηση του περισσεύματος ορισμένων άρθρων για την κάλυψη του ελλείμματος άλλων άρθρων κάτω από το ίδιο Κεφάλαιο.</w:t>
            </w:r>
          </w:p>
          <w:p w14:paraId="735143E5" w14:textId="7ADF91A6" w:rsidR="0015443A" w:rsidRPr="006740F1" w:rsidRDefault="0015443A" w:rsidP="006740F1">
            <w:pPr>
              <w:spacing w:after="0" w:line="360" w:lineRule="auto"/>
              <w:rPr>
                <w:rFonts w:ascii="Arial" w:eastAsia="Times New Roman" w:hAnsi="Arial" w:cs="Arial"/>
                <w:color w:val="000000"/>
                <w:sz w:val="24"/>
                <w:szCs w:val="24"/>
              </w:rPr>
            </w:pPr>
            <w:proofErr w:type="spellStart"/>
            <w:r w:rsidRPr="006740F1">
              <w:rPr>
                <w:rFonts w:ascii="Arial" w:eastAsia="Times New Roman" w:hAnsi="Arial" w:cs="Arial"/>
                <w:color w:val="000000"/>
                <w:sz w:val="24"/>
                <w:szCs w:val="24"/>
              </w:rPr>
              <w:t>Πρώτος</w:t>
            </w:r>
            <w:proofErr w:type="spellEnd"/>
            <w:r w:rsidRPr="006740F1">
              <w:rPr>
                <w:rFonts w:ascii="Arial" w:eastAsia="Times New Roman" w:hAnsi="Arial" w:cs="Arial"/>
                <w:color w:val="000000"/>
                <w:sz w:val="24"/>
                <w:szCs w:val="24"/>
              </w:rPr>
              <w:t xml:space="preserve"> </w:t>
            </w:r>
            <w:proofErr w:type="spellStart"/>
            <w:r w:rsidRPr="006740F1">
              <w:rPr>
                <w:rFonts w:ascii="Arial" w:eastAsia="Times New Roman" w:hAnsi="Arial" w:cs="Arial"/>
                <w:color w:val="000000"/>
                <w:sz w:val="24"/>
                <w:szCs w:val="24"/>
              </w:rPr>
              <w:t>Πίν</w:t>
            </w:r>
            <w:proofErr w:type="spellEnd"/>
            <w:r w:rsidRPr="006740F1">
              <w:rPr>
                <w:rFonts w:ascii="Arial" w:eastAsia="Times New Roman" w:hAnsi="Arial" w:cs="Arial"/>
                <w:color w:val="000000"/>
                <w:sz w:val="24"/>
                <w:szCs w:val="24"/>
              </w:rPr>
              <w:t>ακας.</w:t>
            </w:r>
          </w:p>
        </w:tc>
        <w:tc>
          <w:tcPr>
            <w:tcW w:w="7362" w:type="dxa"/>
            <w:gridSpan w:val="3"/>
            <w:shd w:val="clear" w:color="auto" w:fill="auto"/>
            <w:hideMark/>
          </w:tcPr>
          <w:p w14:paraId="03CE481A" w14:textId="6E954A31"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15443A">
              <w:rPr>
                <w:rFonts w:ascii="Arial" w:eastAsia="Times New Roman" w:hAnsi="Arial" w:cs="Arial"/>
                <w:bCs/>
                <w:color w:val="000000"/>
                <w:sz w:val="24"/>
                <w:szCs w:val="24"/>
                <w:lang w:val="el-GR"/>
              </w:rPr>
              <w:t>4.</w:t>
            </w:r>
            <w:r w:rsidRPr="006740F1">
              <w:rPr>
                <w:rFonts w:ascii="Arial" w:eastAsia="Times New Roman" w:hAnsi="Arial" w:cs="Arial"/>
                <w:color w:val="000000"/>
                <w:sz w:val="24"/>
                <w:szCs w:val="24"/>
                <w:lang w:val="el-GR"/>
              </w:rPr>
              <w:t>-(1)</w:t>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Τηρουμένων των διατάξεων των επιφυλάξεων, εφόσον το ολικό ποσό που θα δαπανηθεί για τις υπηρεσίες και τους σκοπούς που αναφέρονται και εξειδικεύονται, αντίστοιχα, κάτω από κάθε άρθρο στον Πρώτο Πίνακα δεν θα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διοικητικού συμβουλίου της Αρχής  Ηλεκτρισμού Κύπρου να διατεθεί και</w:t>
            </w:r>
            <w:r w:rsidR="00445CF9">
              <w:rPr>
                <w:rFonts w:ascii="Arial" w:eastAsia="Times New Roman" w:hAnsi="Arial" w:cs="Arial"/>
                <w:color w:val="000000"/>
                <w:sz w:val="24"/>
                <w:szCs w:val="24"/>
                <w:lang w:val="el-GR"/>
              </w:rPr>
              <w:t xml:space="preserve"> να</w:t>
            </w:r>
            <w:r w:rsidRPr="006740F1">
              <w:rPr>
                <w:rFonts w:ascii="Arial" w:eastAsia="Times New Roman" w:hAnsi="Arial" w:cs="Arial"/>
                <w:color w:val="000000"/>
                <w:sz w:val="24"/>
                <w:szCs w:val="24"/>
                <w:lang w:val="el-GR"/>
              </w:rPr>
              <w:t xml:space="preserve"> δαπανηθεί για την κάλυψη του ελλείμματος οποιουδήποτε ποσού δαπανήθηκε πάνω σε οποιοδήποτε άλλο άρθρο του ίδιου Κεφαλαίου του Πρώτου Πίνακα:</w:t>
            </w:r>
          </w:p>
        </w:tc>
      </w:tr>
      <w:tr w:rsidR="0015443A" w:rsidRPr="001370B7" w14:paraId="1EE01BF2" w14:textId="77777777" w:rsidTr="00DD2536">
        <w:trPr>
          <w:trHeight w:val="78"/>
        </w:trPr>
        <w:tc>
          <w:tcPr>
            <w:tcW w:w="2027" w:type="dxa"/>
            <w:shd w:val="clear" w:color="auto" w:fill="auto"/>
            <w:hideMark/>
          </w:tcPr>
          <w:p w14:paraId="6453AD05"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hideMark/>
          </w:tcPr>
          <w:p w14:paraId="1699A1C7"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5C8E8083" w14:textId="77777777" w:rsidTr="00DD2536">
        <w:trPr>
          <w:trHeight w:val="1815"/>
        </w:trPr>
        <w:tc>
          <w:tcPr>
            <w:tcW w:w="2027" w:type="dxa"/>
            <w:shd w:val="clear" w:color="auto" w:fill="auto"/>
            <w:hideMark/>
          </w:tcPr>
          <w:p w14:paraId="169CE5CA"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4B3F7594" w14:textId="5B290D0A" w:rsidR="0015443A" w:rsidRPr="006740F1" w:rsidRDefault="0015443A" w:rsidP="008A2D83">
            <w:pPr>
              <w:tabs>
                <w:tab w:val="left" w:pos="284"/>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 xml:space="preserve">Νοείται ότι, οποιαδήποτε εξοικονόμηση πάνω στα άρθρα "Απρόβλεπτες Δαπάνες λόγω ανωτέρας βίας σε Σταθμούς Μεταφοράς/Παραγωγής" και "Μη Προβλέψιμες Δαπάνες Καυσίμων, Αγοράς Ηλεκτρικής Ενέργειας και Λειτουργού Αγοράς" του Κεφαλαίου 6 του Πρώτου Πίνακα δε δύναται να διατεθεί και να δαπανηθεί για την κάλυψη του ελλείμματος οποιουδήποτε ποσού που δαπανήθηκε πάνω σε οποιοδήποτε των προαναφερόμενων άρθρων ή πάνω σε οποιοδήποτε άλλο άρθρο του ίδιου Κεφαλαίου, </w:t>
            </w:r>
            <w:r w:rsidRPr="006740F1">
              <w:rPr>
                <w:rFonts w:ascii="Arial" w:eastAsia="Times New Roman" w:hAnsi="Arial" w:cs="Arial"/>
                <w:color w:val="000000"/>
                <w:sz w:val="24"/>
                <w:szCs w:val="24"/>
                <w:lang w:val="el-GR"/>
              </w:rPr>
              <w:lastRenderedPageBreak/>
              <w:t xml:space="preserve">αλλά ούτε και οποιαδήποτε εξοικονόμηση πάνω σε οποιοδήποτε άλλο άρθρο του ίδιου Κεφαλαίου δύναται να διατεθεί και </w:t>
            </w:r>
            <w:r w:rsidR="00445CF9">
              <w:rPr>
                <w:rFonts w:ascii="Arial" w:eastAsia="Times New Roman" w:hAnsi="Arial" w:cs="Arial"/>
                <w:color w:val="000000"/>
                <w:sz w:val="24"/>
                <w:szCs w:val="24"/>
                <w:lang w:val="el-GR"/>
              </w:rPr>
              <w:t xml:space="preserve">να </w:t>
            </w:r>
            <w:r w:rsidRPr="006740F1">
              <w:rPr>
                <w:rFonts w:ascii="Arial" w:eastAsia="Times New Roman" w:hAnsi="Arial" w:cs="Arial"/>
                <w:color w:val="000000"/>
                <w:sz w:val="24"/>
                <w:szCs w:val="24"/>
                <w:lang w:val="el-GR"/>
              </w:rPr>
              <w:t>δαπανηθεί για την κάλυψη του ελλείμματος οποιουδήποτε ποσού  από τα πάνω αναφερόμενα άρθρα:</w:t>
            </w:r>
          </w:p>
        </w:tc>
      </w:tr>
      <w:tr w:rsidR="0015443A" w:rsidRPr="001370B7" w14:paraId="26AD5664" w14:textId="77777777" w:rsidTr="00DD2536">
        <w:trPr>
          <w:trHeight w:val="298"/>
        </w:trPr>
        <w:tc>
          <w:tcPr>
            <w:tcW w:w="2027" w:type="dxa"/>
            <w:shd w:val="clear" w:color="auto" w:fill="auto"/>
            <w:hideMark/>
          </w:tcPr>
          <w:p w14:paraId="61E501F2"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773E28BA" w14:textId="77777777" w:rsidR="0015443A" w:rsidRPr="006740F1" w:rsidRDefault="0015443A" w:rsidP="006740F1">
            <w:pPr>
              <w:spacing w:after="0" w:line="360" w:lineRule="auto"/>
              <w:ind w:firstLine="324"/>
              <w:jc w:val="both"/>
              <w:rPr>
                <w:rFonts w:ascii="Arial" w:eastAsia="Times New Roman" w:hAnsi="Arial" w:cs="Arial"/>
                <w:color w:val="000000"/>
                <w:sz w:val="24"/>
                <w:szCs w:val="24"/>
                <w:lang w:val="el-GR"/>
              </w:rPr>
            </w:pPr>
          </w:p>
        </w:tc>
      </w:tr>
      <w:tr w:rsidR="0015443A" w:rsidRPr="001370B7" w14:paraId="65EFD3F1" w14:textId="77777777" w:rsidTr="00DD2536">
        <w:trPr>
          <w:trHeight w:val="480"/>
        </w:trPr>
        <w:tc>
          <w:tcPr>
            <w:tcW w:w="2027" w:type="dxa"/>
            <w:shd w:val="clear" w:color="auto" w:fill="auto"/>
            <w:hideMark/>
          </w:tcPr>
          <w:p w14:paraId="62D806AE"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51F2AD51" w14:textId="6D454127" w:rsidR="0015443A" w:rsidRPr="006740F1" w:rsidRDefault="0015443A" w:rsidP="008A2D83">
            <w:pPr>
              <w:tabs>
                <w:tab w:val="left" w:pos="284"/>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Νοείται περαιτέρω ότι, οποιαδήποτε εξοικονόμηση από παράλειψη εκτέλεσης οποιασδήποτε υπηρεσίας ή σκοπού δε</w:t>
            </w:r>
            <w:r w:rsidR="00394C93">
              <w:rPr>
                <w:rFonts w:ascii="Arial" w:eastAsia="Times New Roman" w:hAnsi="Arial" w:cs="Arial"/>
                <w:color w:val="000000"/>
                <w:sz w:val="24"/>
                <w:szCs w:val="24"/>
                <w:lang w:val="el-GR"/>
              </w:rPr>
              <w:t>ν</w:t>
            </w:r>
            <w:r w:rsidRPr="006740F1">
              <w:rPr>
                <w:rFonts w:ascii="Arial" w:eastAsia="Times New Roman" w:hAnsi="Arial" w:cs="Arial"/>
                <w:color w:val="000000"/>
                <w:sz w:val="24"/>
                <w:szCs w:val="24"/>
                <w:lang w:val="el-GR"/>
              </w:rPr>
              <w:t xml:space="preserve"> θεωρείται ως εξοικονόμηση για τους σκοπούς του παρόντος άρθρου.</w:t>
            </w:r>
          </w:p>
        </w:tc>
      </w:tr>
      <w:tr w:rsidR="0015443A" w:rsidRPr="001370B7" w14:paraId="410F7EED" w14:textId="77777777" w:rsidTr="00DD2536">
        <w:trPr>
          <w:trHeight w:val="480"/>
        </w:trPr>
        <w:tc>
          <w:tcPr>
            <w:tcW w:w="2027" w:type="dxa"/>
            <w:shd w:val="clear" w:color="auto" w:fill="auto"/>
          </w:tcPr>
          <w:p w14:paraId="35FD2EBF"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4CF729E8" w14:textId="77777777" w:rsidR="0015443A" w:rsidRDefault="0015443A" w:rsidP="0015443A">
            <w:pPr>
              <w:tabs>
                <w:tab w:val="left" w:pos="284"/>
                <w:tab w:val="left" w:pos="397"/>
              </w:tabs>
              <w:spacing w:after="0" w:line="360" w:lineRule="auto"/>
              <w:jc w:val="both"/>
              <w:rPr>
                <w:rFonts w:ascii="Arial" w:eastAsia="Times New Roman" w:hAnsi="Arial" w:cs="Arial"/>
                <w:color w:val="000000"/>
                <w:sz w:val="24"/>
                <w:szCs w:val="24"/>
                <w:lang w:val="el-GR"/>
              </w:rPr>
            </w:pPr>
          </w:p>
        </w:tc>
      </w:tr>
      <w:tr w:rsidR="0015443A" w:rsidRPr="001370B7" w14:paraId="7F9527DB" w14:textId="77777777" w:rsidTr="00DD2536">
        <w:trPr>
          <w:trHeight w:val="1260"/>
        </w:trPr>
        <w:tc>
          <w:tcPr>
            <w:tcW w:w="2027" w:type="dxa"/>
            <w:shd w:val="clear" w:color="auto" w:fill="auto"/>
            <w:hideMark/>
          </w:tcPr>
          <w:p w14:paraId="3CA2A462"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555D83C6" w14:textId="3270676A" w:rsidR="0015443A" w:rsidRPr="006740F1" w:rsidRDefault="0015443A" w:rsidP="008A2D83">
            <w:pPr>
              <w:tabs>
                <w:tab w:val="left" w:pos="284"/>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 xml:space="preserve">Σε περίπτωση που προκύπτει έλλειμμα από ποσό που δαπανήθηκε πάνω σε οποιοδήποτε άρθρο του Κεφαλαίου </w:t>
            </w:r>
            <w:r w:rsidR="00280EB4">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Δαπάνες Καυσίμων, Αγοράς Ηλεκτρικής Ενέργειας και Λειτουργού Αγοράς</w:t>
            </w:r>
            <w:r w:rsidR="00280EB4">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του Πρώτου Πίνακα, δύναται, μετά από έγκριση του διοικητικού συμβουλίου της Αρχής Ηλεκτρισμού Κύπρου, να μεταφερθούν πιστώσεις από το άρθρο </w:t>
            </w:r>
            <w:r w:rsidR="00280EB4">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Μη Προβλέψιμες Δαπάνες Καυσίμων, Αγοράς Ηλεκτρικής Ενέργειας και Λειτουργού Αγοράς</w:t>
            </w:r>
            <w:r w:rsidR="00280EB4">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του Κεφαλαίου </w:t>
            </w:r>
            <w:r w:rsidR="00280EB4">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Απρόβλεπτες Δαπάνες</w:t>
            </w:r>
            <w:r w:rsidR="00280EB4">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του Πρώτου Πίνακα και να δαπανηθούν για την κάλυψη του αναφερόμενου ελλείμματος.</w:t>
            </w:r>
          </w:p>
        </w:tc>
      </w:tr>
      <w:tr w:rsidR="00280EB4" w:rsidRPr="001370B7" w14:paraId="6AF775D5" w14:textId="77777777" w:rsidTr="00DD2536">
        <w:trPr>
          <w:trHeight w:val="389"/>
        </w:trPr>
        <w:tc>
          <w:tcPr>
            <w:tcW w:w="2027" w:type="dxa"/>
            <w:shd w:val="clear" w:color="auto" w:fill="auto"/>
          </w:tcPr>
          <w:p w14:paraId="7A5C881F" w14:textId="77777777" w:rsidR="00280EB4" w:rsidRPr="006740F1" w:rsidRDefault="00280EB4"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4ADF1362" w14:textId="77777777" w:rsidR="00280EB4" w:rsidRDefault="00280EB4" w:rsidP="0015443A">
            <w:pPr>
              <w:tabs>
                <w:tab w:val="left" w:pos="284"/>
                <w:tab w:val="left" w:pos="397"/>
              </w:tabs>
              <w:spacing w:after="0" w:line="360" w:lineRule="auto"/>
              <w:jc w:val="both"/>
              <w:rPr>
                <w:rFonts w:ascii="Arial" w:eastAsia="Times New Roman" w:hAnsi="Arial" w:cs="Arial"/>
                <w:color w:val="000000"/>
                <w:sz w:val="24"/>
                <w:szCs w:val="24"/>
                <w:lang w:val="el-GR"/>
              </w:rPr>
            </w:pPr>
          </w:p>
        </w:tc>
      </w:tr>
      <w:tr w:rsidR="0015443A" w:rsidRPr="001370B7" w14:paraId="702591F1" w14:textId="77777777" w:rsidTr="00DD2536">
        <w:trPr>
          <w:trHeight w:val="709"/>
        </w:trPr>
        <w:tc>
          <w:tcPr>
            <w:tcW w:w="2027" w:type="dxa"/>
            <w:shd w:val="clear" w:color="auto" w:fill="auto"/>
            <w:hideMark/>
          </w:tcPr>
          <w:p w14:paraId="1826F01A"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6C4D64EC" w14:textId="6AC1303D" w:rsidR="0015443A" w:rsidRPr="006740F1" w:rsidRDefault="00E35CCE" w:rsidP="008A2D83">
            <w:pPr>
              <w:tabs>
                <w:tab w:val="left" w:pos="284"/>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(3)</w:t>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Σε περίπτωση που δεν υπάρχουν εξοικονομήσεις, όπως προβλέπονται στο εδάφιο (1), δύναται, μετά από έγκριση του διοικητικού συμβουλίου της Αρχής Ηλεκτρισμού Κύπρου, να μεταφερθούν πιστώσεις από το άρθρο "Μη Προβλέψιμες Δαπάνες και Αποθεματικό" του Κεφαλαίου "Απρόβλεπτες Δαπάνες" του Πρώτου Πίνακα και να δαπανηθούν για την κάλυψη του ελλείμματος οποιουδήποτε ποσού που δαπανήθηκε πάνω σε οποιοδήποτε άλλο άρθρο των Κεφαλαίων του Πρώτου Πίνακα.</w:t>
            </w:r>
          </w:p>
        </w:tc>
      </w:tr>
      <w:tr w:rsidR="00E35CCE" w:rsidRPr="001370B7" w14:paraId="1C28F810" w14:textId="77777777" w:rsidTr="00DD2536">
        <w:trPr>
          <w:trHeight w:val="326"/>
        </w:trPr>
        <w:tc>
          <w:tcPr>
            <w:tcW w:w="2027" w:type="dxa"/>
            <w:shd w:val="clear" w:color="auto" w:fill="auto"/>
          </w:tcPr>
          <w:p w14:paraId="52ED59E0" w14:textId="77777777" w:rsidR="00E35CCE" w:rsidRPr="006740F1" w:rsidRDefault="00E35CCE"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769DBB57" w14:textId="77777777" w:rsidR="00E35CCE" w:rsidRDefault="00E35CCE" w:rsidP="00E35CCE">
            <w:pPr>
              <w:tabs>
                <w:tab w:val="left" w:pos="284"/>
                <w:tab w:val="left" w:pos="397"/>
              </w:tabs>
              <w:spacing w:after="0" w:line="360" w:lineRule="auto"/>
              <w:jc w:val="both"/>
              <w:rPr>
                <w:rFonts w:ascii="Arial" w:eastAsia="Times New Roman" w:hAnsi="Arial" w:cs="Arial"/>
                <w:color w:val="000000"/>
                <w:sz w:val="24"/>
                <w:szCs w:val="24"/>
                <w:lang w:val="el-GR"/>
              </w:rPr>
            </w:pPr>
          </w:p>
        </w:tc>
      </w:tr>
      <w:tr w:rsidR="0015443A" w:rsidRPr="001370B7" w14:paraId="6F0F113C" w14:textId="77777777" w:rsidTr="00DD2536">
        <w:trPr>
          <w:trHeight w:val="1035"/>
        </w:trPr>
        <w:tc>
          <w:tcPr>
            <w:tcW w:w="2027" w:type="dxa"/>
            <w:shd w:val="clear" w:color="auto" w:fill="auto"/>
            <w:hideMark/>
          </w:tcPr>
          <w:p w14:paraId="6C5CAD14"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6FB432D5" w14:textId="4A4EAA0B" w:rsidR="0015443A" w:rsidRPr="006740F1" w:rsidRDefault="00E35CCE" w:rsidP="00E35CCE">
            <w:pPr>
              <w:tabs>
                <w:tab w:val="left" w:pos="284"/>
                <w:tab w:val="left" w:pos="39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(4)</w:t>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 xml:space="preserve">Μέσα σε τρεις (3) μήνες από την παραχώρηση έγκρισης από το διοικητικό συμβούλιο της Αρχής Ηλεκτρισμού Κύπρου, σύμφωνα με τις διατάξεις των εδαφίων (1), (2) και (3) κατατίθεται από τον Υπουργό Ενέργειας, Εμπορίου και Βιομηχανίας ενώπιον της Βουλής των Αντιπροσώπων έκθεση που να δεικνύει τις </w:t>
            </w:r>
            <w:r w:rsidR="0015443A" w:rsidRPr="006740F1">
              <w:rPr>
                <w:rFonts w:ascii="Arial" w:eastAsia="Times New Roman" w:hAnsi="Arial" w:cs="Arial"/>
                <w:color w:val="000000"/>
                <w:sz w:val="24"/>
                <w:szCs w:val="24"/>
                <w:lang w:val="el-GR"/>
              </w:rPr>
              <w:lastRenderedPageBreak/>
              <w:t>περιπτώσεις για τις οποίες δόθηκε τέτοια έγκριση και τις συνθήκες κάτω από τις οποίες αυτή χορηγήθηκε.</w:t>
            </w:r>
          </w:p>
        </w:tc>
      </w:tr>
      <w:tr w:rsidR="00E35CCE" w:rsidRPr="001370B7" w14:paraId="164426D1" w14:textId="77777777" w:rsidTr="00DD2536">
        <w:trPr>
          <w:trHeight w:val="421"/>
        </w:trPr>
        <w:tc>
          <w:tcPr>
            <w:tcW w:w="2027" w:type="dxa"/>
            <w:shd w:val="clear" w:color="auto" w:fill="auto"/>
          </w:tcPr>
          <w:p w14:paraId="67DD1193" w14:textId="77777777" w:rsidR="00E35CCE" w:rsidRPr="006740F1" w:rsidRDefault="00E35CCE"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tcPr>
          <w:p w14:paraId="26F814D6" w14:textId="77777777" w:rsidR="00E35CCE" w:rsidRDefault="00E35CCE" w:rsidP="00E35CCE">
            <w:pPr>
              <w:tabs>
                <w:tab w:val="left" w:pos="284"/>
                <w:tab w:val="left" w:pos="397"/>
              </w:tabs>
              <w:spacing w:after="0" w:line="360" w:lineRule="auto"/>
              <w:jc w:val="both"/>
              <w:rPr>
                <w:rFonts w:ascii="Arial" w:eastAsia="Times New Roman" w:hAnsi="Arial" w:cs="Arial"/>
                <w:color w:val="000000"/>
                <w:sz w:val="24"/>
                <w:szCs w:val="24"/>
                <w:lang w:val="el-GR"/>
              </w:rPr>
            </w:pPr>
          </w:p>
        </w:tc>
      </w:tr>
      <w:tr w:rsidR="0015443A" w:rsidRPr="001370B7" w14:paraId="4395CF09" w14:textId="77777777" w:rsidTr="00DD2536">
        <w:trPr>
          <w:trHeight w:val="1002"/>
        </w:trPr>
        <w:tc>
          <w:tcPr>
            <w:tcW w:w="2027" w:type="dxa"/>
            <w:shd w:val="clear" w:color="auto" w:fill="auto"/>
            <w:hideMark/>
          </w:tcPr>
          <w:p w14:paraId="30150E61"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hideMark/>
          </w:tcPr>
          <w:p w14:paraId="3F232D83" w14:textId="17AF1130" w:rsidR="0015443A" w:rsidRPr="006740F1" w:rsidRDefault="00A642EC" w:rsidP="00E35CCE">
            <w:pPr>
              <w:tabs>
                <w:tab w:val="left" w:pos="284"/>
                <w:tab w:val="left" w:pos="39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(5)</w:t>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Κάθε υπέρβαση κονδυλίων κατά παράβαση της διαδικασίας που προβλέπονται στα εδάφια (1), (2) και (3)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15443A" w:rsidRPr="001370B7" w14:paraId="4DA26BEF" w14:textId="77777777" w:rsidTr="00DD2536">
        <w:trPr>
          <w:trHeight w:val="235"/>
        </w:trPr>
        <w:tc>
          <w:tcPr>
            <w:tcW w:w="2027" w:type="dxa"/>
            <w:shd w:val="clear" w:color="auto" w:fill="auto"/>
            <w:noWrap/>
            <w:vAlign w:val="bottom"/>
            <w:hideMark/>
          </w:tcPr>
          <w:p w14:paraId="65345AF1"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0743C327"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r>
      <w:tr w:rsidR="0015443A" w:rsidRPr="001370B7" w14:paraId="2CA26C08" w14:textId="77777777" w:rsidTr="00DD2536">
        <w:trPr>
          <w:trHeight w:val="730"/>
        </w:trPr>
        <w:tc>
          <w:tcPr>
            <w:tcW w:w="2027" w:type="dxa"/>
            <w:shd w:val="clear" w:color="auto" w:fill="auto"/>
            <w:hideMark/>
          </w:tcPr>
          <w:p w14:paraId="2F968A59" w14:textId="0BC7C846" w:rsidR="00A642EC"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Δημιουργία νέων θέσεων.</w:t>
            </w:r>
            <w:r w:rsidR="00A642EC">
              <w:rPr>
                <w:rFonts w:ascii="Arial" w:eastAsia="Times New Roman" w:hAnsi="Arial" w:cs="Arial"/>
                <w:color w:val="000000"/>
                <w:sz w:val="24"/>
                <w:szCs w:val="24"/>
                <w:lang w:val="el-GR"/>
              </w:rPr>
              <w:t xml:space="preserve"> </w:t>
            </w:r>
            <w:r w:rsidRPr="006740F1">
              <w:rPr>
                <w:rFonts w:ascii="Arial" w:eastAsia="Times New Roman" w:hAnsi="Arial" w:cs="Arial"/>
                <w:color w:val="000000"/>
                <w:sz w:val="24"/>
                <w:szCs w:val="24"/>
                <w:lang w:val="el-GR"/>
              </w:rPr>
              <w:t>Δεύτερος Πίνακας.</w:t>
            </w:r>
          </w:p>
          <w:p w14:paraId="7D27D52F" w14:textId="5331910D" w:rsidR="00A642EC" w:rsidRDefault="0015443A" w:rsidP="006740F1">
            <w:pPr>
              <w:spacing w:after="0" w:line="360" w:lineRule="auto"/>
              <w:rPr>
                <w:rFonts w:ascii="Arial" w:eastAsia="Times New Roman" w:hAnsi="Arial" w:cs="Arial"/>
                <w:color w:val="000000"/>
                <w:sz w:val="24"/>
                <w:szCs w:val="24"/>
              </w:rPr>
            </w:pPr>
            <w:proofErr w:type="spellStart"/>
            <w:r w:rsidRPr="006740F1">
              <w:rPr>
                <w:rFonts w:ascii="Arial" w:eastAsia="Times New Roman" w:hAnsi="Arial" w:cs="Arial"/>
                <w:color w:val="000000"/>
                <w:sz w:val="24"/>
                <w:szCs w:val="24"/>
              </w:rPr>
              <w:t>Πρώτο</w:t>
            </w:r>
            <w:proofErr w:type="spellEnd"/>
          </w:p>
          <w:p w14:paraId="6B139593" w14:textId="07E87D9E" w:rsidR="0015443A" w:rsidRPr="006740F1" w:rsidRDefault="0015443A" w:rsidP="006740F1">
            <w:pPr>
              <w:spacing w:after="0" w:line="360" w:lineRule="auto"/>
              <w:rPr>
                <w:rFonts w:ascii="Arial" w:eastAsia="Times New Roman" w:hAnsi="Arial" w:cs="Arial"/>
                <w:color w:val="000000"/>
                <w:sz w:val="24"/>
                <w:szCs w:val="24"/>
                <w:lang w:val="el-GR"/>
              </w:rPr>
            </w:pPr>
            <w:proofErr w:type="spellStart"/>
            <w:r w:rsidRPr="006740F1">
              <w:rPr>
                <w:rFonts w:ascii="Arial" w:eastAsia="Times New Roman" w:hAnsi="Arial" w:cs="Arial"/>
                <w:color w:val="000000"/>
                <w:sz w:val="24"/>
                <w:szCs w:val="24"/>
              </w:rPr>
              <w:t>Μέρος</w:t>
            </w:r>
            <w:proofErr w:type="spellEnd"/>
            <w:r w:rsidRPr="006740F1">
              <w:rPr>
                <w:rFonts w:ascii="Arial" w:eastAsia="Times New Roman" w:hAnsi="Arial" w:cs="Arial"/>
                <w:color w:val="000000"/>
                <w:sz w:val="24"/>
                <w:szCs w:val="24"/>
              </w:rPr>
              <w:t>.</w:t>
            </w:r>
            <w:r w:rsidRPr="006740F1">
              <w:rPr>
                <w:rFonts w:ascii="Arial" w:eastAsia="Times New Roman" w:hAnsi="Arial" w:cs="Arial"/>
                <w:color w:val="000000"/>
                <w:sz w:val="24"/>
                <w:szCs w:val="24"/>
                <w:lang w:val="el-GR"/>
              </w:rPr>
              <w:t xml:space="preserve"> </w:t>
            </w:r>
          </w:p>
        </w:tc>
        <w:tc>
          <w:tcPr>
            <w:tcW w:w="7362" w:type="dxa"/>
            <w:gridSpan w:val="3"/>
            <w:shd w:val="clear" w:color="auto" w:fill="auto"/>
            <w:hideMark/>
          </w:tcPr>
          <w:p w14:paraId="5A5FEA0A" w14:textId="187ABF09" w:rsidR="0015443A" w:rsidRPr="006740F1" w:rsidRDefault="0015443A" w:rsidP="00A642EC">
            <w:pPr>
              <w:tabs>
                <w:tab w:val="left" w:pos="284"/>
                <w:tab w:val="left" w:pos="397"/>
              </w:tabs>
              <w:spacing w:after="0" w:line="360" w:lineRule="auto"/>
              <w:jc w:val="both"/>
              <w:rPr>
                <w:rFonts w:ascii="Arial" w:eastAsia="Times New Roman" w:hAnsi="Arial" w:cs="Arial"/>
                <w:color w:val="000000"/>
                <w:sz w:val="24"/>
                <w:szCs w:val="24"/>
                <w:lang w:val="el-GR"/>
              </w:rPr>
            </w:pPr>
            <w:r w:rsidRPr="00A642EC">
              <w:rPr>
                <w:rFonts w:ascii="Arial" w:eastAsia="Times New Roman" w:hAnsi="Arial" w:cs="Arial"/>
                <w:bCs/>
                <w:color w:val="000000"/>
                <w:sz w:val="24"/>
                <w:szCs w:val="24"/>
                <w:lang w:val="el-GR"/>
              </w:rPr>
              <w:t>5.</w:t>
            </w:r>
            <w:r w:rsidRPr="00A642EC">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1)</w:t>
            </w:r>
            <w:r w:rsidR="00A642EC">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Με τον παρόντα Νόμο δεν δημιουργούνται οποιεσδήποτε νέες θέσεις.</w:t>
            </w:r>
          </w:p>
        </w:tc>
      </w:tr>
      <w:tr w:rsidR="00A642EC" w:rsidRPr="001370B7" w14:paraId="7487E9B5" w14:textId="77777777" w:rsidTr="00DD2536">
        <w:trPr>
          <w:trHeight w:val="265"/>
        </w:trPr>
        <w:tc>
          <w:tcPr>
            <w:tcW w:w="2027" w:type="dxa"/>
            <w:shd w:val="clear" w:color="auto" w:fill="auto"/>
          </w:tcPr>
          <w:p w14:paraId="563419AA" w14:textId="77777777" w:rsidR="00A642EC" w:rsidRPr="006740F1" w:rsidRDefault="00A642EC"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27C9672D" w14:textId="77777777" w:rsidR="00A642EC" w:rsidRPr="00A642EC" w:rsidRDefault="00A642EC" w:rsidP="00A642EC">
            <w:pPr>
              <w:tabs>
                <w:tab w:val="left" w:pos="284"/>
                <w:tab w:val="left" w:pos="397"/>
              </w:tabs>
              <w:spacing w:after="0" w:line="360" w:lineRule="auto"/>
              <w:jc w:val="both"/>
              <w:rPr>
                <w:rFonts w:ascii="Arial" w:eastAsia="Times New Roman" w:hAnsi="Arial" w:cs="Arial"/>
                <w:bCs/>
                <w:color w:val="000000"/>
                <w:sz w:val="24"/>
                <w:szCs w:val="24"/>
                <w:lang w:val="el-GR"/>
              </w:rPr>
            </w:pPr>
          </w:p>
        </w:tc>
      </w:tr>
      <w:tr w:rsidR="0015443A" w:rsidRPr="001370B7" w14:paraId="202E57C6" w14:textId="77777777" w:rsidTr="00DD2536">
        <w:trPr>
          <w:trHeight w:val="555"/>
        </w:trPr>
        <w:tc>
          <w:tcPr>
            <w:tcW w:w="2027" w:type="dxa"/>
            <w:shd w:val="clear" w:color="auto" w:fill="auto"/>
            <w:hideMark/>
          </w:tcPr>
          <w:p w14:paraId="6E17460C"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hideMark/>
          </w:tcPr>
          <w:p w14:paraId="766BC9EC" w14:textId="21CD7374" w:rsidR="0015443A" w:rsidRPr="006740F1" w:rsidRDefault="004B67F3" w:rsidP="004B67F3">
            <w:pPr>
              <w:tabs>
                <w:tab w:val="left" w:pos="284"/>
                <w:tab w:val="left" w:pos="39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 xml:space="preserve">Κάθε διοριζόμενος σε οποιαδήποτε νέα θέση που δημιουργείται με βάση τις διατάξεις του παρόντος άρθρου είναι δυνατόν να υπαχθεί στο θεσμό της </w:t>
            </w:r>
            <w:proofErr w:type="spellStart"/>
            <w:r w:rsidR="0015443A" w:rsidRPr="006740F1">
              <w:rPr>
                <w:rFonts w:ascii="Arial" w:eastAsia="Times New Roman" w:hAnsi="Arial" w:cs="Arial"/>
                <w:color w:val="000000"/>
                <w:sz w:val="24"/>
                <w:szCs w:val="24"/>
                <w:lang w:val="el-GR"/>
              </w:rPr>
              <w:t>εναλλαξιμότητας</w:t>
            </w:r>
            <w:proofErr w:type="spellEnd"/>
            <w:r w:rsidR="0015443A" w:rsidRPr="006740F1">
              <w:rPr>
                <w:rFonts w:ascii="Arial" w:eastAsia="Times New Roman" w:hAnsi="Arial" w:cs="Arial"/>
                <w:color w:val="000000"/>
                <w:sz w:val="24"/>
                <w:szCs w:val="24"/>
                <w:lang w:val="el-GR"/>
              </w:rPr>
              <w:t>, αν και όταν νόμος ήθελε προνοήσει τούτο.</w:t>
            </w:r>
          </w:p>
        </w:tc>
      </w:tr>
      <w:tr w:rsidR="0015443A" w:rsidRPr="001370B7" w14:paraId="10FCEB10" w14:textId="77777777" w:rsidTr="00DD2536">
        <w:trPr>
          <w:trHeight w:val="253"/>
        </w:trPr>
        <w:tc>
          <w:tcPr>
            <w:tcW w:w="2027" w:type="dxa"/>
            <w:shd w:val="clear" w:color="auto" w:fill="auto"/>
            <w:noWrap/>
            <w:vAlign w:val="bottom"/>
            <w:hideMark/>
          </w:tcPr>
          <w:p w14:paraId="2CEA1648"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7152CFDB"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r>
      <w:tr w:rsidR="0015443A" w:rsidRPr="001370B7" w14:paraId="259EECA0" w14:textId="77777777" w:rsidTr="00DD2536">
        <w:trPr>
          <w:trHeight w:val="435"/>
        </w:trPr>
        <w:tc>
          <w:tcPr>
            <w:tcW w:w="2027" w:type="dxa"/>
            <w:shd w:val="clear" w:color="auto" w:fill="auto"/>
            <w:hideMark/>
          </w:tcPr>
          <w:p w14:paraId="51D28ADF"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r w:rsidRPr="00445CF9">
              <w:rPr>
                <w:rFonts w:ascii="Arial" w:eastAsia="Times New Roman" w:hAnsi="Arial" w:cs="Arial"/>
                <w:color w:val="000000"/>
                <w:sz w:val="24"/>
                <w:szCs w:val="24"/>
                <w:lang w:val="el-GR"/>
              </w:rPr>
              <w:t>Κατάργηση θέσεων.</w:t>
            </w:r>
          </w:p>
          <w:p w14:paraId="65A756E8" w14:textId="77777777" w:rsidR="0015443A" w:rsidRPr="00445CF9" w:rsidRDefault="0015443A" w:rsidP="006740F1">
            <w:pPr>
              <w:spacing w:after="0" w:line="360" w:lineRule="auto"/>
              <w:jc w:val="both"/>
              <w:rPr>
                <w:rFonts w:ascii="Arial" w:eastAsia="Times New Roman" w:hAnsi="Arial" w:cs="Arial"/>
                <w:color w:val="000000"/>
                <w:sz w:val="24"/>
                <w:szCs w:val="24"/>
                <w:lang w:val="el-GR"/>
              </w:rPr>
            </w:pPr>
            <w:r w:rsidRPr="00445CF9">
              <w:rPr>
                <w:rFonts w:ascii="Arial" w:eastAsia="Times New Roman" w:hAnsi="Arial" w:cs="Arial"/>
                <w:color w:val="000000"/>
                <w:sz w:val="24"/>
                <w:szCs w:val="24"/>
                <w:lang w:val="el-GR"/>
              </w:rPr>
              <w:t>Δεύτερος Πίνακας.</w:t>
            </w:r>
          </w:p>
          <w:p w14:paraId="753E280C" w14:textId="77777777" w:rsidR="00BE44AE" w:rsidRDefault="00BE44AE" w:rsidP="006740F1">
            <w:pPr>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Δεύτερο </w:t>
            </w:r>
          </w:p>
          <w:p w14:paraId="1526607C" w14:textId="79F78959" w:rsidR="00BE44AE" w:rsidRPr="006740F1" w:rsidRDefault="00BE44AE" w:rsidP="006740F1">
            <w:pPr>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Μέρος.</w:t>
            </w:r>
          </w:p>
        </w:tc>
        <w:tc>
          <w:tcPr>
            <w:tcW w:w="7362" w:type="dxa"/>
            <w:gridSpan w:val="3"/>
            <w:shd w:val="clear" w:color="auto" w:fill="auto"/>
            <w:hideMark/>
          </w:tcPr>
          <w:p w14:paraId="2C2F1755" w14:textId="12554690"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4B67F3">
              <w:rPr>
                <w:rFonts w:ascii="Arial" w:eastAsia="Times New Roman" w:hAnsi="Arial" w:cs="Arial"/>
                <w:bCs/>
                <w:color w:val="000000"/>
                <w:sz w:val="24"/>
                <w:szCs w:val="24"/>
                <w:lang w:val="el-GR"/>
              </w:rPr>
              <w:t>6.</w:t>
            </w:r>
            <w:r w:rsidR="004B67F3">
              <w:rPr>
                <w:rFonts w:ascii="Arial" w:eastAsia="Times New Roman" w:hAnsi="Arial" w:cs="Arial"/>
                <w:bCs/>
                <w:color w:val="000000"/>
                <w:sz w:val="24"/>
                <w:szCs w:val="24"/>
                <w:lang w:val="el-GR"/>
              </w:rPr>
              <w:tab/>
            </w:r>
            <w:r w:rsidR="00C8384E">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Οι θέσεις που αναφέρονται στο Δεύτερο Μέρος του Δεύτερου Πίνακα καταργούνται.</w:t>
            </w:r>
          </w:p>
        </w:tc>
      </w:tr>
      <w:tr w:rsidR="0015443A" w:rsidRPr="001370B7" w14:paraId="0B3EFEE5" w14:textId="77777777" w:rsidTr="00DD2536">
        <w:trPr>
          <w:trHeight w:val="129"/>
        </w:trPr>
        <w:tc>
          <w:tcPr>
            <w:tcW w:w="2027" w:type="dxa"/>
            <w:shd w:val="clear" w:color="auto" w:fill="auto"/>
            <w:noWrap/>
            <w:vAlign w:val="bottom"/>
            <w:hideMark/>
          </w:tcPr>
          <w:p w14:paraId="32EB16B6" w14:textId="77777777" w:rsidR="0015443A" w:rsidRPr="00445CF9" w:rsidRDefault="0015443A" w:rsidP="006740F1">
            <w:pPr>
              <w:spacing w:after="0" w:line="360" w:lineRule="auto"/>
              <w:jc w:val="both"/>
              <w:rPr>
                <w:rFonts w:ascii="Arial" w:eastAsia="Times New Roman" w:hAnsi="Arial" w:cs="Arial"/>
                <w:color w:val="000000"/>
                <w:sz w:val="24"/>
                <w:szCs w:val="24"/>
                <w:lang w:val="el-GR"/>
              </w:rPr>
            </w:pPr>
          </w:p>
        </w:tc>
        <w:tc>
          <w:tcPr>
            <w:tcW w:w="7362" w:type="dxa"/>
            <w:gridSpan w:val="3"/>
            <w:shd w:val="clear" w:color="auto" w:fill="auto"/>
            <w:noWrap/>
            <w:vAlign w:val="bottom"/>
            <w:hideMark/>
          </w:tcPr>
          <w:p w14:paraId="6067DABA" w14:textId="77777777" w:rsidR="0015443A" w:rsidRPr="00445CF9" w:rsidRDefault="0015443A" w:rsidP="006740F1">
            <w:pPr>
              <w:spacing w:after="0" w:line="360" w:lineRule="auto"/>
              <w:rPr>
                <w:rFonts w:ascii="Arial" w:eastAsia="Times New Roman" w:hAnsi="Arial" w:cs="Arial"/>
                <w:color w:val="000000"/>
                <w:sz w:val="24"/>
                <w:szCs w:val="24"/>
                <w:lang w:val="el-GR"/>
              </w:rPr>
            </w:pPr>
          </w:p>
        </w:tc>
      </w:tr>
      <w:tr w:rsidR="0015443A" w:rsidRPr="001370B7" w14:paraId="2DB6F4E3" w14:textId="77777777" w:rsidTr="00DD2536">
        <w:trPr>
          <w:trHeight w:val="240"/>
        </w:trPr>
        <w:tc>
          <w:tcPr>
            <w:tcW w:w="2027" w:type="dxa"/>
            <w:shd w:val="clear" w:color="auto" w:fill="auto"/>
            <w:hideMark/>
          </w:tcPr>
          <w:p w14:paraId="73939ACE" w14:textId="7B409744" w:rsidR="004B67F3"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Μείωση κλιμάκων εισδοχής.</w:t>
            </w:r>
          </w:p>
          <w:p w14:paraId="18BA14E3" w14:textId="77777777" w:rsidR="004B67F3" w:rsidRDefault="004B67F3" w:rsidP="006740F1">
            <w:pPr>
              <w:spacing w:after="0" w:line="360" w:lineRule="auto"/>
              <w:rPr>
                <w:rFonts w:ascii="Arial" w:eastAsia="Times New Roman" w:hAnsi="Arial" w:cs="Arial"/>
                <w:color w:val="000000"/>
                <w:sz w:val="24"/>
                <w:szCs w:val="24"/>
                <w:lang w:val="el-GR"/>
              </w:rPr>
            </w:pPr>
          </w:p>
          <w:p w14:paraId="206512E9" w14:textId="77777777" w:rsidR="004B67F3" w:rsidRDefault="004B67F3" w:rsidP="006740F1">
            <w:pPr>
              <w:spacing w:after="0" w:line="360" w:lineRule="auto"/>
              <w:rPr>
                <w:rFonts w:ascii="Arial" w:eastAsia="Times New Roman" w:hAnsi="Arial" w:cs="Arial"/>
                <w:color w:val="000000"/>
                <w:sz w:val="24"/>
                <w:szCs w:val="24"/>
                <w:lang w:val="el-GR"/>
              </w:rPr>
            </w:pPr>
          </w:p>
          <w:p w14:paraId="08741F11" w14:textId="77777777" w:rsidR="004B67F3" w:rsidRDefault="004B67F3" w:rsidP="006740F1">
            <w:pPr>
              <w:spacing w:after="0" w:line="360" w:lineRule="auto"/>
              <w:rPr>
                <w:rFonts w:ascii="Arial" w:eastAsia="Times New Roman" w:hAnsi="Arial" w:cs="Arial"/>
                <w:color w:val="000000"/>
                <w:sz w:val="24"/>
                <w:szCs w:val="24"/>
                <w:lang w:val="el-GR"/>
              </w:rPr>
            </w:pPr>
          </w:p>
          <w:p w14:paraId="32A5EC01" w14:textId="77777777" w:rsidR="004B67F3" w:rsidRDefault="004B67F3" w:rsidP="006740F1">
            <w:pPr>
              <w:spacing w:after="0" w:line="360" w:lineRule="auto"/>
              <w:rPr>
                <w:rFonts w:ascii="Arial" w:eastAsia="Times New Roman" w:hAnsi="Arial" w:cs="Arial"/>
                <w:color w:val="000000"/>
                <w:sz w:val="24"/>
                <w:szCs w:val="24"/>
                <w:lang w:val="el-GR"/>
              </w:rPr>
            </w:pPr>
          </w:p>
          <w:p w14:paraId="32BA9ACC" w14:textId="77777777" w:rsidR="004B67F3" w:rsidRDefault="004B67F3" w:rsidP="006740F1">
            <w:pPr>
              <w:spacing w:after="0" w:line="360" w:lineRule="auto"/>
              <w:rPr>
                <w:rFonts w:ascii="Arial" w:eastAsia="Times New Roman" w:hAnsi="Arial" w:cs="Arial"/>
                <w:color w:val="000000"/>
                <w:sz w:val="24"/>
                <w:szCs w:val="24"/>
                <w:lang w:val="el-GR"/>
              </w:rPr>
            </w:pPr>
          </w:p>
          <w:p w14:paraId="6AD45C06" w14:textId="77777777" w:rsidR="004B67F3" w:rsidRDefault="004B67F3" w:rsidP="006740F1">
            <w:pPr>
              <w:spacing w:after="0" w:line="360" w:lineRule="auto"/>
              <w:rPr>
                <w:rFonts w:ascii="Arial" w:eastAsia="Times New Roman" w:hAnsi="Arial" w:cs="Arial"/>
                <w:color w:val="000000"/>
                <w:sz w:val="24"/>
                <w:szCs w:val="24"/>
                <w:lang w:val="el-GR"/>
              </w:rPr>
            </w:pPr>
          </w:p>
          <w:p w14:paraId="4984877D" w14:textId="77777777" w:rsidR="004B67F3" w:rsidRDefault="004B67F3" w:rsidP="006740F1">
            <w:pPr>
              <w:spacing w:after="0" w:line="360" w:lineRule="auto"/>
              <w:rPr>
                <w:rFonts w:ascii="Arial" w:eastAsia="Times New Roman" w:hAnsi="Arial" w:cs="Arial"/>
                <w:color w:val="000000"/>
                <w:sz w:val="24"/>
                <w:szCs w:val="24"/>
                <w:lang w:val="el-GR"/>
              </w:rPr>
            </w:pPr>
          </w:p>
          <w:p w14:paraId="6D781F2A" w14:textId="77777777" w:rsidR="004B67F3" w:rsidRDefault="004B67F3" w:rsidP="006740F1">
            <w:pPr>
              <w:spacing w:after="0" w:line="360" w:lineRule="auto"/>
              <w:rPr>
                <w:rFonts w:ascii="Arial" w:eastAsia="Times New Roman" w:hAnsi="Arial" w:cs="Arial"/>
                <w:color w:val="000000"/>
                <w:sz w:val="24"/>
                <w:szCs w:val="24"/>
                <w:lang w:val="el-GR"/>
              </w:rPr>
            </w:pPr>
          </w:p>
          <w:p w14:paraId="0AC54B32" w14:textId="7C4E935C"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Παράρτημα.</w:t>
            </w:r>
          </w:p>
          <w:p w14:paraId="4DE272E3" w14:textId="77777777" w:rsidR="0015443A" w:rsidRPr="006740F1" w:rsidRDefault="0015443A"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hideMark/>
          </w:tcPr>
          <w:p w14:paraId="54647A5C" w14:textId="12C39AD6" w:rsidR="0015443A" w:rsidRPr="006740F1" w:rsidRDefault="0015443A"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sidRPr="004B67F3">
              <w:rPr>
                <w:rFonts w:ascii="Arial" w:eastAsia="Times New Roman" w:hAnsi="Arial" w:cs="Arial"/>
                <w:bCs/>
                <w:color w:val="000000"/>
                <w:sz w:val="24"/>
                <w:szCs w:val="24"/>
                <w:lang w:val="el-GR"/>
              </w:rPr>
              <w:lastRenderedPageBreak/>
              <w:t>7.</w:t>
            </w:r>
            <w:r w:rsidRPr="006740F1">
              <w:rPr>
                <w:rFonts w:ascii="Arial" w:eastAsia="Times New Roman" w:hAnsi="Arial" w:cs="Arial"/>
                <w:color w:val="000000"/>
                <w:sz w:val="24"/>
                <w:szCs w:val="24"/>
                <w:lang w:val="el-GR"/>
              </w:rPr>
              <w:t>-(1)</w:t>
            </w:r>
            <w:r w:rsidR="004B67F3">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Ανεξαρτήτως των διατάξεων οποιουδήποτε άλλου Νόμου ή Κανονισμών που ρυθμίζουν τη μισθοδοσία των θέσεων στην Αρχή Ηλεκτρισμού Κύπρου, πρόσωπ</w:t>
            </w:r>
            <w:r w:rsidR="004B67F3">
              <w:rPr>
                <w:rFonts w:ascii="Arial" w:eastAsia="Times New Roman" w:hAnsi="Arial" w:cs="Arial"/>
                <w:color w:val="000000"/>
                <w:sz w:val="24"/>
                <w:szCs w:val="24"/>
                <w:lang w:val="el-GR"/>
              </w:rPr>
              <w:t>ο</w:t>
            </w:r>
            <w:r w:rsidRPr="006740F1">
              <w:rPr>
                <w:rFonts w:ascii="Arial" w:eastAsia="Times New Roman" w:hAnsi="Arial" w:cs="Arial"/>
                <w:color w:val="000000"/>
                <w:sz w:val="24"/>
                <w:szCs w:val="24"/>
                <w:lang w:val="el-GR"/>
              </w:rPr>
              <w:t xml:space="preserve"> που από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και στο εξής διορίζ</w:t>
            </w:r>
            <w:r w:rsidR="004B67F3">
              <w:rPr>
                <w:rFonts w:ascii="Arial" w:eastAsia="Times New Roman" w:hAnsi="Arial" w:cs="Arial"/>
                <w:color w:val="000000"/>
                <w:sz w:val="24"/>
                <w:szCs w:val="24"/>
                <w:lang w:val="el-GR"/>
              </w:rPr>
              <w:t>ε</w:t>
            </w:r>
            <w:r w:rsidRPr="006740F1">
              <w:rPr>
                <w:rFonts w:ascii="Arial" w:eastAsia="Times New Roman" w:hAnsi="Arial" w:cs="Arial"/>
                <w:color w:val="000000"/>
                <w:sz w:val="24"/>
                <w:szCs w:val="24"/>
                <w:lang w:val="el-GR"/>
              </w:rPr>
              <w:t>ται σε θέσ</w:t>
            </w:r>
            <w:r w:rsidR="004B67F3">
              <w:rPr>
                <w:rFonts w:ascii="Arial" w:eastAsia="Times New Roman" w:hAnsi="Arial" w:cs="Arial"/>
                <w:color w:val="000000"/>
                <w:sz w:val="24"/>
                <w:szCs w:val="24"/>
                <w:lang w:val="el-GR"/>
              </w:rPr>
              <w:t>η</w:t>
            </w:r>
            <w:r w:rsidRPr="006740F1">
              <w:rPr>
                <w:rFonts w:ascii="Arial" w:eastAsia="Times New Roman" w:hAnsi="Arial" w:cs="Arial"/>
                <w:color w:val="000000"/>
                <w:sz w:val="24"/>
                <w:szCs w:val="24"/>
                <w:lang w:val="el-GR"/>
              </w:rPr>
              <w:t xml:space="preserve"> Πρώτου Διορισμού ή σε θέσ</w:t>
            </w:r>
            <w:r w:rsidR="004B67F3">
              <w:rPr>
                <w:rFonts w:ascii="Arial" w:eastAsia="Times New Roman" w:hAnsi="Arial" w:cs="Arial"/>
                <w:color w:val="000000"/>
                <w:sz w:val="24"/>
                <w:szCs w:val="24"/>
                <w:lang w:val="el-GR"/>
              </w:rPr>
              <w:t>η</w:t>
            </w:r>
            <w:r w:rsidRPr="006740F1">
              <w:rPr>
                <w:rFonts w:ascii="Arial" w:eastAsia="Times New Roman" w:hAnsi="Arial" w:cs="Arial"/>
                <w:color w:val="000000"/>
                <w:sz w:val="24"/>
                <w:szCs w:val="24"/>
                <w:lang w:val="el-GR"/>
              </w:rPr>
              <w:t xml:space="preserve">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w:t>
            </w:r>
            <w:r w:rsidRPr="006740F1">
              <w:rPr>
                <w:rFonts w:ascii="Arial" w:eastAsia="Times New Roman" w:hAnsi="Arial" w:cs="Arial"/>
                <w:color w:val="000000"/>
                <w:sz w:val="24"/>
                <w:szCs w:val="24"/>
                <w:lang w:val="el-GR"/>
              </w:rPr>
              <w:lastRenderedPageBreak/>
              <w:t xml:space="preserve">των υφιστάμενων δομών της Αρχής Ηλεκτρισμού Κύπρου λαμβάνουν, κατά τα δύο (2) πρώτα έτη της υπηρεσίας ή απασχόλησης τους, ετήσιο βασικό μισθό ανάλογα με την κλίμακα </w:t>
            </w:r>
            <w:proofErr w:type="spellStart"/>
            <w:r w:rsidRPr="006740F1">
              <w:rPr>
                <w:rFonts w:ascii="Arial" w:eastAsia="Times New Roman" w:hAnsi="Arial" w:cs="Arial"/>
                <w:color w:val="000000"/>
                <w:sz w:val="24"/>
                <w:szCs w:val="24"/>
                <w:lang w:val="el-GR"/>
              </w:rPr>
              <w:t>έκαστης</w:t>
            </w:r>
            <w:proofErr w:type="spellEnd"/>
            <w:r w:rsidRPr="006740F1">
              <w:rPr>
                <w:rFonts w:ascii="Arial" w:eastAsia="Times New Roman" w:hAnsi="Arial" w:cs="Arial"/>
                <w:color w:val="000000"/>
                <w:sz w:val="24"/>
                <w:szCs w:val="24"/>
                <w:lang w:val="el-GR"/>
              </w:rPr>
              <w:t xml:space="preserve"> θέσης, όπως δεικνύονται στο Παράρτημα </w:t>
            </w:r>
            <w:r w:rsidR="004B67F3">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Μισθοδοτικές Κλίμακες</w:t>
            </w:r>
            <w:r w:rsidR="004B67F3">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w:t>
            </w:r>
          </w:p>
        </w:tc>
      </w:tr>
      <w:tr w:rsidR="0015443A" w:rsidRPr="001370B7" w14:paraId="001C4AA2" w14:textId="77777777" w:rsidTr="00DD2536">
        <w:trPr>
          <w:trHeight w:val="244"/>
        </w:trPr>
        <w:tc>
          <w:tcPr>
            <w:tcW w:w="2027" w:type="dxa"/>
            <w:shd w:val="clear" w:color="auto" w:fill="auto"/>
            <w:hideMark/>
          </w:tcPr>
          <w:p w14:paraId="5EDD7DA8" w14:textId="77777777" w:rsidR="0015443A" w:rsidRPr="006740F1" w:rsidRDefault="0015443A"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hideMark/>
          </w:tcPr>
          <w:p w14:paraId="6417CCE5"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7C978650" w14:textId="77777777" w:rsidTr="00DD2536">
        <w:trPr>
          <w:trHeight w:val="705"/>
        </w:trPr>
        <w:tc>
          <w:tcPr>
            <w:tcW w:w="2027" w:type="dxa"/>
            <w:shd w:val="clear" w:color="auto" w:fill="auto"/>
            <w:hideMark/>
          </w:tcPr>
          <w:p w14:paraId="5867C95F" w14:textId="77777777" w:rsidR="0015443A" w:rsidRPr="006740F1" w:rsidRDefault="0015443A"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hideMark/>
          </w:tcPr>
          <w:p w14:paraId="531F8E00" w14:textId="3DBFAB3C" w:rsidR="0015443A" w:rsidRPr="006740F1" w:rsidRDefault="004B67F3" w:rsidP="00BE44AE">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Με τη συμπλήρωση είκοσι τεσσάρων (24) μηνών υπηρεσίας ή απασχόλησης στο</w:t>
            </w:r>
            <w:r>
              <w:rPr>
                <w:rFonts w:ascii="Arial" w:eastAsia="Times New Roman" w:hAnsi="Arial" w:cs="Arial"/>
                <w:color w:val="000000"/>
                <w:sz w:val="24"/>
                <w:szCs w:val="24"/>
                <w:lang w:val="el-GR"/>
              </w:rPr>
              <w:t>ν</w:t>
            </w:r>
            <w:r w:rsidR="0015443A" w:rsidRPr="006740F1">
              <w:rPr>
                <w:rFonts w:ascii="Arial" w:eastAsia="Times New Roman" w:hAnsi="Arial" w:cs="Arial"/>
                <w:color w:val="000000"/>
                <w:sz w:val="24"/>
                <w:szCs w:val="24"/>
                <w:lang w:val="el-GR"/>
              </w:rPr>
              <w:t xml:space="preserve"> υπό αναφορά βασικ</w:t>
            </w:r>
            <w:r w:rsidR="00F706AF">
              <w:rPr>
                <w:rFonts w:ascii="Arial" w:eastAsia="Times New Roman" w:hAnsi="Arial" w:cs="Arial"/>
                <w:color w:val="000000"/>
                <w:sz w:val="24"/>
                <w:szCs w:val="24"/>
                <w:lang w:val="el-GR"/>
              </w:rPr>
              <w:t>ό</w:t>
            </w:r>
            <w:r w:rsidR="0015443A" w:rsidRPr="006740F1">
              <w:rPr>
                <w:rFonts w:ascii="Arial" w:eastAsia="Times New Roman" w:hAnsi="Arial" w:cs="Arial"/>
                <w:color w:val="000000"/>
                <w:sz w:val="24"/>
                <w:szCs w:val="24"/>
                <w:lang w:val="el-GR"/>
              </w:rPr>
              <w:t xml:space="preserve"> μισθ</w:t>
            </w:r>
            <w:r w:rsidR="00F706AF">
              <w:rPr>
                <w:rFonts w:ascii="Arial" w:eastAsia="Times New Roman" w:hAnsi="Arial" w:cs="Arial"/>
                <w:color w:val="000000"/>
                <w:sz w:val="24"/>
                <w:szCs w:val="24"/>
                <w:lang w:val="el-GR"/>
              </w:rPr>
              <w:t>ό</w:t>
            </w:r>
            <w:r w:rsidR="0015443A" w:rsidRPr="006740F1">
              <w:rPr>
                <w:rFonts w:ascii="Arial" w:eastAsia="Times New Roman" w:hAnsi="Arial" w:cs="Arial"/>
                <w:color w:val="000000"/>
                <w:sz w:val="24"/>
                <w:szCs w:val="24"/>
                <w:lang w:val="el-GR"/>
              </w:rPr>
              <w:t xml:space="preserve"> τ</w:t>
            </w:r>
            <w:r w:rsidR="00F706AF">
              <w:rPr>
                <w:rFonts w:ascii="Arial" w:eastAsia="Times New Roman" w:hAnsi="Arial" w:cs="Arial"/>
                <w:color w:val="000000"/>
                <w:sz w:val="24"/>
                <w:szCs w:val="24"/>
                <w:lang w:val="el-GR"/>
              </w:rPr>
              <w:t>ης</w:t>
            </w:r>
            <w:r w:rsidR="0015443A" w:rsidRPr="006740F1">
              <w:rPr>
                <w:rFonts w:ascii="Arial" w:eastAsia="Times New Roman" w:hAnsi="Arial" w:cs="Arial"/>
                <w:color w:val="000000"/>
                <w:sz w:val="24"/>
                <w:szCs w:val="24"/>
                <w:lang w:val="el-GR"/>
              </w:rPr>
              <w:t xml:space="preserve"> μειωμέν</w:t>
            </w:r>
            <w:r w:rsidR="00F706AF">
              <w:rPr>
                <w:rFonts w:ascii="Arial" w:eastAsia="Times New Roman" w:hAnsi="Arial" w:cs="Arial"/>
                <w:color w:val="000000"/>
                <w:sz w:val="24"/>
                <w:szCs w:val="24"/>
                <w:lang w:val="el-GR"/>
              </w:rPr>
              <w:t>ης</w:t>
            </w:r>
            <w:r w:rsidR="0015443A" w:rsidRPr="006740F1">
              <w:rPr>
                <w:rFonts w:ascii="Arial" w:eastAsia="Times New Roman" w:hAnsi="Arial" w:cs="Arial"/>
                <w:color w:val="000000"/>
                <w:sz w:val="24"/>
                <w:szCs w:val="24"/>
                <w:lang w:val="el-GR"/>
              </w:rPr>
              <w:t xml:space="preserve"> </w:t>
            </w:r>
            <w:r w:rsidR="00F706AF">
              <w:rPr>
                <w:rFonts w:ascii="Arial" w:eastAsia="Times New Roman" w:hAnsi="Arial" w:cs="Arial"/>
                <w:color w:val="000000"/>
                <w:sz w:val="24"/>
                <w:szCs w:val="24"/>
                <w:lang w:val="el-GR"/>
              </w:rPr>
              <w:t>κλίμακας</w:t>
            </w:r>
            <w:r w:rsidR="0015443A" w:rsidRPr="006740F1">
              <w:rPr>
                <w:rFonts w:ascii="Arial" w:eastAsia="Times New Roman" w:hAnsi="Arial" w:cs="Arial"/>
                <w:color w:val="000000"/>
                <w:sz w:val="24"/>
                <w:szCs w:val="24"/>
                <w:lang w:val="el-GR"/>
              </w:rPr>
              <w:t xml:space="preserve"> εισδοχής, ο </w:t>
            </w:r>
            <w:proofErr w:type="spellStart"/>
            <w:r w:rsidR="0015443A" w:rsidRPr="006740F1">
              <w:rPr>
                <w:rFonts w:ascii="Arial" w:eastAsia="Times New Roman" w:hAnsi="Arial" w:cs="Arial"/>
                <w:color w:val="000000"/>
                <w:sz w:val="24"/>
                <w:szCs w:val="24"/>
                <w:lang w:val="el-GR"/>
              </w:rPr>
              <w:t>εργοδοτούμενος</w:t>
            </w:r>
            <w:proofErr w:type="spellEnd"/>
            <w:r w:rsidR="0015443A" w:rsidRPr="006740F1">
              <w:rPr>
                <w:rFonts w:ascii="Arial" w:eastAsia="Times New Roman" w:hAnsi="Arial" w:cs="Arial"/>
                <w:color w:val="000000"/>
                <w:sz w:val="24"/>
                <w:szCs w:val="24"/>
                <w:lang w:val="el-GR"/>
              </w:rPr>
              <w:t xml:space="preserve"> τοποθετείται στην αρχική βαθμίδα της μισθοδοτικής κλίμακας της θέσης, όπως αυτή αναφέρεται στο οικείο </w:t>
            </w:r>
            <w:r w:rsidR="00F706AF">
              <w:rPr>
                <w:rFonts w:ascii="Arial" w:eastAsia="Times New Roman" w:hAnsi="Arial" w:cs="Arial"/>
                <w:color w:val="000000"/>
                <w:sz w:val="24"/>
                <w:szCs w:val="24"/>
                <w:lang w:val="el-GR"/>
              </w:rPr>
              <w:t>σ</w:t>
            </w:r>
            <w:r w:rsidR="0015443A" w:rsidRPr="006740F1">
              <w:rPr>
                <w:rFonts w:ascii="Arial" w:eastAsia="Times New Roman" w:hAnsi="Arial" w:cs="Arial"/>
                <w:color w:val="000000"/>
                <w:sz w:val="24"/>
                <w:szCs w:val="24"/>
                <w:lang w:val="el-GR"/>
              </w:rPr>
              <w:t xml:space="preserve">χέδιο </w:t>
            </w:r>
            <w:r w:rsidR="00F706AF">
              <w:rPr>
                <w:rFonts w:ascii="Arial" w:eastAsia="Times New Roman" w:hAnsi="Arial" w:cs="Arial"/>
                <w:color w:val="000000"/>
                <w:sz w:val="24"/>
                <w:szCs w:val="24"/>
                <w:lang w:val="el-GR"/>
              </w:rPr>
              <w:t>υ</w:t>
            </w:r>
            <w:r w:rsidR="0015443A" w:rsidRPr="006740F1">
              <w:rPr>
                <w:rFonts w:ascii="Arial" w:eastAsia="Times New Roman" w:hAnsi="Arial" w:cs="Arial"/>
                <w:color w:val="000000"/>
                <w:sz w:val="24"/>
                <w:szCs w:val="24"/>
                <w:lang w:val="el-GR"/>
              </w:rPr>
              <w:t xml:space="preserve">πηρεσίας ή σε </w:t>
            </w:r>
            <w:r w:rsidR="00F706AF">
              <w:rPr>
                <w:rFonts w:ascii="Arial" w:eastAsia="Times New Roman" w:hAnsi="Arial" w:cs="Arial"/>
                <w:color w:val="000000"/>
                <w:sz w:val="24"/>
                <w:szCs w:val="24"/>
                <w:lang w:val="el-GR"/>
              </w:rPr>
              <w:t>σ</w:t>
            </w:r>
            <w:r w:rsidR="0015443A" w:rsidRPr="006740F1">
              <w:rPr>
                <w:rFonts w:ascii="Arial" w:eastAsia="Times New Roman" w:hAnsi="Arial" w:cs="Arial"/>
                <w:color w:val="000000"/>
                <w:sz w:val="24"/>
                <w:szCs w:val="24"/>
                <w:lang w:val="el-GR"/>
              </w:rPr>
              <w:t>ημείωση στον παρόντα Νόμο:</w:t>
            </w:r>
          </w:p>
        </w:tc>
      </w:tr>
      <w:tr w:rsidR="00F706AF" w:rsidRPr="001370B7" w14:paraId="50ED81D4" w14:textId="77777777" w:rsidTr="00DD2536">
        <w:trPr>
          <w:trHeight w:val="75"/>
        </w:trPr>
        <w:tc>
          <w:tcPr>
            <w:tcW w:w="2027" w:type="dxa"/>
            <w:shd w:val="clear" w:color="auto" w:fill="auto"/>
          </w:tcPr>
          <w:p w14:paraId="51B9487D" w14:textId="77777777" w:rsidR="00F706AF" w:rsidRPr="006740F1" w:rsidRDefault="00F706AF"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4C1EB408" w14:textId="77777777" w:rsidR="00F706AF" w:rsidRPr="006740F1" w:rsidRDefault="00F706AF" w:rsidP="006740F1">
            <w:pPr>
              <w:spacing w:after="0" w:line="360" w:lineRule="auto"/>
              <w:jc w:val="both"/>
              <w:rPr>
                <w:rFonts w:ascii="Arial" w:eastAsia="Times New Roman" w:hAnsi="Arial" w:cs="Arial"/>
                <w:color w:val="000000"/>
                <w:sz w:val="24"/>
                <w:szCs w:val="24"/>
                <w:lang w:val="el-GR"/>
              </w:rPr>
            </w:pPr>
          </w:p>
        </w:tc>
      </w:tr>
      <w:tr w:rsidR="00F706AF" w:rsidRPr="001370B7" w14:paraId="63B9E9CC" w14:textId="77777777" w:rsidTr="00DD2536">
        <w:trPr>
          <w:trHeight w:val="75"/>
        </w:trPr>
        <w:tc>
          <w:tcPr>
            <w:tcW w:w="2027" w:type="dxa"/>
            <w:shd w:val="clear" w:color="auto" w:fill="auto"/>
          </w:tcPr>
          <w:p w14:paraId="779345DC" w14:textId="77777777" w:rsidR="00F706AF" w:rsidRPr="006740F1" w:rsidRDefault="00F706AF"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67EBFF9C" w14:textId="221DA204" w:rsidR="00F706AF" w:rsidRPr="006740F1" w:rsidRDefault="00F706AF"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321834">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Νοείται ότι, η μείωση των κλιμάκων εισδοχής δεν τυγχάνει εφαρμογής στις περιπτώσεις-</w:t>
            </w:r>
          </w:p>
        </w:tc>
      </w:tr>
      <w:tr w:rsidR="00F706AF" w:rsidRPr="001370B7" w14:paraId="0F52599A" w14:textId="77777777" w:rsidTr="00DD2536">
        <w:trPr>
          <w:trHeight w:val="75"/>
        </w:trPr>
        <w:tc>
          <w:tcPr>
            <w:tcW w:w="2027" w:type="dxa"/>
            <w:shd w:val="clear" w:color="auto" w:fill="auto"/>
          </w:tcPr>
          <w:p w14:paraId="4D40A3E9" w14:textId="77777777" w:rsidR="00F706AF" w:rsidRPr="006740F1" w:rsidRDefault="00F706AF"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43DCF93C" w14:textId="77777777" w:rsidR="00F706AF" w:rsidRPr="006740F1" w:rsidRDefault="00F706AF" w:rsidP="006740F1">
            <w:pPr>
              <w:spacing w:after="0" w:line="360" w:lineRule="auto"/>
              <w:jc w:val="both"/>
              <w:rPr>
                <w:rFonts w:ascii="Arial" w:eastAsia="Times New Roman" w:hAnsi="Arial" w:cs="Arial"/>
                <w:color w:val="000000"/>
                <w:sz w:val="24"/>
                <w:szCs w:val="24"/>
                <w:lang w:val="el-GR"/>
              </w:rPr>
            </w:pPr>
          </w:p>
        </w:tc>
      </w:tr>
      <w:tr w:rsidR="00A525EB" w:rsidRPr="001370B7" w14:paraId="755F54B4" w14:textId="77777777" w:rsidTr="00DD2536">
        <w:trPr>
          <w:trHeight w:val="75"/>
        </w:trPr>
        <w:tc>
          <w:tcPr>
            <w:tcW w:w="2027" w:type="dxa"/>
            <w:shd w:val="clear" w:color="auto" w:fill="auto"/>
            <w:hideMark/>
          </w:tcPr>
          <w:p w14:paraId="5C08B5FA" w14:textId="77777777" w:rsidR="00A525EB" w:rsidRPr="006740F1" w:rsidRDefault="00A525EB"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hideMark/>
          </w:tcPr>
          <w:p w14:paraId="01969A04" w14:textId="4DB30AFF" w:rsidR="00A525EB" w:rsidRPr="006740F1" w:rsidRDefault="00A525EB" w:rsidP="00A525EB">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(α)</w:t>
            </w:r>
          </w:p>
        </w:tc>
        <w:tc>
          <w:tcPr>
            <w:tcW w:w="6255" w:type="dxa"/>
            <w:gridSpan w:val="2"/>
            <w:shd w:val="clear" w:color="auto" w:fill="auto"/>
          </w:tcPr>
          <w:p w14:paraId="342B1F5F" w14:textId="377D5815" w:rsidR="00A525EB" w:rsidRPr="006740F1" w:rsidRDefault="00A525EB"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υπαλλήλων που κατέχουν μόνιμη θέση, οι οποίοι, είτε διορίστηκαν πριν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είτε διορίστηκαν μετά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w:t>
            </w:r>
          </w:p>
        </w:tc>
      </w:tr>
      <w:tr w:rsidR="00AE5003" w:rsidRPr="001370B7" w14:paraId="629C991A" w14:textId="77777777" w:rsidTr="00DD2536">
        <w:trPr>
          <w:trHeight w:val="75"/>
        </w:trPr>
        <w:tc>
          <w:tcPr>
            <w:tcW w:w="2027" w:type="dxa"/>
            <w:shd w:val="clear" w:color="auto" w:fill="auto"/>
          </w:tcPr>
          <w:p w14:paraId="0CDAF9EC" w14:textId="77777777" w:rsidR="00AE5003" w:rsidRPr="006740F1" w:rsidRDefault="00AE5003"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47B27A41" w14:textId="4E37DEA5" w:rsidR="00AE5003" w:rsidRDefault="00AE5003" w:rsidP="00A525EB">
            <w:pPr>
              <w:spacing w:after="0" w:line="360" w:lineRule="auto"/>
              <w:jc w:val="right"/>
              <w:rPr>
                <w:rFonts w:ascii="Arial" w:eastAsia="Times New Roman" w:hAnsi="Arial" w:cs="Arial"/>
                <w:color w:val="000000"/>
                <w:sz w:val="24"/>
                <w:szCs w:val="24"/>
                <w:lang w:val="el-GR"/>
              </w:rPr>
            </w:pPr>
          </w:p>
        </w:tc>
        <w:tc>
          <w:tcPr>
            <w:tcW w:w="6255" w:type="dxa"/>
            <w:gridSpan w:val="2"/>
            <w:shd w:val="clear" w:color="auto" w:fill="auto"/>
          </w:tcPr>
          <w:p w14:paraId="2508EDEE" w14:textId="77777777" w:rsidR="00AE5003" w:rsidRPr="006740F1" w:rsidRDefault="00AE5003" w:rsidP="006740F1">
            <w:pPr>
              <w:spacing w:after="0" w:line="360" w:lineRule="auto"/>
              <w:jc w:val="both"/>
              <w:rPr>
                <w:rFonts w:ascii="Arial" w:eastAsia="Times New Roman" w:hAnsi="Arial" w:cs="Arial"/>
                <w:color w:val="000000"/>
                <w:sz w:val="24"/>
                <w:szCs w:val="24"/>
                <w:lang w:val="el-GR"/>
              </w:rPr>
            </w:pPr>
          </w:p>
        </w:tc>
      </w:tr>
      <w:tr w:rsidR="00AE5003" w:rsidRPr="001370B7" w14:paraId="55660407" w14:textId="77777777" w:rsidTr="00DD2536">
        <w:trPr>
          <w:trHeight w:val="75"/>
        </w:trPr>
        <w:tc>
          <w:tcPr>
            <w:tcW w:w="2027" w:type="dxa"/>
            <w:shd w:val="clear" w:color="auto" w:fill="auto"/>
          </w:tcPr>
          <w:p w14:paraId="3A6B98E6" w14:textId="77777777" w:rsidR="00AE5003" w:rsidRPr="006740F1" w:rsidRDefault="00AE5003"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4CD57E87" w14:textId="7BB89405" w:rsidR="00AE5003" w:rsidRDefault="00AE5003" w:rsidP="00A525EB">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(β)</w:t>
            </w:r>
          </w:p>
        </w:tc>
        <w:tc>
          <w:tcPr>
            <w:tcW w:w="6255" w:type="dxa"/>
            <w:gridSpan w:val="2"/>
            <w:shd w:val="clear" w:color="auto" w:fill="auto"/>
          </w:tcPr>
          <w:p w14:paraId="3563EC1E" w14:textId="33C01E3D" w:rsidR="00AE5003" w:rsidRPr="006740F1" w:rsidRDefault="00AE5003"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έκτακτου υπαλλήλου ή με σύμβαση προσωπικού που είτε προσλήφθηκε πριν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είτε προσλήφθηκε μετά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και απασχολήθηκε συνολικά για είκοσι τέσσερις (24)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AE5003" w:rsidRPr="001370B7" w14:paraId="4BBD2296" w14:textId="77777777" w:rsidTr="00DD2536">
        <w:trPr>
          <w:trHeight w:val="75"/>
        </w:trPr>
        <w:tc>
          <w:tcPr>
            <w:tcW w:w="2027" w:type="dxa"/>
            <w:shd w:val="clear" w:color="auto" w:fill="auto"/>
          </w:tcPr>
          <w:p w14:paraId="7379D447" w14:textId="77777777" w:rsidR="00AE5003" w:rsidRPr="006740F1" w:rsidRDefault="00AE5003"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23D1AAFF" w14:textId="77777777" w:rsidR="00AE5003" w:rsidRDefault="00AE5003" w:rsidP="00A525EB">
            <w:pPr>
              <w:spacing w:after="0" w:line="360" w:lineRule="auto"/>
              <w:jc w:val="right"/>
              <w:rPr>
                <w:rFonts w:ascii="Arial" w:eastAsia="Times New Roman" w:hAnsi="Arial" w:cs="Arial"/>
                <w:color w:val="000000"/>
                <w:sz w:val="24"/>
                <w:szCs w:val="24"/>
                <w:lang w:val="el-GR"/>
              </w:rPr>
            </w:pPr>
          </w:p>
        </w:tc>
        <w:tc>
          <w:tcPr>
            <w:tcW w:w="6255" w:type="dxa"/>
            <w:gridSpan w:val="2"/>
            <w:shd w:val="clear" w:color="auto" w:fill="auto"/>
          </w:tcPr>
          <w:p w14:paraId="3D99AE36" w14:textId="77777777" w:rsidR="00AE5003" w:rsidRPr="006740F1" w:rsidRDefault="00AE5003" w:rsidP="006740F1">
            <w:pPr>
              <w:spacing w:after="0" w:line="360" w:lineRule="auto"/>
              <w:jc w:val="both"/>
              <w:rPr>
                <w:rFonts w:ascii="Arial" w:eastAsia="Times New Roman" w:hAnsi="Arial" w:cs="Arial"/>
                <w:color w:val="000000"/>
                <w:sz w:val="24"/>
                <w:szCs w:val="24"/>
                <w:lang w:val="el-GR"/>
              </w:rPr>
            </w:pPr>
          </w:p>
        </w:tc>
      </w:tr>
      <w:tr w:rsidR="00AE5003" w:rsidRPr="001370B7" w14:paraId="5826B3FF" w14:textId="77777777" w:rsidTr="00DD2536">
        <w:trPr>
          <w:trHeight w:val="75"/>
        </w:trPr>
        <w:tc>
          <w:tcPr>
            <w:tcW w:w="2027" w:type="dxa"/>
            <w:shd w:val="clear" w:color="auto" w:fill="auto"/>
          </w:tcPr>
          <w:p w14:paraId="02EAE93D" w14:textId="77777777" w:rsidR="00AE5003" w:rsidRPr="006740F1" w:rsidRDefault="00AE5003"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09026B68" w14:textId="03A72690" w:rsidR="00AE5003" w:rsidRDefault="00AE5003" w:rsidP="00A525EB">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(γ)</w:t>
            </w:r>
          </w:p>
        </w:tc>
        <w:tc>
          <w:tcPr>
            <w:tcW w:w="6255" w:type="dxa"/>
            <w:gridSpan w:val="2"/>
            <w:shd w:val="clear" w:color="auto" w:fill="auto"/>
          </w:tcPr>
          <w:p w14:paraId="3CDF28A2" w14:textId="17E89BB8" w:rsidR="00AE5003" w:rsidRPr="006740F1" w:rsidRDefault="00AE5003" w:rsidP="006740F1">
            <w:pPr>
              <w:spacing w:after="0" w:line="360" w:lineRule="auto"/>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 xml:space="preserve">έκτακτου υπαλλήλου ή με σύμβαση προσωπικού του οποίου διαφοροποιούνται οι όροι απασχόλησης χωρίς </w:t>
            </w:r>
            <w:r w:rsidRPr="006740F1">
              <w:rPr>
                <w:rFonts w:ascii="Arial" w:eastAsia="Times New Roman" w:hAnsi="Arial" w:cs="Arial"/>
                <w:color w:val="000000"/>
                <w:sz w:val="24"/>
                <w:szCs w:val="24"/>
                <w:lang w:val="el-GR"/>
              </w:rPr>
              <w:lastRenderedPageBreak/>
              <w:t>να έχει μεσολαβήσει διακοπή στην απασχόληση στον Οργανισμό και είτε είχε προσληφθεί πριν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είτε είχε προσληφθεί μετά την 1</w:t>
            </w:r>
            <w:r w:rsidRPr="006740F1">
              <w:rPr>
                <w:rFonts w:ascii="Arial" w:eastAsia="Times New Roman" w:hAnsi="Arial" w:cs="Arial"/>
                <w:color w:val="000000"/>
                <w:sz w:val="24"/>
                <w:szCs w:val="24"/>
                <w:vertAlign w:val="superscript"/>
                <w:lang w:val="el-GR"/>
              </w:rPr>
              <w:t>η</w:t>
            </w:r>
            <w:r w:rsidRPr="006740F1">
              <w:rPr>
                <w:rFonts w:ascii="Arial" w:eastAsia="Times New Roman" w:hAnsi="Arial" w:cs="Arial"/>
                <w:color w:val="000000"/>
                <w:sz w:val="24"/>
                <w:szCs w:val="24"/>
                <w:lang w:val="el-GR"/>
              </w:rPr>
              <w:t xml:space="preserve"> Ιανουαρίου 2012 και έχει ήδη απασχοληθεί συνολικά για είκοσι τέσσερις (24) μήνες σε μειωμένη κλίμακα εισδοχής, και</w:t>
            </w:r>
          </w:p>
        </w:tc>
      </w:tr>
      <w:tr w:rsidR="008D5AEE" w:rsidRPr="001370B7" w14:paraId="72E48517" w14:textId="77777777" w:rsidTr="00DD2536">
        <w:trPr>
          <w:trHeight w:val="75"/>
        </w:trPr>
        <w:tc>
          <w:tcPr>
            <w:tcW w:w="2027" w:type="dxa"/>
            <w:shd w:val="clear" w:color="auto" w:fill="auto"/>
          </w:tcPr>
          <w:p w14:paraId="49E9E613" w14:textId="77777777" w:rsidR="008D5AEE" w:rsidRPr="006740F1" w:rsidRDefault="008D5AEE"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2D2C507A" w14:textId="77777777" w:rsidR="008D5AEE" w:rsidRDefault="008D5AEE" w:rsidP="00A525EB">
            <w:pPr>
              <w:spacing w:after="0" w:line="360" w:lineRule="auto"/>
              <w:jc w:val="right"/>
              <w:rPr>
                <w:rFonts w:ascii="Arial" w:eastAsia="Times New Roman" w:hAnsi="Arial" w:cs="Arial"/>
                <w:color w:val="000000"/>
                <w:sz w:val="24"/>
                <w:szCs w:val="24"/>
                <w:lang w:val="el-GR"/>
              </w:rPr>
            </w:pPr>
          </w:p>
        </w:tc>
        <w:tc>
          <w:tcPr>
            <w:tcW w:w="6255" w:type="dxa"/>
            <w:gridSpan w:val="2"/>
            <w:shd w:val="clear" w:color="auto" w:fill="auto"/>
          </w:tcPr>
          <w:p w14:paraId="18182F8A" w14:textId="77777777" w:rsidR="008D5AEE" w:rsidRPr="006740F1" w:rsidRDefault="008D5AEE" w:rsidP="006740F1">
            <w:pPr>
              <w:spacing w:after="0" w:line="360" w:lineRule="auto"/>
              <w:jc w:val="both"/>
              <w:rPr>
                <w:rFonts w:ascii="Arial" w:eastAsia="Times New Roman" w:hAnsi="Arial" w:cs="Arial"/>
                <w:color w:val="000000"/>
                <w:sz w:val="24"/>
                <w:szCs w:val="24"/>
                <w:lang w:val="el-GR"/>
              </w:rPr>
            </w:pPr>
          </w:p>
        </w:tc>
      </w:tr>
      <w:tr w:rsidR="008D5AEE" w:rsidRPr="001370B7" w14:paraId="22EF031A" w14:textId="77777777" w:rsidTr="00DD2536">
        <w:trPr>
          <w:trHeight w:val="75"/>
        </w:trPr>
        <w:tc>
          <w:tcPr>
            <w:tcW w:w="2027" w:type="dxa"/>
            <w:shd w:val="clear" w:color="auto" w:fill="auto"/>
          </w:tcPr>
          <w:p w14:paraId="68082F04" w14:textId="77777777" w:rsidR="008D5AEE" w:rsidRPr="006740F1" w:rsidRDefault="008D5AEE"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1D009940" w14:textId="78817BC4" w:rsidR="008D5AEE" w:rsidRDefault="008D5AEE" w:rsidP="00A525EB">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(δ)</w:t>
            </w:r>
          </w:p>
        </w:tc>
        <w:tc>
          <w:tcPr>
            <w:tcW w:w="6255" w:type="dxa"/>
            <w:gridSpan w:val="2"/>
            <w:shd w:val="clear" w:color="auto" w:fill="auto"/>
          </w:tcPr>
          <w:p w14:paraId="3B03FC33" w14:textId="0D6CDF4A" w:rsidR="008D5AEE" w:rsidRPr="006740F1" w:rsidRDefault="008D5AEE" w:rsidP="006740F1">
            <w:pPr>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μόνιμου υπαλλήλου της κρατικής υπηρεσίας ή νομικού προσώπου δημοσίου δικαίου που διορίζεται σε μόνιμη θέση στην Αρχή Ηλεκτρισμού Κύπρου, χωρίς να έχει μεσολαβήσει διακοπή της απασχόλησης, και, είτε είχε διοριστεί πριν την 1</w:t>
            </w:r>
            <w:r>
              <w:rPr>
                <w:rFonts w:ascii="Arial" w:eastAsia="Times New Roman" w:hAnsi="Arial" w:cs="Arial"/>
                <w:color w:val="000000"/>
                <w:sz w:val="24"/>
                <w:szCs w:val="24"/>
                <w:vertAlign w:val="superscript"/>
                <w:lang w:val="el-GR"/>
              </w:rPr>
              <w:t>η</w:t>
            </w:r>
            <w:r>
              <w:rPr>
                <w:rFonts w:ascii="Arial" w:eastAsia="Times New Roman" w:hAnsi="Arial" w:cs="Arial"/>
                <w:color w:val="000000"/>
                <w:sz w:val="24"/>
                <w:szCs w:val="24"/>
                <w:lang w:val="el-GR"/>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στην Αρχή Ηλεκτρισμού Κύπρου:</w:t>
            </w:r>
          </w:p>
        </w:tc>
      </w:tr>
      <w:tr w:rsidR="00AE5003" w:rsidRPr="001370B7" w14:paraId="135FE4A5" w14:textId="77777777" w:rsidTr="00DD2536">
        <w:trPr>
          <w:trHeight w:val="75"/>
        </w:trPr>
        <w:tc>
          <w:tcPr>
            <w:tcW w:w="2027" w:type="dxa"/>
            <w:shd w:val="clear" w:color="auto" w:fill="auto"/>
          </w:tcPr>
          <w:p w14:paraId="43318DEC" w14:textId="77777777" w:rsidR="00AE5003" w:rsidRPr="006740F1" w:rsidRDefault="00AE5003" w:rsidP="006740F1">
            <w:pPr>
              <w:spacing w:after="0" w:line="360" w:lineRule="auto"/>
              <w:jc w:val="both"/>
              <w:rPr>
                <w:rFonts w:ascii="Arial" w:eastAsia="Times New Roman" w:hAnsi="Arial" w:cs="Arial"/>
                <w:color w:val="000000"/>
                <w:sz w:val="24"/>
                <w:szCs w:val="24"/>
                <w:highlight w:val="yellow"/>
                <w:lang w:val="el-GR"/>
              </w:rPr>
            </w:pPr>
          </w:p>
        </w:tc>
        <w:tc>
          <w:tcPr>
            <w:tcW w:w="1107" w:type="dxa"/>
            <w:shd w:val="clear" w:color="auto" w:fill="auto"/>
          </w:tcPr>
          <w:p w14:paraId="5F1E7A9D" w14:textId="77777777" w:rsidR="00AE5003" w:rsidRDefault="00AE5003" w:rsidP="00A525EB">
            <w:pPr>
              <w:spacing w:after="0" w:line="360" w:lineRule="auto"/>
              <w:jc w:val="right"/>
              <w:rPr>
                <w:rFonts w:ascii="Arial" w:eastAsia="Times New Roman" w:hAnsi="Arial" w:cs="Arial"/>
                <w:color w:val="000000"/>
                <w:sz w:val="24"/>
                <w:szCs w:val="24"/>
                <w:lang w:val="el-GR"/>
              </w:rPr>
            </w:pPr>
          </w:p>
        </w:tc>
        <w:tc>
          <w:tcPr>
            <w:tcW w:w="6255" w:type="dxa"/>
            <w:gridSpan w:val="2"/>
            <w:shd w:val="clear" w:color="auto" w:fill="auto"/>
          </w:tcPr>
          <w:p w14:paraId="2F52B7BF" w14:textId="77777777" w:rsidR="00AE5003" w:rsidRPr="006740F1" w:rsidRDefault="00AE5003" w:rsidP="006740F1">
            <w:pPr>
              <w:spacing w:after="0" w:line="360" w:lineRule="auto"/>
              <w:jc w:val="both"/>
              <w:rPr>
                <w:rFonts w:ascii="Arial" w:eastAsia="Times New Roman" w:hAnsi="Arial" w:cs="Arial"/>
                <w:color w:val="000000"/>
                <w:sz w:val="24"/>
                <w:szCs w:val="24"/>
                <w:lang w:val="el-GR"/>
              </w:rPr>
            </w:pPr>
          </w:p>
        </w:tc>
      </w:tr>
      <w:tr w:rsidR="008D5AEE" w:rsidRPr="001370B7" w14:paraId="1C8E920F" w14:textId="77777777" w:rsidTr="00DD2536">
        <w:trPr>
          <w:trHeight w:val="75"/>
        </w:trPr>
        <w:tc>
          <w:tcPr>
            <w:tcW w:w="2027" w:type="dxa"/>
            <w:shd w:val="clear" w:color="auto" w:fill="auto"/>
          </w:tcPr>
          <w:p w14:paraId="5307ACB6" w14:textId="77777777" w:rsidR="008D5AEE" w:rsidRPr="006740F1" w:rsidRDefault="008D5AEE"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1EC23C43" w14:textId="6897C997" w:rsidR="008D5AEE" w:rsidRPr="006740F1" w:rsidRDefault="008D5AEE"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321834">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Νοείται ότι, υπηρεσία σε μειωμένη κλίμακα εισδοχής στην κρατική υπηρεσία ή στο νομικό πρόσωπο δημόσιου δικαίου συμψηφίζεται με υπηρεσία σε μειωμένη κλίμακα εισδοχής στον Οργανισμό για σκοπούς συμπλήρωσης των είκοσι τεσσάρων (24) μηνών.</w:t>
            </w:r>
          </w:p>
        </w:tc>
      </w:tr>
      <w:tr w:rsidR="00B4695C" w:rsidRPr="001370B7" w14:paraId="3E0A01E3" w14:textId="77777777" w:rsidTr="00DD2536">
        <w:trPr>
          <w:trHeight w:val="75"/>
        </w:trPr>
        <w:tc>
          <w:tcPr>
            <w:tcW w:w="2027" w:type="dxa"/>
            <w:shd w:val="clear" w:color="auto" w:fill="auto"/>
          </w:tcPr>
          <w:p w14:paraId="7EFEB1B6" w14:textId="77777777" w:rsidR="00B4695C" w:rsidRPr="006740F1" w:rsidRDefault="00B4695C"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0BF4811E" w14:textId="77777777" w:rsidR="00B4695C" w:rsidRDefault="00B4695C" w:rsidP="008D5AEE">
            <w:pPr>
              <w:tabs>
                <w:tab w:val="left" w:pos="284"/>
                <w:tab w:val="left" w:pos="397"/>
              </w:tabs>
              <w:spacing w:after="0" w:line="360" w:lineRule="auto"/>
              <w:jc w:val="both"/>
              <w:rPr>
                <w:rFonts w:ascii="Arial" w:eastAsia="Times New Roman" w:hAnsi="Arial" w:cs="Arial"/>
                <w:color w:val="000000"/>
                <w:sz w:val="24"/>
                <w:szCs w:val="24"/>
                <w:lang w:val="el-GR"/>
              </w:rPr>
            </w:pPr>
          </w:p>
        </w:tc>
      </w:tr>
      <w:tr w:rsidR="00B4695C" w:rsidRPr="001370B7" w14:paraId="1B4FA5B9" w14:textId="77777777" w:rsidTr="00DD2536">
        <w:trPr>
          <w:trHeight w:val="75"/>
        </w:trPr>
        <w:tc>
          <w:tcPr>
            <w:tcW w:w="2027" w:type="dxa"/>
            <w:shd w:val="clear" w:color="auto" w:fill="auto"/>
          </w:tcPr>
          <w:p w14:paraId="42DA23FA" w14:textId="77777777" w:rsidR="00B4695C" w:rsidRPr="006740F1" w:rsidRDefault="00B4695C"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45A30DA7" w14:textId="576189BF" w:rsidR="00B4695C" w:rsidRDefault="00607678"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(3)</w:t>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B4695C" w:rsidRPr="001370B7" w14:paraId="0C41241C" w14:textId="77777777" w:rsidTr="00DD2536">
        <w:trPr>
          <w:trHeight w:val="75"/>
        </w:trPr>
        <w:tc>
          <w:tcPr>
            <w:tcW w:w="2027" w:type="dxa"/>
            <w:shd w:val="clear" w:color="auto" w:fill="auto"/>
          </w:tcPr>
          <w:p w14:paraId="4665DC31" w14:textId="77777777" w:rsidR="00B4695C" w:rsidRPr="006740F1" w:rsidRDefault="00B4695C"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4CBD10FA" w14:textId="77777777" w:rsidR="00B4695C" w:rsidRDefault="00B4695C" w:rsidP="008D5AEE">
            <w:pPr>
              <w:tabs>
                <w:tab w:val="left" w:pos="284"/>
                <w:tab w:val="left" w:pos="397"/>
              </w:tabs>
              <w:spacing w:after="0" w:line="360" w:lineRule="auto"/>
              <w:jc w:val="both"/>
              <w:rPr>
                <w:rFonts w:ascii="Arial" w:eastAsia="Times New Roman" w:hAnsi="Arial" w:cs="Arial"/>
                <w:color w:val="000000"/>
                <w:sz w:val="24"/>
                <w:szCs w:val="24"/>
                <w:lang w:val="el-GR"/>
              </w:rPr>
            </w:pPr>
          </w:p>
        </w:tc>
      </w:tr>
      <w:tr w:rsidR="00B4695C" w:rsidRPr="001370B7" w14:paraId="27E15329" w14:textId="77777777" w:rsidTr="00DD2536">
        <w:trPr>
          <w:trHeight w:val="75"/>
        </w:trPr>
        <w:tc>
          <w:tcPr>
            <w:tcW w:w="2027" w:type="dxa"/>
            <w:shd w:val="clear" w:color="auto" w:fill="auto"/>
          </w:tcPr>
          <w:p w14:paraId="63F8503A" w14:textId="77777777" w:rsidR="00B4695C" w:rsidRPr="006740F1" w:rsidRDefault="00B4695C"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482AAAA5" w14:textId="4114C6AC" w:rsidR="00B4695C" w:rsidRDefault="00607678"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607678" w:rsidRPr="001370B7" w14:paraId="2AA32D4C" w14:textId="77777777" w:rsidTr="00DD2536">
        <w:trPr>
          <w:trHeight w:val="75"/>
        </w:trPr>
        <w:tc>
          <w:tcPr>
            <w:tcW w:w="2027" w:type="dxa"/>
            <w:shd w:val="clear" w:color="auto" w:fill="auto"/>
          </w:tcPr>
          <w:p w14:paraId="1F3E7807" w14:textId="77777777" w:rsidR="00607678" w:rsidRPr="006740F1" w:rsidRDefault="00607678"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3A8F685B" w14:textId="77777777" w:rsidR="00607678" w:rsidRDefault="00607678"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p>
        </w:tc>
      </w:tr>
      <w:tr w:rsidR="00607678" w:rsidRPr="001370B7" w14:paraId="619B5267" w14:textId="77777777" w:rsidTr="00DD2536">
        <w:trPr>
          <w:trHeight w:val="75"/>
        </w:trPr>
        <w:tc>
          <w:tcPr>
            <w:tcW w:w="2027" w:type="dxa"/>
            <w:shd w:val="clear" w:color="auto" w:fill="auto"/>
          </w:tcPr>
          <w:p w14:paraId="3BDC9439" w14:textId="77777777" w:rsidR="00607678" w:rsidRPr="006740F1" w:rsidRDefault="00607678"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182F173E" w14:textId="66003FB8" w:rsidR="00607678" w:rsidRDefault="00607678"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(4)</w:t>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 xml:space="preserve">Ο όρος </w:t>
            </w:r>
            <w:r w:rsidR="00AB3A62">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θέσεις</w:t>
            </w:r>
            <w:r w:rsidR="00AB3A62">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περιλαμβάνει μόνιμες θέσεις στην Αρχή Ηλεκτρισμού Κύπρου, με τις υπό αναφορά κλίμακες εισδοχής </w:t>
            </w:r>
            <w:r w:rsidR="00394C93">
              <w:rPr>
                <w:rFonts w:ascii="Arial" w:eastAsia="Times New Roman" w:hAnsi="Arial" w:cs="Arial"/>
                <w:color w:val="000000"/>
                <w:sz w:val="24"/>
                <w:szCs w:val="24"/>
                <w:lang w:val="el-GR"/>
              </w:rPr>
              <w:t>και ο</w:t>
            </w:r>
            <w:r w:rsidRPr="006740F1">
              <w:rPr>
                <w:rFonts w:ascii="Arial" w:eastAsia="Times New Roman" w:hAnsi="Arial" w:cs="Arial"/>
                <w:color w:val="000000"/>
                <w:sz w:val="24"/>
                <w:szCs w:val="24"/>
                <w:lang w:val="el-GR"/>
              </w:rPr>
              <w:t xml:space="preserve"> όρος </w:t>
            </w:r>
            <w:r w:rsidR="00AB3A62">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πρόσωπα που προσλαμβάνονται πάνω σε έκτακτη βάση ή με σύμβαση</w:t>
            </w:r>
            <w:r w:rsidR="00AB3A62">
              <w:rPr>
                <w:rFonts w:ascii="Arial" w:eastAsia="Times New Roman" w:hAnsi="Arial" w:cs="Arial"/>
                <w:color w:val="000000"/>
                <w:sz w:val="24"/>
                <w:szCs w:val="24"/>
                <w:lang w:val="el-GR"/>
              </w:rPr>
              <w:t>»</w:t>
            </w:r>
            <w:r w:rsidRPr="006740F1">
              <w:rPr>
                <w:rFonts w:ascii="Arial" w:eastAsia="Times New Roman" w:hAnsi="Arial" w:cs="Arial"/>
                <w:color w:val="000000"/>
                <w:sz w:val="24"/>
                <w:szCs w:val="24"/>
                <w:lang w:val="el-GR"/>
              </w:rPr>
              <w:t xml:space="preserve"> περιλαμβάνει </w:t>
            </w:r>
            <w:proofErr w:type="spellStart"/>
            <w:r w:rsidRPr="006740F1">
              <w:rPr>
                <w:rFonts w:ascii="Arial" w:eastAsia="Times New Roman" w:hAnsi="Arial" w:cs="Arial"/>
                <w:color w:val="000000"/>
                <w:sz w:val="24"/>
                <w:szCs w:val="24"/>
                <w:lang w:val="el-GR"/>
              </w:rPr>
              <w:t>εργοδοτούμενους</w:t>
            </w:r>
            <w:proofErr w:type="spellEnd"/>
            <w:r w:rsidRPr="006740F1">
              <w:rPr>
                <w:rFonts w:ascii="Arial" w:eastAsia="Times New Roman" w:hAnsi="Arial" w:cs="Arial"/>
                <w:color w:val="000000"/>
                <w:sz w:val="24"/>
                <w:szCs w:val="24"/>
                <w:lang w:val="el-GR"/>
              </w:rPr>
              <w:t xml:space="preserve"> σε έκτακτη βάση ή </w:t>
            </w:r>
            <w:proofErr w:type="spellStart"/>
            <w:r w:rsidRPr="006740F1">
              <w:rPr>
                <w:rFonts w:ascii="Arial" w:eastAsia="Times New Roman" w:hAnsi="Arial" w:cs="Arial"/>
                <w:color w:val="000000"/>
                <w:sz w:val="24"/>
                <w:szCs w:val="24"/>
                <w:lang w:val="el-GR"/>
              </w:rPr>
              <w:t>εργοδοτούμενους</w:t>
            </w:r>
            <w:proofErr w:type="spellEnd"/>
            <w:r w:rsidRPr="006740F1">
              <w:rPr>
                <w:rFonts w:ascii="Arial" w:eastAsia="Times New Roman" w:hAnsi="Arial" w:cs="Arial"/>
                <w:color w:val="000000"/>
                <w:sz w:val="24"/>
                <w:szCs w:val="24"/>
                <w:lang w:val="el-GR"/>
              </w:rPr>
              <w:t xml:space="preserve"> καθορισμένης διάρκειας ή </w:t>
            </w:r>
            <w:proofErr w:type="spellStart"/>
            <w:r w:rsidRPr="006740F1">
              <w:rPr>
                <w:rFonts w:ascii="Arial" w:eastAsia="Times New Roman" w:hAnsi="Arial" w:cs="Arial"/>
                <w:color w:val="000000"/>
                <w:sz w:val="24"/>
                <w:szCs w:val="24"/>
                <w:lang w:val="el-GR"/>
              </w:rPr>
              <w:t>εργοδοτούμενους</w:t>
            </w:r>
            <w:proofErr w:type="spellEnd"/>
            <w:r w:rsidRPr="006740F1">
              <w:rPr>
                <w:rFonts w:ascii="Arial" w:eastAsia="Times New Roman" w:hAnsi="Arial" w:cs="Arial"/>
                <w:color w:val="000000"/>
                <w:sz w:val="24"/>
                <w:szCs w:val="24"/>
                <w:lang w:val="el-GR"/>
              </w:rPr>
              <w:t xml:space="preserve"> αορίστου χρόνου και άλλους με παρόμοιο καθεστώς απασχόλησης που προσλαμβάνονται σύμφωνα με τον κατά περίπτωση Νόμο.</w:t>
            </w:r>
          </w:p>
        </w:tc>
      </w:tr>
      <w:tr w:rsidR="00607678" w:rsidRPr="001370B7" w14:paraId="6A625A3C" w14:textId="77777777" w:rsidTr="00DD2536">
        <w:trPr>
          <w:trHeight w:val="75"/>
        </w:trPr>
        <w:tc>
          <w:tcPr>
            <w:tcW w:w="2027" w:type="dxa"/>
            <w:shd w:val="clear" w:color="auto" w:fill="auto"/>
          </w:tcPr>
          <w:p w14:paraId="548266C1" w14:textId="77777777" w:rsidR="00607678" w:rsidRPr="006740F1" w:rsidRDefault="00607678"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29ACEF3A" w14:textId="77777777" w:rsidR="00607678" w:rsidRDefault="00607678"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p>
        </w:tc>
      </w:tr>
      <w:tr w:rsidR="00607678" w:rsidRPr="001370B7" w14:paraId="3932133E" w14:textId="77777777" w:rsidTr="00DD2536">
        <w:trPr>
          <w:trHeight w:val="75"/>
        </w:trPr>
        <w:tc>
          <w:tcPr>
            <w:tcW w:w="2027" w:type="dxa"/>
            <w:shd w:val="clear" w:color="auto" w:fill="auto"/>
          </w:tcPr>
          <w:p w14:paraId="74E6BF36" w14:textId="77777777" w:rsidR="00607678" w:rsidRPr="006740F1" w:rsidRDefault="00607678"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tcPr>
          <w:p w14:paraId="53427FEA" w14:textId="36FF0A6B" w:rsidR="00607678" w:rsidRDefault="00AB3A62" w:rsidP="00607678">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t>(5)</w:t>
            </w:r>
            <w:r>
              <w:rPr>
                <w:rFonts w:ascii="Arial" w:eastAsia="Times New Roman" w:hAnsi="Arial" w:cs="Arial"/>
                <w:color w:val="000000"/>
                <w:sz w:val="24"/>
                <w:szCs w:val="24"/>
                <w:lang w:val="el-GR"/>
              </w:rPr>
              <w:tab/>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15443A" w:rsidRPr="001370B7" w14:paraId="1036848F" w14:textId="77777777" w:rsidTr="00DD2536">
        <w:trPr>
          <w:trHeight w:val="480"/>
        </w:trPr>
        <w:tc>
          <w:tcPr>
            <w:tcW w:w="2027" w:type="dxa"/>
            <w:shd w:val="clear" w:color="auto" w:fill="auto"/>
            <w:hideMark/>
          </w:tcPr>
          <w:p w14:paraId="215F39D5" w14:textId="77777777" w:rsidR="0015443A" w:rsidRPr="006740F1" w:rsidRDefault="0015443A"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hideMark/>
          </w:tcPr>
          <w:p w14:paraId="23084B1E" w14:textId="77777777" w:rsidR="0015443A" w:rsidRPr="006740F1" w:rsidRDefault="0015443A" w:rsidP="00AB3A62">
            <w:pPr>
              <w:spacing w:after="0" w:line="360" w:lineRule="auto"/>
              <w:ind w:firstLine="318"/>
              <w:jc w:val="both"/>
              <w:rPr>
                <w:rFonts w:ascii="Arial" w:eastAsia="Times New Roman" w:hAnsi="Arial" w:cs="Arial"/>
                <w:color w:val="000000"/>
                <w:sz w:val="24"/>
                <w:szCs w:val="24"/>
                <w:lang w:val="el-GR"/>
              </w:rPr>
            </w:pPr>
          </w:p>
        </w:tc>
      </w:tr>
      <w:tr w:rsidR="0015443A" w:rsidRPr="001370B7" w14:paraId="265DFC1B" w14:textId="77777777" w:rsidTr="00DD2536">
        <w:trPr>
          <w:trHeight w:val="709"/>
        </w:trPr>
        <w:tc>
          <w:tcPr>
            <w:tcW w:w="2027" w:type="dxa"/>
            <w:shd w:val="clear" w:color="auto" w:fill="auto"/>
            <w:hideMark/>
          </w:tcPr>
          <w:p w14:paraId="16882071" w14:textId="5AF54191" w:rsidR="0015443A" w:rsidRPr="006740F1" w:rsidRDefault="0015443A" w:rsidP="006740F1">
            <w:pPr>
              <w:pStyle w:val="Style7"/>
              <w:widowControl/>
              <w:spacing w:line="360" w:lineRule="auto"/>
              <w:rPr>
                <w:color w:val="000000"/>
                <w:lang w:val="el-GR"/>
              </w:rPr>
            </w:pPr>
            <w:r w:rsidRPr="006740F1">
              <w:rPr>
                <w:color w:val="000000"/>
                <w:lang w:val="el-GR"/>
              </w:rPr>
              <w:t>Απαγόρευση</w:t>
            </w:r>
            <w:r w:rsidR="00B07579">
              <w:rPr>
                <w:color w:val="000000"/>
                <w:lang w:val="el-GR"/>
              </w:rPr>
              <w:t xml:space="preserve"> </w:t>
            </w:r>
            <w:r w:rsidRPr="006740F1">
              <w:rPr>
                <w:color w:val="000000"/>
                <w:lang w:val="el-GR"/>
              </w:rPr>
              <w:t>πλήρωσης κενών θέσεων.</w:t>
            </w:r>
          </w:p>
          <w:p w14:paraId="2640DDF0" w14:textId="77777777" w:rsidR="00AB3A62" w:rsidRDefault="00AB3A62" w:rsidP="00AB3A62">
            <w:pPr>
              <w:pStyle w:val="Style7"/>
              <w:widowControl/>
              <w:spacing w:line="360" w:lineRule="auto"/>
              <w:ind w:right="113"/>
              <w:jc w:val="right"/>
              <w:rPr>
                <w:color w:val="000000"/>
                <w:lang w:val="el-GR"/>
              </w:rPr>
            </w:pPr>
          </w:p>
          <w:p w14:paraId="0648B9DD" w14:textId="77777777" w:rsidR="00AB3A62" w:rsidRDefault="00AB3A62" w:rsidP="00AB3A62">
            <w:pPr>
              <w:pStyle w:val="Style7"/>
              <w:widowControl/>
              <w:spacing w:line="360" w:lineRule="auto"/>
              <w:ind w:right="113"/>
              <w:jc w:val="right"/>
              <w:rPr>
                <w:color w:val="000000"/>
                <w:lang w:val="el-GR"/>
              </w:rPr>
            </w:pPr>
          </w:p>
          <w:p w14:paraId="6C165472" w14:textId="77777777" w:rsidR="00AB3A62" w:rsidRDefault="00AB3A62" w:rsidP="00AB3A62">
            <w:pPr>
              <w:pStyle w:val="Style7"/>
              <w:widowControl/>
              <w:spacing w:line="360" w:lineRule="auto"/>
              <w:ind w:right="113"/>
              <w:jc w:val="right"/>
              <w:rPr>
                <w:color w:val="000000"/>
                <w:lang w:val="el-GR"/>
              </w:rPr>
            </w:pPr>
          </w:p>
          <w:p w14:paraId="6D1609AF" w14:textId="77777777" w:rsidR="00AB3A62" w:rsidRDefault="00AB3A62" w:rsidP="00AB3A62">
            <w:pPr>
              <w:pStyle w:val="Style7"/>
              <w:widowControl/>
              <w:spacing w:line="360" w:lineRule="auto"/>
              <w:ind w:right="113"/>
              <w:jc w:val="right"/>
              <w:rPr>
                <w:color w:val="000000"/>
                <w:lang w:val="el-GR"/>
              </w:rPr>
            </w:pPr>
          </w:p>
          <w:p w14:paraId="6AC461A1" w14:textId="77777777" w:rsidR="00AB3A62" w:rsidRDefault="00AB3A62" w:rsidP="00AB3A62">
            <w:pPr>
              <w:pStyle w:val="Style7"/>
              <w:widowControl/>
              <w:spacing w:line="360" w:lineRule="auto"/>
              <w:ind w:right="113"/>
              <w:jc w:val="right"/>
              <w:rPr>
                <w:color w:val="000000"/>
                <w:lang w:val="el-GR"/>
              </w:rPr>
            </w:pPr>
          </w:p>
          <w:p w14:paraId="7F515541" w14:textId="017E7112" w:rsidR="0015443A" w:rsidRPr="006740F1" w:rsidRDefault="0015443A" w:rsidP="00AB3A62">
            <w:pPr>
              <w:pStyle w:val="Style7"/>
              <w:widowControl/>
              <w:spacing w:line="360" w:lineRule="auto"/>
              <w:ind w:right="113"/>
              <w:jc w:val="right"/>
              <w:rPr>
                <w:color w:val="000000"/>
                <w:lang w:val="el-GR"/>
              </w:rPr>
            </w:pPr>
            <w:r w:rsidRPr="006740F1">
              <w:rPr>
                <w:color w:val="000000"/>
                <w:lang w:val="el-GR"/>
              </w:rPr>
              <w:t>21(Ι) του 2013</w:t>
            </w:r>
          </w:p>
          <w:p w14:paraId="6E40A661" w14:textId="77777777" w:rsidR="0015443A" w:rsidRPr="006740F1" w:rsidRDefault="0015443A" w:rsidP="00AB3A62">
            <w:pPr>
              <w:pStyle w:val="Style7"/>
              <w:widowControl/>
              <w:spacing w:line="360" w:lineRule="auto"/>
              <w:ind w:right="113"/>
              <w:jc w:val="right"/>
              <w:rPr>
                <w:color w:val="000000"/>
                <w:lang w:val="el-GR"/>
              </w:rPr>
            </w:pPr>
            <w:r w:rsidRPr="006740F1">
              <w:rPr>
                <w:color w:val="000000"/>
                <w:lang w:val="el-GR"/>
              </w:rPr>
              <w:t>153(Ι) του 2013</w:t>
            </w:r>
          </w:p>
          <w:p w14:paraId="413BDC89" w14:textId="77777777" w:rsidR="0015443A" w:rsidRPr="006740F1" w:rsidRDefault="0015443A" w:rsidP="00AB3A62">
            <w:pPr>
              <w:pStyle w:val="Style7"/>
              <w:widowControl/>
              <w:spacing w:line="360" w:lineRule="auto"/>
              <w:ind w:right="113"/>
              <w:jc w:val="right"/>
              <w:rPr>
                <w:color w:val="000000"/>
                <w:lang w:val="el-GR"/>
              </w:rPr>
            </w:pPr>
            <w:r w:rsidRPr="006740F1">
              <w:rPr>
                <w:color w:val="000000"/>
                <w:lang w:val="el-GR"/>
              </w:rPr>
              <w:t xml:space="preserve">169(Ι) του 2013 </w:t>
            </w:r>
          </w:p>
          <w:p w14:paraId="30885301" w14:textId="77777777" w:rsidR="0015443A" w:rsidRPr="006740F1" w:rsidRDefault="0015443A" w:rsidP="00AB3A62">
            <w:pPr>
              <w:pStyle w:val="Style7"/>
              <w:widowControl/>
              <w:spacing w:line="360" w:lineRule="auto"/>
              <w:ind w:right="113"/>
              <w:jc w:val="right"/>
              <w:rPr>
                <w:color w:val="000000"/>
                <w:lang w:val="el-GR"/>
              </w:rPr>
            </w:pPr>
            <w:r w:rsidRPr="006740F1">
              <w:rPr>
                <w:color w:val="000000"/>
                <w:lang w:val="el-GR"/>
              </w:rPr>
              <w:t xml:space="preserve">157(Ι) του 2014 </w:t>
            </w:r>
          </w:p>
          <w:p w14:paraId="78E52207" w14:textId="77777777" w:rsidR="0015443A" w:rsidRPr="006740F1" w:rsidRDefault="0015443A" w:rsidP="00AB3A62">
            <w:pPr>
              <w:pStyle w:val="Style7"/>
              <w:widowControl/>
              <w:spacing w:line="360" w:lineRule="auto"/>
              <w:ind w:right="113"/>
              <w:jc w:val="right"/>
              <w:rPr>
                <w:color w:val="000000"/>
                <w:lang w:val="el-GR"/>
              </w:rPr>
            </w:pPr>
            <w:r w:rsidRPr="006740F1">
              <w:rPr>
                <w:color w:val="000000"/>
                <w:lang w:val="el-GR"/>
              </w:rPr>
              <w:t xml:space="preserve">202(Ι) του 2014 </w:t>
            </w:r>
          </w:p>
          <w:p w14:paraId="0957707D" w14:textId="77777777" w:rsidR="0015443A" w:rsidRPr="006740F1" w:rsidRDefault="0015443A" w:rsidP="00AB3A62">
            <w:pPr>
              <w:pStyle w:val="Style7"/>
              <w:widowControl/>
              <w:spacing w:line="360" w:lineRule="auto"/>
              <w:ind w:right="113"/>
              <w:jc w:val="right"/>
              <w:rPr>
                <w:color w:val="000000"/>
                <w:lang w:val="el-GR"/>
              </w:rPr>
            </w:pPr>
            <w:r w:rsidRPr="006740F1">
              <w:rPr>
                <w:color w:val="000000"/>
                <w:lang w:val="el-GR"/>
              </w:rPr>
              <w:t>195(Ι) του 2015</w:t>
            </w:r>
          </w:p>
          <w:p w14:paraId="1594E180" w14:textId="0DE12D9F" w:rsidR="0015443A" w:rsidRPr="006740F1" w:rsidRDefault="0015443A" w:rsidP="00B07579">
            <w:pPr>
              <w:pStyle w:val="Style7"/>
              <w:widowControl/>
              <w:spacing w:line="360" w:lineRule="auto"/>
              <w:ind w:right="57"/>
              <w:jc w:val="right"/>
              <w:rPr>
                <w:color w:val="000000"/>
                <w:lang w:val="el-GR"/>
              </w:rPr>
            </w:pPr>
            <w:r w:rsidRPr="006740F1">
              <w:rPr>
                <w:color w:val="000000"/>
                <w:lang w:val="el-GR"/>
              </w:rPr>
              <w:t xml:space="preserve"> 60(Ι) του 2017.</w:t>
            </w:r>
          </w:p>
        </w:tc>
        <w:tc>
          <w:tcPr>
            <w:tcW w:w="7362" w:type="dxa"/>
            <w:gridSpan w:val="3"/>
            <w:shd w:val="clear" w:color="auto" w:fill="auto"/>
            <w:hideMark/>
          </w:tcPr>
          <w:p w14:paraId="6B5FB7CD" w14:textId="329973A6" w:rsidR="0015443A" w:rsidRPr="00AB3A62" w:rsidRDefault="0015443A" w:rsidP="00AB3A62">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sidRPr="00AB3A62">
              <w:rPr>
                <w:rFonts w:ascii="Arial" w:eastAsia="Times New Roman" w:hAnsi="Arial" w:cs="Arial"/>
                <w:color w:val="000000"/>
                <w:sz w:val="24"/>
                <w:szCs w:val="24"/>
                <w:lang w:val="el-GR"/>
              </w:rPr>
              <w:t>8.</w:t>
            </w:r>
            <w:r w:rsidRPr="006740F1">
              <w:rPr>
                <w:rFonts w:ascii="Arial" w:eastAsia="Times New Roman" w:hAnsi="Arial" w:cs="Arial"/>
                <w:color w:val="000000"/>
                <w:sz w:val="24"/>
                <w:szCs w:val="24"/>
                <w:lang w:val="el-GR"/>
              </w:rPr>
              <w:t>-(1)</w:t>
            </w:r>
            <w:r w:rsidR="00AB3A62">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Ανεξαρτήτως</w:t>
            </w:r>
            <w:r w:rsidRPr="00AB3A62">
              <w:rPr>
                <w:rFonts w:ascii="Arial" w:eastAsia="Times New Roman" w:hAnsi="Arial" w:cs="Arial"/>
                <w:color w:val="000000"/>
                <w:sz w:val="24"/>
                <w:szCs w:val="24"/>
                <w:lang w:val="el-GR"/>
              </w:rPr>
              <w:t xml:space="preserve"> των διατάξεων οποιουδήποτε σε ισχύ Νόμου ή Κανονισμών που εκδίδονται δυνάμει αυτού, κατά την περίοδο που λήγει την 31</w:t>
            </w:r>
            <w:r w:rsidRPr="00394C93">
              <w:rPr>
                <w:rFonts w:ascii="Arial" w:eastAsia="Times New Roman" w:hAnsi="Arial" w:cs="Arial"/>
                <w:color w:val="000000"/>
                <w:sz w:val="24"/>
                <w:szCs w:val="24"/>
                <w:vertAlign w:val="superscript"/>
                <w:lang w:val="el-GR"/>
              </w:rPr>
              <w:t>η</w:t>
            </w:r>
            <w:r w:rsidRPr="00AB3A62">
              <w:rPr>
                <w:rFonts w:ascii="Arial" w:eastAsia="Times New Roman" w:hAnsi="Arial" w:cs="Arial"/>
                <w:color w:val="000000"/>
                <w:sz w:val="24"/>
                <w:szCs w:val="24"/>
                <w:lang w:val="el-GR"/>
              </w:rPr>
              <w:t xml:space="preserve"> Δεκεμβρίου 2022, απαγορεύεται η πλήρωση θέσεων Πρώτου Διορισμού, θέσεων Πρώτου Διορισμού και Προαγωγής και θέσεων Προαγωγής που περιλαμβάνονται στον παρόντα Νόμο, οι οποίες είναι κενές κατά την ημερομηνία έναρξης της ισχύος του παρόντος Νόμου ή οι οποίες θα κενωθούν κατά τη διάρκεια του οικονομικού έτους, εκτός εάν έχει αρχίσει η διαδικασία πλήρωσής τους κατόπιν έγκρισης σύμφωνα με τις διατάξεις του περί της Απαγόρευσης Πλήρωσης Κενών Θέσεων στο Δημόσιο και στον Ευρύτερο Δημόσιο Τομέα (Ειδικές Διατάξεις) Νόμου. </w:t>
            </w:r>
          </w:p>
          <w:p w14:paraId="521B2909" w14:textId="77777777" w:rsidR="0015443A" w:rsidRPr="00AB3A62" w:rsidRDefault="0015443A" w:rsidP="00AB3A62">
            <w:pPr>
              <w:tabs>
                <w:tab w:val="left" w:pos="284"/>
                <w:tab w:val="left" w:pos="397"/>
                <w:tab w:val="left" w:pos="680"/>
              </w:tabs>
              <w:spacing w:after="0" w:line="360" w:lineRule="auto"/>
              <w:jc w:val="both"/>
              <w:rPr>
                <w:rFonts w:ascii="Arial" w:eastAsia="Times New Roman" w:hAnsi="Arial" w:cs="Arial"/>
                <w:color w:val="000000"/>
                <w:sz w:val="24"/>
                <w:szCs w:val="24"/>
                <w:lang w:val="el-GR"/>
              </w:rPr>
            </w:pPr>
          </w:p>
          <w:p w14:paraId="770217F5" w14:textId="48674A2B" w:rsidR="0015443A" w:rsidRPr="006740F1" w:rsidRDefault="0015443A" w:rsidP="00AB3A62">
            <w:pPr>
              <w:tabs>
                <w:tab w:val="left" w:pos="284"/>
                <w:tab w:val="left" w:pos="397"/>
                <w:tab w:val="left" w:pos="680"/>
              </w:tabs>
              <w:spacing w:after="0" w:line="360" w:lineRule="auto"/>
              <w:jc w:val="both"/>
              <w:rPr>
                <w:rFonts w:ascii="Arial" w:eastAsia="Times New Roman" w:hAnsi="Arial" w:cs="Arial"/>
                <w:color w:val="000000"/>
                <w:sz w:val="24"/>
                <w:szCs w:val="24"/>
                <w:lang w:val="el-GR"/>
              </w:rPr>
            </w:pPr>
          </w:p>
        </w:tc>
      </w:tr>
      <w:tr w:rsidR="00AB3A62" w:rsidRPr="001370B7" w14:paraId="67719147" w14:textId="77777777" w:rsidTr="00DD2536">
        <w:trPr>
          <w:trHeight w:val="157"/>
        </w:trPr>
        <w:tc>
          <w:tcPr>
            <w:tcW w:w="2027" w:type="dxa"/>
            <w:shd w:val="clear" w:color="auto" w:fill="auto"/>
            <w:noWrap/>
            <w:vAlign w:val="bottom"/>
          </w:tcPr>
          <w:p w14:paraId="773B6320" w14:textId="77777777" w:rsidR="00AB3A62" w:rsidRPr="006740F1" w:rsidRDefault="00AB3A62"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noWrap/>
            <w:vAlign w:val="bottom"/>
          </w:tcPr>
          <w:p w14:paraId="3C56C287" w14:textId="77777777" w:rsidR="00AB3A62" w:rsidRPr="006740F1" w:rsidRDefault="00AB3A62" w:rsidP="006740F1">
            <w:pPr>
              <w:spacing w:after="0" w:line="360" w:lineRule="auto"/>
              <w:rPr>
                <w:rFonts w:ascii="Arial" w:eastAsia="Times New Roman" w:hAnsi="Arial" w:cs="Arial"/>
                <w:color w:val="000000"/>
                <w:sz w:val="24"/>
                <w:szCs w:val="24"/>
                <w:highlight w:val="yellow"/>
                <w:lang w:val="el-GR"/>
              </w:rPr>
            </w:pPr>
          </w:p>
        </w:tc>
      </w:tr>
      <w:tr w:rsidR="00AB3A62" w:rsidRPr="001370B7" w14:paraId="5F07A5D4" w14:textId="77777777" w:rsidTr="00DD2536">
        <w:trPr>
          <w:trHeight w:val="157"/>
        </w:trPr>
        <w:tc>
          <w:tcPr>
            <w:tcW w:w="2027" w:type="dxa"/>
            <w:shd w:val="clear" w:color="auto" w:fill="auto"/>
            <w:noWrap/>
            <w:vAlign w:val="bottom"/>
          </w:tcPr>
          <w:p w14:paraId="50993D74" w14:textId="77777777" w:rsidR="00AB3A62" w:rsidRPr="006740F1" w:rsidRDefault="00AB3A62"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noWrap/>
            <w:vAlign w:val="bottom"/>
          </w:tcPr>
          <w:p w14:paraId="21D76342" w14:textId="5E8E08A2" w:rsidR="00AB3A62" w:rsidRPr="006740F1" w:rsidRDefault="00B07579" w:rsidP="00B07579">
            <w:pPr>
              <w:tabs>
                <w:tab w:val="left" w:pos="284"/>
                <w:tab w:val="left" w:pos="397"/>
                <w:tab w:val="left" w:pos="680"/>
              </w:tabs>
              <w:spacing w:after="0" w:line="360" w:lineRule="auto"/>
              <w:jc w:val="both"/>
              <w:rPr>
                <w:rFonts w:ascii="Arial" w:eastAsia="Times New Roman" w:hAnsi="Arial" w:cs="Arial"/>
                <w:color w:val="000000"/>
                <w:sz w:val="24"/>
                <w:szCs w:val="24"/>
                <w:highlight w:val="yellow"/>
                <w:lang w:val="el-GR"/>
              </w:rPr>
            </w:pPr>
            <w:r>
              <w:rPr>
                <w:rFonts w:ascii="Arial" w:eastAsia="Times New Roman" w:hAnsi="Arial" w:cs="Arial"/>
                <w:color w:val="000000"/>
                <w:sz w:val="24"/>
                <w:szCs w:val="24"/>
                <w:lang w:val="el-GR"/>
              </w:rPr>
              <w:tab/>
            </w:r>
            <w:r w:rsidR="00AB3A62" w:rsidRPr="00AB3A62">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00AB3A62" w:rsidRPr="00AB3A62">
              <w:rPr>
                <w:rFonts w:ascii="Arial" w:eastAsia="Times New Roman" w:hAnsi="Arial" w:cs="Arial"/>
                <w:color w:val="000000"/>
                <w:sz w:val="24"/>
                <w:szCs w:val="24"/>
                <w:lang w:val="el-GR"/>
              </w:rPr>
              <w:t xml:space="preserve">Παρά τις διατάξεις του εδαφίου (1), είναι δυνατή η έναρξη διαδικασίας πλήρωσης κενής ή </w:t>
            </w:r>
            <w:proofErr w:type="spellStart"/>
            <w:r w:rsidR="00AB3A62" w:rsidRPr="00AB3A62">
              <w:rPr>
                <w:rFonts w:ascii="Arial" w:eastAsia="Times New Roman" w:hAnsi="Arial" w:cs="Arial"/>
                <w:color w:val="000000"/>
                <w:sz w:val="24"/>
                <w:szCs w:val="24"/>
                <w:lang w:val="el-GR"/>
              </w:rPr>
              <w:t>κενούμενης</w:t>
            </w:r>
            <w:proofErr w:type="spellEnd"/>
            <w:r w:rsidR="00AB3A62" w:rsidRPr="00AB3A62">
              <w:rPr>
                <w:rFonts w:ascii="Arial" w:eastAsia="Times New Roman" w:hAnsi="Arial" w:cs="Arial"/>
                <w:color w:val="000000"/>
                <w:sz w:val="24"/>
                <w:szCs w:val="24"/>
                <w:lang w:val="el-GR"/>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και της επιτραπεί η έναρξη διαδικασίας πλήρωσης κενής ή κενωθείσας </w:t>
            </w:r>
            <w:r w:rsidR="00AB3A62" w:rsidRPr="00AB3A62">
              <w:rPr>
                <w:rFonts w:ascii="Arial" w:eastAsia="Times New Roman" w:hAnsi="Arial" w:cs="Arial"/>
                <w:color w:val="000000"/>
                <w:sz w:val="24"/>
                <w:szCs w:val="24"/>
                <w:lang w:val="el-GR"/>
              </w:rPr>
              <w:lastRenderedPageBreak/>
              <w:t>θέσης, σύμφωνα με την προβλεπόμενη διαδικασία στον περί της Απαγόρευσης Πλήρωσης Κενών Θέσεων στο Δημόσιο και στον Ευρύτερο Δημόσιο Τομέα (Ειδικές Διατάξεις) Νόμο.</w:t>
            </w:r>
          </w:p>
        </w:tc>
      </w:tr>
      <w:tr w:rsidR="00AB3A62" w:rsidRPr="001370B7" w14:paraId="34BD957E" w14:textId="77777777" w:rsidTr="00DD2536">
        <w:trPr>
          <w:trHeight w:val="157"/>
        </w:trPr>
        <w:tc>
          <w:tcPr>
            <w:tcW w:w="2027" w:type="dxa"/>
            <w:shd w:val="clear" w:color="auto" w:fill="auto"/>
            <w:noWrap/>
            <w:vAlign w:val="bottom"/>
          </w:tcPr>
          <w:p w14:paraId="68DB622A" w14:textId="77777777" w:rsidR="00AB3A62" w:rsidRPr="006740F1" w:rsidRDefault="00AB3A62"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noWrap/>
            <w:vAlign w:val="bottom"/>
          </w:tcPr>
          <w:p w14:paraId="4351D0A1" w14:textId="77777777" w:rsidR="00AB3A62" w:rsidRPr="006740F1" w:rsidRDefault="00AB3A62" w:rsidP="006740F1">
            <w:pPr>
              <w:spacing w:after="0" w:line="360" w:lineRule="auto"/>
              <w:rPr>
                <w:rFonts w:ascii="Arial" w:eastAsia="Times New Roman" w:hAnsi="Arial" w:cs="Arial"/>
                <w:color w:val="000000"/>
                <w:sz w:val="24"/>
                <w:szCs w:val="24"/>
                <w:highlight w:val="yellow"/>
                <w:lang w:val="el-GR"/>
              </w:rPr>
            </w:pPr>
          </w:p>
        </w:tc>
      </w:tr>
      <w:tr w:rsidR="0015443A" w:rsidRPr="001370B7" w14:paraId="35D0F6E0" w14:textId="77777777" w:rsidTr="00DD2536">
        <w:trPr>
          <w:trHeight w:val="1716"/>
        </w:trPr>
        <w:tc>
          <w:tcPr>
            <w:tcW w:w="2027" w:type="dxa"/>
            <w:shd w:val="clear" w:color="auto" w:fill="auto"/>
            <w:hideMark/>
          </w:tcPr>
          <w:p w14:paraId="3B905653" w14:textId="0309C53F" w:rsidR="0015443A" w:rsidRPr="006740F1" w:rsidRDefault="0015443A" w:rsidP="006740F1">
            <w:pPr>
              <w:spacing w:after="0" w:line="360" w:lineRule="auto"/>
              <w:rPr>
                <w:rFonts w:ascii="Arial" w:eastAsia="Times New Roman" w:hAnsi="Arial" w:cs="Arial"/>
                <w:color w:val="000000"/>
                <w:sz w:val="24"/>
                <w:szCs w:val="24"/>
                <w:highlight w:val="yellow"/>
                <w:lang w:val="el-GR"/>
              </w:rPr>
            </w:pPr>
            <w:r w:rsidRPr="006740F1">
              <w:rPr>
                <w:rFonts w:ascii="Arial" w:eastAsia="Times New Roman" w:hAnsi="Arial" w:cs="Arial"/>
                <w:color w:val="000000"/>
                <w:sz w:val="24"/>
                <w:szCs w:val="24"/>
                <w:lang w:val="el-GR"/>
              </w:rPr>
              <w:t>Απαγόρευση προσλήψεων εκτάκτων υπαλλήλων</w:t>
            </w:r>
            <w:r w:rsidR="00B07579">
              <w:rPr>
                <w:rFonts w:ascii="Arial" w:eastAsia="Times New Roman" w:hAnsi="Arial" w:cs="Arial"/>
                <w:color w:val="000000"/>
                <w:sz w:val="24"/>
                <w:szCs w:val="24"/>
                <w:lang w:val="el-GR"/>
              </w:rPr>
              <w:t xml:space="preserve"> και</w:t>
            </w:r>
            <w:r w:rsidRPr="006740F1">
              <w:rPr>
                <w:rFonts w:ascii="Arial" w:eastAsia="Times New Roman" w:hAnsi="Arial" w:cs="Arial"/>
                <w:color w:val="000000"/>
                <w:sz w:val="24"/>
                <w:szCs w:val="24"/>
                <w:lang w:val="el-GR"/>
              </w:rPr>
              <w:t xml:space="preserve"> πρόσθετου έκτακτου προσωπικού για την κάλυψη έκτακτων και εποχιακών αναγκών.</w:t>
            </w:r>
          </w:p>
        </w:tc>
        <w:tc>
          <w:tcPr>
            <w:tcW w:w="7362" w:type="dxa"/>
            <w:gridSpan w:val="3"/>
            <w:shd w:val="clear" w:color="auto" w:fill="auto"/>
            <w:hideMark/>
          </w:tcPr>
          <w:p w14:paraId="3043D862" w14:textId="1BF2D1A9"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B07579">
              <w:rPr>
                <w:rFonts w:ascii="Arial" w:eastAsia="Times New Roman" w:hAnsi="Arial" w:cs="Arial"/>
                <w:bCs/>
                <w:color w:val="000000"/>
                <w:sz w:val="24"/>
                <w:szCs w:val="24"/>
                <w:lang w:val="el-GR"/>
              </w:rPr>
              <w:t>9.</w:t>
            </w:r>
            <w:r w:rsidR="00B07579">
              <w:rPr>
                <w:rFonts w:ascii="Arial" w:eastAsia="Times New Roman" w:hAnsi="Arial" w:cs="Arial"/>
                <w:bCs/>
                <w:color w:val="000000"/>
                <w:sz w:val="24"/>
                <w:szCs w:val="24"/>
                <w:lang w:val="el-GR"/>
              </w:rPr>
              <w:tab/>
            </w:r>
            <w:r w:rsidR="00B07579">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πρόσθετων εκτάκτων υπαλλήλων και πρόσθετου έκτακτου προσωπικού για την κάλυψη εποχιακών αναγκών σε αριθμό που να υπερβαίνει τον αριθμό του υπηρετούντος προσωπικού για εποχιακές ανάγκες κατά το έτος 2021 και πρόσθετων προσώπων για την κάλυψη έκτακτων αναγκών για χρονικό διάστημα που δεν υπερβαίνει κατ' ανώτατο όριο τις δεκαπέντε (15) εργάσιμες μέρες:  </w:t>
            </w:r>
          </w:p>
        </w:tc>
      </w:tr>
      <w:tr w:rsidR="0015443A" w:rsidRPr="001370B7" w14:paraId="7F9453FF" w14:textId="77777777" w:rsidTr="00DD2536">
        <w:trPr>
          <w:trHeight w:val="488"/>
        </w:trPr>
        <w:tc>
          <w:tcPr>
            <w:tcW w:w="2027" w:type="dxa"/>
            <w:shd w:val="clear" w:color="auto" w:fill="auto"/>
            <w:hideMark/>
          </w:tcPr>
          <w:p w14:paraId="2C9BCFF6" w14:textId="77777777" w:rsidR="0015443A" w:rsidRPr="006740F1" w:rsidRDefault="0015443A" w:rsidP="006740F1">
            <w:pPr>
              <w:spacing w:after="0" w:line="360" w:lineRule="auto"/>
              <w:rPr>
                <w:rFonts w:ascii="Arial" w:eastAsia="Times New Roman" w:hAnsi="Arial" w:cs="Arial"/>
                <w:color w:val="000000"/>
                <w:sz w:val="24"/>
                <w:szCs w:val="24"/>
                <w:highlight w:val="yellow"/>
                <w:lang w:val="el-GR"/>
              </w:rPr>
            </w:pPr>
          </w:p>
        </w:tc>
        <w:tc>
          <w:tcPr>
            <w:tcW w:w="7362" w:type="dxa"/>
            <w:gridSpan w:val="3"/>
            <w:shd w:val="clear" w:color="auto" w:fill="auto"/>
            <w:hideMark/>
          </w:tcPr>
          <w:p w14:paraId="577D5E37"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4702FE05" w14:textId="77777777" w:rsidTr="00DD2536">
        <w:trPr>
          <w:trHeight w:val="1382"/>
        </w:trPr>
        <w:tc>
          <w:tcPr>
            <w:tcW w:w="2027" w:type="dxa"/>
            <w:shd w:val="clear" w:color="auto" w:fill="auto"/>
            <w:noWrap/>
            <w:vAlign w:val="bottom"/>
            <w:hideMark/>
          </w:tcPr>
          <w:p w14:paraId="78674CAD" w14:textId="77777777" w:rsidR="0015443A" w:rsidRPr="006740F1" w:rsidRDefault="0015443A"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hideMark/>
          </w:tcPr>
          <w:p w14:paraId="40B6FC8A" w14:textId="7E1B0022" w:rsidR="0015443A" w:rsidRPr="006740F1" w:rsidRDefault="00B07579" w:rsidP="00B07579">
            <w:pPr>
              <w:tabs>
                <w:tab w:val="left" w:pos="284"/>
                <w:tab w:val="left" w:pos="397"/>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Νοείται ότι, οι διατάξεις του παρόντος άρθρου δεν επηρεάζουν με οποιοδήποτε τρόπο την ανανέωση συμβολαίων υπηρετούντων εκτάκτων υπαλλήλων ή προσώπων για κάλυψη εποχιακών ή εκτάκτων αναγκών.</w:t>
            </w:r>
          </w:p>
        </w:tc>
      </w:tr>
      <w:tr w:rsidR="0015443A" w:rsidRPr="001370B7" w14:paraId="146A4CDF" w14:textId="77777777" w:rsidTr="00DD2536">
        <w:trPr>
          <w:trHeight w:val="428"/>
        </w:trPr>
        <w:tc>
          <w:tcPr>
            <w:tcW w:w="2027" w:type="dxa"/>
            <w:shd w:val="clear" w:color="auto" w:fill="auto"/>
            <w:noWrap/>
            <w:vAlign w:val="bottom"/>
            <w:hideMark/>
          </w:tcPr>
          <w:p w14:paraId="58D7CF05" w14:textId="77777777" w:rsidR="0015443A" w:rsidRPr="006740F1" w:rsidRDefault="0015443A" w:rsidP="006740F1">
            <w:pPr>
              <w:spacing w:after="0" w:line="360" w:lineRule="auto"/>
              <w:jc w:val="both"/>
              <w:rPr>
                <w:rFonts w:ascii="Arial" w:eastAsia="Times New Roman" w:hAnsi="Arial" w:cs="Arial"/>
                <w:color w:val="000000"/>
                <w:sz w:val="24"/>
                <w:szCs w:val="24"/>
                <w:highlight w:val="yellow"/>
                <w:lang w:val="el-GR"/>
              </w:rPr>
            </w:pPr>
          </w:p>
        </w:tc>
        <w:tc>
          <w:tcPr>
            <w:tcW w:w="7362" w:type="dxa"/>
            <w:gridSpan w:val="3"/>
            <w:shd w:val="clear" w:color="auto" w:fill="auto"/>
            <w:noWrap/>
            <w:vAlign w:val="bottom"/>
            <w:hideMark/>
          </w:tcPr>
          <w:p w14:paraId="7CBA5C0D" w14:textId="77777777" w:rsidR="0015443A" w:rsidRPr="006740F1" w:rsidRDefault="0015443A" w:rsidP="006740F1">
            <w:pPr>
              <w:spacing w:after="0" w:line="360" w:lineRule="auto"/>
              <w:rPr>
                <w:rFonts w:ascii="Arial" w:eastAsia="Times New Roman" w:hAnsi="Arial" w:cs="Arial"/>
                <w:color w:val="000000"/>
                <w:sz w:val="24"/>
                <w:szCs w:val="24"/>
                <w:highlight w:val="yellow"/>
                <w:lang w:val="el-GR"/>
              </w:rPr>
            </w:pPr>
          </w:p>
        </w:tc>
      </w:tr>
      <w:tr w:rsidR="0015443A" w:rsidRPr="001370B7" w14:paraId="6CAB09A9" w14:textId="77777777" w:rsidTr="00DD2536">
        <w:trPr>
          <w:trHeight w:val="1025"/>
        </w:trPr>
        <w:tc>
          <w:tcPr>
            <w:tcW w:w="2027" w:type="dxa"/>
            <w:shd w:val="clear" w:color="auto" w:fill="auto"/>
            <w:hideMark/>
          </w:tcPr>
          <w:p w14:paraId="4D13BB16" w14:textId="77777777"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Απαγόρευση σύναψης σύμβασης ή συμφωνίας για σκοπούς παροχής άτοκου δανείου για απόκτηση ιδιωτικού οχήματος από το προσωπικό της Αρχής Ηλεκτρισμού Κύπρου.</w:t>
            </w:r>
          </w:p>
        </w:tc>
        <w:tc>
          <w:tcPr>
            <w:tcW w:w="7362" w:type="dxa"/>
            <w:gridSpan w:val="3"/>
            <w:shd w:val="clear" w:color="auto" w:fill="auto"/>
            <w:hideMark/>
          </w:tcPr>
          <w:p w14:paraId="71769124" w14:textId="30257F0E"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6E2D9D">
              <w:rPr>
                <w:rFonts w:ascii="Arial" w:eastAsia="Times New Roman" w:hAnsi="Arial" w:cs="Arial"/>
                <w:color w:val="000000"/>
                <w:sz w:val="24"/>
                <w:szCs w:val="24"/>
                <w:lang w:val="el-GR"/>
              </w:rPr>
              <w:t>10</w:t>
            </w:r>
            <w:r w:rsidRPr="006E2D9D">
              <w:rPr>
                <w:rFonts w:ascii="Arial" w:eastAsia="Times New Roman" w:hAnsi="Arial" w:cs="Arial"/>
                <w:bCs/>
                <w:color w:val="000000"/>
                <w:sz w:val="24"/>
                <w:szCs w:val="24"/>
                <w:lang w:val="el-GR"/>
              </w:rPr>
              <w:t>.</w:t>
            </w:r>
            <w:r w:rsidR="006E2D9D">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Ανεξαρτήτως των διατάξεων οποιουδήποτε άλλου Νόμου ή Κανονισμών ή οποιασδήποτε άλλης σύμβασης ή συμφωνίας, ουδεμία δαπάνη ή/και σύναψη σύμβασης ή συμφωνίας δύναται να διενεργηθεί για σκοπούς παροχής άτοκου δανείου σε σχέση με την αγορά ιδιωτικού μηχανοκινήτου οχήματος από το προσωπικό της Αρχής Ηλεκτρισμού Κύπρου:</w:t>
            </w:r>
          </w:p>
        </w:tc>
      </w:tr>
      <w:tr w:rsidR="006E2D9D" w:rsidRPr="001370B7" w14:paraId="5049ADDD" w14:textId="77777777" w:rsidTr="00DD2536">
        <w:trPr>
          <w:trHeight w:val="435"/>
        </w:trPr>
        <w:tc>
          <w:tcPr>
            <w:tcW w:w="2027" w:type="dxa"/>
            <w:shd w:val="clear" w:color="auto" w:fill="auto"/>
          </w:tcPr>
          <w:p w14:paraId="2DBB3EF8" w14:textId="77777777" w:rsidR="006E2D9D" w:rsidRPr="006740F1" w:rsidRDefault="006E2D9D"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036B8E95" w14:textId="77777777" w:rsidR="006E2D9D" w:rsidRPr="006E2D9D" w:rsidRDefault="006E2D9D" w:rsidP="006E2D9D">
            <w:pPr>
              <w:spacing w:after="0" w:line="360" w:lineRule="auto"/>
              <w:jc w:val="both"/>
              <w:rPr>
                <w:rFonts w:ascii="Arial" w:eastAsia="Times New Roman" w:hAnsi="Arial" w:cs="Arial"/>
                <w:bCs/>
                <w:color w:val="000000"/>
                <w:sz w:val="24"/>
                <w:szCs w:val="24"/>
                <w:lang w:val="el-GR"/>
              </w:rPr>
            </w:pPr>
          </w:p>
        </w:tc>
      </w:tr>
      <w:tr w:rsidR="006E2D9D" w:rsidRPr="001370B7" w14:paraId="2EA8A91E" w14:textId="77777777" w:rsidTr="00DD2536">
        <w:trPr>
          <w:trHeight w:val="435"/>
        </w:trPr>
        <w:tc>
          <w:tcPr>
            <w:tcW w:w="2027" w:type="dxa"/>
            <w:shd w:val="clear" w:color="auto" w:fill="auto"/>
          </w:tcPr>
          <w:p w14:paraId="26EC91B0" w14:textId="77777777" w:rsidR="006E2D9D" w:rsidRPr="006740F1" w:rsidRDefault="006E2D9D"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5C9DD95D" w14:textId="2ED81D80" w:rsidR="006E2D9D" w:rsidRPr="006E2D9D" w:rsidRDefault="006E2D9D" w:rsidP="006E2D9D">
            <w:pPr>
              <w:tabs>
                <w:tab w:val="left" w:pos="284"/>
                <w:tab w:val="left" w:pos="510"/>
                <w:tab w:val="left" w:pos="680"/>
              </w:tabs>
              <w:spacing w:after="0" w:line="360" w:lineRule="auto"/>
              <w:jc w:val="both"/>
              <w:rPr>
                <w:rFonts w:ascii="Arial" w:eastAsia="Times New Roman" w:hAnsi="Arial" w:cs="Arial"/>
                <w:bCs/>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Νοείται ότι, προκαταβολή για την αγορά μηχανοκίνητου οχήματος δύναται να παραχωρηθεί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tc>
      </w:tr>
      <w:tr w:rsidR="006E2D9D" w:rsidRPr="001370B7" w14:paraId="47382A9E" w14:textId="77777777" w:rsidTr="00DD2536">
        <w:trPr>
          <w:trHeight w:val="435"/>
        </w:trPr>
        <w:tc>
          <w:tcPr>
            <w:tcW w:w="2027" w:type="dxa"/>
            <w:shd w:val="clear" w:color="auto" w:fill="auto"/>
          </w:tcPr>
          <w:p w14:paraId="6868F298" w14:textId="77777777" w:rsidR="006E2D9D" w:rsidRPr="006740F1" w:rsidRDefault="006E2D9D"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1D2FA0CA" w14:textId="77777777" w:rsidR="006E2D9D" w:rsidRDefault="006E2D9D" w:rsidP="006E2D9D">
            <w:pPr>
              <w:tabs>
                <w:tab w:val="left" w:pos="284"/>
                <w:tab w:val="left" w:pos="510"/>
                <w:tab w:val="left" w:pos="680"/>
              </w:tabs>
              <w:spacing w:after="0" w:line="360" w:lineRule="auto"/>
              <w:jc w:val="both"/>
              <w:rPr>
                <w:rFonts w:ascii="Arial" w:eastAsia="Times New Roman" w:hAnsi="Arial" w:cs="Arial"/>
                <w:color w:val="000000"/>
                <w:sz w:val="24"/>
                <w:szCs w:val="24"/>
                <w:lang w:val="el-GR"/>
              </w:rPr>
            </w:pPr>
          </w:p>
        </w:tc>
      </w:tr>
      <w:tr w:rsidR="0015443A" w:rsidRPr="001370B7" w14:paraId="60FD333E" w14:textId="77777777" w:rsidTr="00DD2536">
        <w:trPr>
          <w:trHeight w:val="1455"/>
        </w:trPr>
        <w:tc>
          <w:tcPr>
            <w:tcW w:w="2027" w:type="dxa"/>
            <w:shd w:val="clear" w:color="auto" w:fill="auto"/>
            <w:hideMark/>
          </w:tcPr>
          <w:p w14:paraId="4A66D725" w14:textId="77777777" w:rsidR="0015443A" w:rsidRPr="006740F1" w:rsidRDefault="0015443A" w:rsidP="006740F1">
            <w:pPr>
              <w:spacing w:after="0" w:line="360" w:lineRule="auto"/>
              <w:rPr>
                <w:rFonts w:ascii="Arial" w:eastAsia="Times New Roman" w:hAnsi="Arial" w:cs="Arial"/>
                <w:color w:val="000000"/>
                <w:sz w:val="24"/>
                <w:szCs w:val="24"/>
                <w:highlight w:val="yellow"/>
                <w:lang w:val="el-GR"/>
              </w:rPr>
            </w:pPr>
            <w:r w:rsidRPr="006740F1">
              <w:rPr>
                <w:rFonts w:ascii="Arial" w:eastAsia="Times New Roman" w:hAnsi="Arial" w:cs="Arial"/>
                <w:color w:val="000000"/>
                <w:sz w:val="24"/>
                <w:szCs w:val="24"/>
                <w:lang w:val="el-GR"/>
              </w:rPr>
              <w:t>Αναπροσαρμογή του ύψους των απολαβών.</w:t>
            </w:r>
          </w:p>
        </w:tc>
        <w:tc>
          <w:tcPr>
            <w:tcW w:w="7362" w:type="dxa"/>
            <w:gridSpan w:val="3"/>
            <w:shd w:val="clear" w:color="auto" w:fill="auto"/>
            <w:hideMark/>
          </w:tcPr>
          <w:p w14:paraId="6B3B6777" w14:textId="61021A56" w:rsidR="0015443A" w:rsidRPr="006740F1" w:rsidRDefault="0015443A" w:rsidP="006E2D9D">
            <w:pPr>
              <w:tabs>
                <w:tab w:val="left" w:pos="284"/>
                <w:tab w:val="left" w:pos="510"/>
                <w:tab w:val="left" w:pos="794"/>
              </w:tabs>
              <w:spacing w:after="0" w:line="360" w:lineRule="auto"/>
              <w:jc w:val="both"/>
              <w:rPr>
                <w:rFonts w:ascii="Arial" w:eastAsia="Times New Roman" w:hAnsi="Arial" w:cs="Arial"/>
                <w:color w:val="000000"/>
                <w:sz w:val="24"/>
                <w:szCs w:val="24"/>
                <w:lang w:val="el-GR"/>
              </w:rPr>
            </w:pPr>
            <w:r w:rsidRPr="006E2D9D">
              <w:rPr>
                <w:rFonts w:ascii="Arial" w:eastAsia="Times New Roman" w:hAnsi="Arial" w:cs="Arial"/>
                <w:bCs/>
                <w:color w:val="000000"/>
                <w:sz w:val="24"/>
                <w:szCs w:val="24"/>
                <w:lang w:val="el-GR"/>
              </w:rPr>
              <w:t>11.</w:t>
            </w:r>
            <w:r w:rsidRPr="006740F1">
              <w:rPr>
                <w:rFonts w:ascii="Arial" w:eastAsia="Times New Roman" w:hAnsi="Arial" w:cs="Arial"/>
                <w:color w:val="000000"/>
                <w:sz w:val="24"/>
                <w:szCs w:val="24"/>
                <w:lang w:val="el-GR"/>
              </w:rPr>
              <w:t>-(1)</w:t>
            </w:r>
            <w:r w:rsidR="006E2D9D">
              <w:rPr>
                <w:rFonts w:ascii="Arial" w:eastAsia="Times New Roman" w:hAnsi="Arial" w:cs="Arial"/>
                <w:color w:val="000000"/>
                <w:sz w:val="24"/>
                <w:szCs w:val="24"/>
                <w:lang w:val="el-GR"/>
              </w:rPr>
              <w:tab/>
            </w:r>
            <w:r w:rsidRPr="006740F1">
              <w:rPr>
                <w:rFonts w:ascii="Arial" w:eastAsia="Times New Roman" w:hAnsi="Arial" w:cs="Arial"/>
                <w:color w:val="000000"/>
                <w:sz w:val="24"/>
                <w:szCs w:val="24"/>
                <w:lang w:val="el-GR"/>
              </w:rPr>
              <w:t xml:space="preserve">Ανεξαρτήτως των διατάξεων οποιουδήποτε άλλου Νόμου ή Κανονισμών που ρυθμίζουν θέματα μισθοδοσίας, ο μισθός ή η αντιμισθία ή η αποζημίωση ή η χορηγία των αξιωματούχων και των υπαλλήλων της Αρχής Ηλεκτρισμού Κύπρου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Ηλεκτρισμού Κύπρου, ανάλογα με την υπηρεσία </w:t>
            </w:r>
            <w:proofErr w:type="spellStart"/>
            <w:r w:rsidRPr="006740F1">
              <w:rPr>
                <w:rFonts w:ascii="Arial" w:eastAsia="Times New Roman" w:hAnsi="Arial" w:cs="Arial"/>
                <w:color w:val="000000"/>
                <w:sz w:val="24"/>
                <w:szCs w:val="24"/>
                <w:lang w:val="el-GR"/>
              </w:rPr>
              <w:t>έκαστου</w:t>
            </w:r>
            <w:proofErr w:type="spellEnd"/>
            <w:r w:rsidRPr="006740F1">
              <w:rPr>
                <w:rFonts w:ascii="Arial" w:eastAsia="Times New Roman" w:hAnsi="Arial" w:cs="Arial"/>
                <w:color w:val="000000"/>
                <w:sz w:val="24"/>
                <w:szCs w:val="24"/>
                <w:lang w:val="el-GR"/>
              </w:rPr>
              <w:t xml:space="preserve"> αξιωματούχου ή υπαλλήλου.</w:t>
            </w:r>
          </w:p>
        </w:tc>
      </w:tr>
      <w:tr w:rsidR="006E2D9D" w:rsidRPr="001370B7" w14:paraId="5815EF93" w14:textId="77777777" w:rsidTr="00DD2536">
        <w:trPr>
          <w:trHeight w:val="422"/>
        </w:trPr>
        <w:tc>
          <w:tcPr>
            <w:tcW w:w="2027" w:type="dxa"/>
            <w:shd w:val="clear" w:color="auto" w:fill="auto"/>
          </w:tcPr>
          <w:p w14:paraId="551FD590" w14:textId="77777777" w:rsidR="006E2D9D" w:rsidRPr="006740F1" w:rsidRDefault="006E2D9D"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4150E960" w14:textId="77777777" w:rsidR="006E2D9D" w:rsidRPr="000D490C" w:rsidRDefault="006E2D9D" w:rsidP="000D490C">
            <w:pPr>
              <w:tabs>
                <w:tab w:val="left" w:pos="284"/>
                <w:tab w:val="left" w:pos="510"/>
                <w:tab w:val="left" w:pos="794"/>
              </w:tabs>
              <w:spacing w:after="0" w:line="360" w:lineRule="auto"/>
              <w:jc w:val="both"/>
              <w:rPr>
                <w:rFonts w:ascii="Arial" w:eastAsia="Times New Roman" w:hAnsi="Arial" w:cs="Arial"/>
                <w:bCs/>
                <w:color w:val="000000"/>
                <w:sz w:val="24"/>
                <w:szCs w:val="24"/>
                <w:lang w:val="el-GR"/>
              </w:rPr>
            </w:pPr>
          </w:p>
        </w:tc>
      </w:tr>
      <w:tr w:rsidR="006E2D9D" w:rsidRPr="001370B7" w14:paraId="0C0CBDCA" w14:textId="77777777" w:rsidTr="00DD2536">
        <w:trPr>
          <w:trHeight w:val="1279"/>
        </w:trPr>
        <w:tc>
          <w:tcPr>
            <w:tcW w:w="2027" w:type="dxa"/>
            <w:shd w:val="clear" w:color="auto" w:fill="auto"/>
          </w:tcPr>
          <w:p w14:paraId="67DD605D" w14:textId="77777777" w:rsidR="006E2D9D" w:rsidRPr="006740F1" w:rsidRDefault="006E2D9D"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32C6B4A4" w14:textId="28FC6940" w:rsidR="006E2D9D" w:rsidRPr="000D490C" w:rsidRDefault="006E2084" w:rsidP="006E2084">
            <w:pPr>
              <w:tabs>
                <w:tab w:val="left" w:pos="284"/>
                <w:tab w:val="left" w:pos="397"/>
                <w:tab w:val="left" w:pos="680"/>
              </w:tabs>
              <w:spacing w:after="0" w:line="360" w:lineRule="auto"/>
              <w:jc w:val="both"/>
              <w:rPr>
                <w:rFonts w:ascii="Arial" w:eastAsia="Times New Roman" w:hAnsi="Arial" w:cs="Arial"/>
                <w:bCs/>
                <w:color w:val="000000"/>
                <w:sz w:val="24"/>
                <w:szCs w:val="24"/>
                <w:lang w:val="el-GR"/>
              </w:rPr>
            </w:pPr>
            <w:r>
              <w:rPr>
                <w:rFonts w:ascii="Arial" w:eastAsia="Times New Roman" w:hAnsi="Arial" w:cs="Arial"/>
                <w:color w:val="000000"/>
                <w:sz w:val="24"/>
                <w:szCs w:val="24"/>
                <w:lang w:val="el-GR"/>
              </w:rPr>
              <w:tab/>
            </w:r>
            <w:r w:rsidR="000D490C" w:rsidRPr="006740F1">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000D490C" w:rsidRPr="006740F1">
              <w:rPr>
                <w:rFonts w:ascii="Arial" w:eastAsia="Times New Roman" w:hAnsi="Arial" w:cs="Arial"/>
                <w:color w:val="000000"/>
                <w:sz w:val="24"/>
                <w:szCs w:val="24"/>
                <w:lang w:val="el-GR"/>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15443A" w:rsidRPr="001370B7" w14:paraId="56209152" w14:textId="77777777" w:rsidTr="00DD2536">
        <w:trPr>
          <w:trHeight w:val="408"/>
        </w:trPr>
        <w:tc>
          <w:tcPr>
            <w:tcW w:w="2027" w:type="dxa"/>
            <w:shd w:val="clear" w:color="auto" w:fill="auto"/>
            <w:noWrap/>
            <w:vAlign w:val="bottom"/>
            <w:hideMark/>
          </w:tcPr>
          <w:p w14:paraId="6CA3CAD4" w14:textId="77777777" w:rsidR="0015443A" w:rsidRPr="006740F1" w:rsidRDefault="0015443A" w:rsidP="006740F1">
            <w:pPr>
              <w:spacing w:after="0" w:line="360" w:lineRule="auto"/>
              <w:rPr>
                <w:rFonts w:ascii="Arial" w:eastAsia="Times New Roman" w:hAnsi="Arial" w:cs="Arial"/>
                <w:color w:val="000000"/>
                <w:sz w:val="24"/>
                <w:szCs w:val="24"/>
                <w:highlight w:val="yellow"/>
                <w:lang w:val="el-GR"/>
              </w:rPr>
            </w:pPr>
          </w:p>
        </w:tc>
        <w:tc>
          <w:tcPr>
            <w:tcW w:w="7362" w:type="dxa"/>
            <w:gridSpan w:val="3"/>
            <w:shd w:val="clear" w:color="auto" w:fill="auto"/>
            <w:hideMark/>
          </w:tcPr>
          <w:p w14:paraId="0EC27C20"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3DC68D6A" w14:textId="77777777" w:rsidTr="00DD2536">
        <w:trPr>
          <w:trHeight w:val="585"/>
        </w:trPr>
        <w:tc>
          <w:tcPr>
            <w:tcW w:w="2027" w:type="dxa"/>
            <w:shd w:val="clear" w:color="auto" w:fill="auto"/>
            <w:hideMark/>
          </w:tcPr>
          <w:p w14:paraId="467AFBD5" w14:textId="77777777" w:rsidR="0015443A" w:rsidRPr="006740F1" w:rsidRDefault="0015443A" w:rsidP="006740F1">
            <w:pPr>
              <w:spacing w:after="0" w:line="360" w:lineRule="auto"/>
              <w:rPr>
                <w:rFonts w:ascii="Arial" w:eastAsia="Times New Roman" w:hAnsi="Arial" w:cs="Arial"/>
                <w:color w:val="000000"/>
                <w:sz w:val="24"/>
                <w:szCs w:val="24"/>
                <w:highlight w:val="yellow"/>
              </w:rPr>
            </w:pPr>
            <w:proofErr w:type="spellStart"/>
            <w:r w:rsidRPr="006740F1">
              <w:rPr>
                <w:rFonts w:ascii="Arial" w:eastAsia="Times New Roman" w:hAnsi="Arial" w:cs="Arial"/>
                <w:color w:val="000000"/>
                <w:sz w:val="24"/>
                <w:szCs w:val="24"/>
              </w:rPr>
              <w:t>Φορολόγηση</w:t>
            </w:r>
            <w:proofErr w:type="spellEnd"/>
            <w:r w:rsidRPr="006740F1">
              <w:rPr>
                <w:rFonts w:ascii="Arial" w:eastAsia="Times New Roman" w:hAnsi="Arial" w:cs="Arial"/>
                <w:color w:val="000000"/>
                <w:sz w:val="24"/>
                <w:szCs w:val="24"/>
              </w:rPr>
              <w:t xml:space="preserve"> επ</w:t>
            </w:r>
            <w:proofErr w:type="spellStart"/>
            <w:r w:rsidRPr="006740F1">
              <w:rPr>
                <w:rFonts w:ascii="Arial" w:eastAsia="Times New Roman" w:hAnsi="Arial" w:cs="Arial"/>
                <w:color w:val="000000"/>
                <w:sz w:val="24"/>
                <w:szCs w:val="24"/>
              </w:rPr>
              <w:t>ιδομ</w:t>
            </w:r>
            <w:r w:rsidRPr="006740F1">
              <w:rPr>
                <w:rFonts w:ascii="Arial" w:eastAsia="Times New Roman" w:hAnsi="Arial" w:cs="Arial"/>
                <w:color w:val="000000"/>
                <w:sz w:val="24"/>
                <w:szCs w:val="24"/>
                <w:lang w:val="el-GR"/>
              </w:rPr>
              <w:t>άτων</w:t>
            </w:r>
            <w:proofErr w:type="spellEnd"/>
            <w:r w:rsidRPr="006740F1">
              <w:rPr>
                <w:rFonts w:ascii="Arial" w:eastAsia="Times New Roman" w:hAnsi="Arial" w:cs="Arial"/>
                <w:color w:val="000000"/>
                <w:sz w:val="24"/>
                <w:szCs w:val="24"/>
              </w:rPr>
              <w:t>.</w:t>
            </w:r>
          </w:p>
        </w:tc>
        <w:tc>
          <w:tcPr>
            <w:tcW w:w="7362" w:type="dxa"/>
            <w:gridSpan w:val="3"/>
            <w:shd w:val="clear" w:color="auto" w:fill="auto"/>
            <w:hideMark/>
          </w:tcPr>
          <w:p w14:paraId="5D771DFE" w14:textId="18062813"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highlight w:val="yellow"/>
                <w:lang w:val="el-GR"/>
              </w:rPr>
            </w:pPr>
            <w:r w:rsidRPr="00EA1F01">
              <w:rPr>
                <w:rFonts w:ascii="Arial" w:eastAsia="Times New Roman" w:hAnsi="Arial" w:cs="Arial"/>
                <w:bCs/>
                <w:color w:val="000000"/>
                <w:sz w:val="24"/>
                <w:szCs w:val="24"/>
                <w:lang w:val="el-GR"/>
              </w:rPr>
              <w:t>12.</w:t>
            </w:r>
            <w:r w:rsidR="00EA1F01">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EA1F01" w:rsidRPr="001370B7" w14:paraId="26294343" w14:textId="77777777" w:rsidTr="00DD2536">
        <w:trPr>
          <w:trHeight w:val="327"/>
        </w:trPr>
        <w:tc>
          <w:tcPr>
            <w:tcW w:w="2027" w:type="dxa"/>
            <w:shd w:val="clear" w:color="auto" w:fill="auto"/>
          </w:tcPr>
          <w:p w14:paraId="0458369C" w14:textId="77777777" w:rsidR="00EA1F01" w:rsidRPr="00C8384E" w:rsidRDefault="00EA1F01"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4733B811" w14:textId="77777777" w:rsidR="00EA1F01" w:rsidRPr="00EA1F01" w:rsidRDefault="00EA1F01" w:rsidP="00EA1F01">
            <w:pPr>
              <w:tabs>
                <w:tab w:val="left" w:pos="284"/>
                <w:tab w:val="left" w:pos="510"/>
                <w:tab w:val="left" w:pos="794"/>
              </w:tabs>
              <w:spacing w:after="0" w:line="360" w:lineRule="auto"/>
              <w:jc w:val="both"/>
              <w:rPr>
                <w:rFonts w:ascii="Arial" w:eastAsia="Times New Roman" w:hAnsi="Arial" w:cs="Arial"/>
                <w:bCs/>
                <w:color w:val="000000"/>
                <w:sz w:val="24"/>
                <w:szCs w:val="24"/>
                <w:lang w:val="el-GR"/>
              </w:rPr>
            </w:pPr>
          </w:p>
        </w:tc>
      </w:tr>
      <w:tr w:rsidR="0015443A" w:rsidRPr="001370B7" w14:paraId="28503EF8" w14:textId="77777777" w:rsidTr="00DD2536">
        <w:trPr>
          <w:trHeight w:val="803"/>
        </w:trPr>
        <w:tc>
          <w:tcPr>
            <w:tcW w:w="2027" w:type="dxa"/>
            <w:shd w:val="clear" w:color="auto" w:fill="auto"/>
            <w:hideMark/>
          </w:tcPr>
          <w:p w14:paraId="3031083A" w14:textId="77777777" w:rsidR="00EA1F0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Απαγόρευση απασχόλησης συνταξιούχων προσώπων.</w:t>
            </w:r>
          </w:p>
          <w:p w14:paraId="137C1936" w14:textId="77777777" w:rsidR="00766F45" w:rsidRDefault="0015443A"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97(Ι) του 1997</w:t>
            </w:r>
          </w:p>
          <w:p w14:paraId="34AD308E" w14:textId="77777777" w:rsidR="00766F45" w:rsidRDefault="0015443A"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3(Ι) του 1998</w:t>
            </w:r>
          </w:p>
          <w:p w14:paraId="35A3558F" w14:textId="77777777" w:rsidR="00766F45" w:rsidRDefault="0015443A"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77(Ι) του 1999</w:t>
            </w:r>
          </w:p>
          <w:p w14:paraId="77CFF1ED" w14:textId="77777777" w:rsidR="00766F45" w:rsidRDefault="0015443A"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141(Ι) του 2001</w:t>
            </w:r>
          </w:p>
          <w:p w14:paraId="03C005F5" w14:textId="78B14B96" w:rsidR="0015443A" w:rsidRDefault="0015443A"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69(Ι) του 2005</w:t>
            </w:r>
          </w:p>
          <w:p w14:paraId="0F0ECA02" w14:textId="77777777" w:rsidR="00766F45" w:rsidRDefault="00766F45"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lastRenderedPageBreak/>
              <w:t>37(Ι) του 2010</w:t>
            </w:r>
          </w:p>
          <w:p w14:paraId="6DF869FC" w14:textId="77777777" w:rsidR="00766F45" w:rsidRDefault="00766F45"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94(Ι) του 2010</w:t>
            </w:r>
          </w:p>
          <w:p w14:paraId="239A9FAB" w14:textId="77777777" w:rsidR="00766F45" w:rsidRDefault="00766F45" w:rsidP="00766F45">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31(Ι) του 2012</w:t>
            </w:r>
          </w:p>
          <w:p w14:paraId="052BE3D1" w14:textId="7E057815" w:rsidR="00766F45" w:rsidRPr="006740F1" w:rsidRDefault="00766F45" w:rsidP="00766F45">
            <w:pPr>
              <w:spacing w:after="0" w:line="360" w:lineRule="auto"/>
              <w:ind w:right="57"/>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131(Ι) του 2012.</w:t>
            </w:r>
          </w:p>
        </w:tc>
        <w:tc>
          <w:tcPr>
            <w:tcW w:w="7362" w:type="dxa"/>
            <w:gridSpan w:val="3"/>
            <w:shd w:val="clear" w:color="auto" w:fill="auto"/>
            <w:hideMark/>
          </w:tcPr>
          <w:p w14:paraId="57851A56" w14:textId="24F8B4CE"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EA1F01">
              <w:rPr>
                <w:rFonts w:ascii="Arial" w:eastAsia="Times New Roman" w:hAnsi="Arial" w:cs="Arial"/>
                <w:bCs/>
                <w:color w:val="000000"/>
                <w:sz w:val="24"/>
                <w:szCs w:val="24"/>
                <w:lang w:val="el-GR"/>
              </w:rPr>
              <w:lastRenderedPageBreak/>
              <w:t>13.</w:t>
            </w:r>
            <w:r w:rsidR="00EA1F01">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 xml:space="preserve">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 </w:t>
            </w:r>
          </w:p>
        </w:tc>
      </w:tr>
      <w:tr w:rsidR="00EA1F01" w:rsidRPr="001370B7" w14:paraId="3DCCC320" w14:textId="77777777" w:rsidTr="00DD2536">
        <w:trPr>
          <w:trHeight w:val="301"/>
        </w:trPr>
        <w:tc>
          <w:tcPr>
            <w:tcW w:w="2027" w:type="dxa"/>
            <w:shd w:val="clear" w:color="auto" w:fill="auto"/>
          </w:tcPr>
          <w:p w14:paraId="1A62DA19" w14:textId="77777777" w:rsidR="00EA1F01" w:rsidRPr="006740F1" w:rsidRDefault="00EA1F01"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5D55C0A8" w14:textId="77777777" w:rsidR="00EA1F01" w:rsidRPr="00EA1F01" w:rsidRDefault="00EA1F01" w:rsidP="00EA1F01">
            <w:pPr>
              <w:tabs>
                <w:tab w:val="left" w:pos="284"/>
                <w:tab w:val="left" w:pos="510"/>
                <w:tab w:val="left" w:pos="794"/>
              </w:tabs>
              <w:spacing w:after="0" w:line="360" w:lineRule="auto"/>
              <w:jc w:val="both"/>
              <w:rPr>
                <w:rFonts w:ascii="Arial" w:eastAsia="Times New Roman" w:hAnsi="Arial" w:cs="Arial"/>
                <w:bCs/>
                <w:color w:val="000000"/>
                <w:sz w:val="24"/>
                <w:szCs w:val="24"/>
                <w:lang w:val="el-GR"/>
              </w:rPr>
            </w:pPr>
          </w:p>
        </w:tc>
      </w:tr>
      <w:tr w:rsidR="0015443A" w:rsidRPr="001370B7" w14:paraId="066D65C6" w14:textId="77777777" w:rsidTr="00DD2536">
        <w:trPr>
          <w:trHeight w:val="510"/>
        </w:trPr>
        <w:tc>
          <w:tcPr>
            <w:tcW w:w="2027" w:type="dxa"/>
            <w:shd w:val="clear" w:color="auto" w:fill="auto"/>
            <w:noWrap/>
            <w:vAlign w:val="bottom"/>
            <w:hideMark/>
          </w:tcPr>
          <w:p w14:paraId="5C205F9C"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hideMark/>
          </w:tcPr>
          <w:p w14:paraId="7786B8D3" w14:textId="3868E49B" w:rsidR="0015443A" w:rsidRPr="006740F1" w:rsidRDefault="00766F45" w:rsidP="00A36494">
            <w:pPr>
              <w:tabs>
                <w:tab w:val="left" w:pos="284"/>
                <w:tab w:val="left" w:pos="68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15443A" w:rsidRPr="006740F1">
              <w:rPr>
                <w:rFonts w:ascii="Arial" w:eastAsia="Times New Roman" w:hAnsi="Arial" w:cs="Arial"/>
                <w:color w:val="000000"/>
                <w:sz w:val="24"/>
                <w:szCs w:val="24"/>
                <w:lang w:val="el-GR"/>
              </w:rPr>
              <w:t>Νοείται ότι, οι διατάξεις του παρόντος άρθρου δεν τυγχάνουν εφαρμογής αναφορικά με την απασχόληση συνταξιούχων προσώπων-</w:t>
            </w:r>
          </w:p>
        </w:tc>
      </w:tr>
      <w:tr w:rsidR="00766F45" w:rsidRPr="001370B7" w14:paraId="211BDE2C" w14:textId="77777777" w:rsidTr="00DD2536">
        <w:trPr>
          <w:trHeight w:val="391"/>
        </w:trPr>
        <w:tc>
          <w:tcPr>
            <w:tcW w:w="2027" w:type="dxa"/>
            <w:shd w:val="clear" w:color="auto" w:fill="auto"/>
            <w:noWrap/>
            <w:vAlign w:val="bottom"/>
          </w:tcPr>
          <w:p w14:paraId="02E035B1" w14:textId="77777777" w:rsidR="00766F45" w:rsidRPr="006740F1" w:rsidRDefault="00766F45"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6E788890" w14:textId="77777777" w:rsidR="00766F45" w:rsidRDefault="00766F45" w:rsidP="00766F45">
            <w:pPr>
              <w:tabs>
                <w:tab w:val="left" w:pos="284"/>
                <w:tab w:val="left" w:pos="510"/>
                <w:tab w:val="left" w:pos="794"/>
              </w:tabs>
              <w:spacing w:after="0" w:line="360" w:lineRule="auto"/>
              <w:jc w:val="both"/>
              <w:rPr>
                <w:rFonts w:ascii="Arial" w:eastAsia="Times New Roman" w:hAnsi="Arial" w:cs="Arial"/>
                <w:color w:val="000000"/>
                <w:sz w:val="24"/>
                <w:szCs w:val="24"/>
                <w:lang w:val="el-GR"/>
              </w:rPr>
            </w:pPr>
          </w:p>
        </w:tc>
      </w:tr>
      <w:tr w:rsidR="00A11B6D" w:rsidRPr="006740F1" w14:paraId="7C184D3E" w14:textId="77777777" w:rsidTr="00DD2536">
        <w:trPr>
          <w:gridAfter w:val="1"/>
          <w:wAfter w:w="18" w:type="dxa"/>
          <w:trHeight w:val="397"/>
        </w:trPr>
        <w:tc>
          <w:tcPr>
            <w:tcW w:w="2027" w:type="dxa"/>
            <w:shd w:val="clear" w:color="auto" w:fill="auto"/>
            <w:noWrap/>
            <w:vAlign w:val="bottom"/>
          </w:tcPr>
          <w:p w14:paraId="2C6CFE78"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tcPr>
          <w:p w14:paraId="6C6B1BA8" w14:textId="751FDDC9" w:rsidR="00A11B6D" w:rsidRPr="006740F1" w:rsidRDefault="00A11B6D" w:rsidP="003256EC">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(α)</w:t>
            </w:r>
          </w:p>
        </w:tc>
        <w:tc>
          <w:tcPr>
            <w:tcW w:w="6237" w:type="dxa"/>
            <w:shd w:val="clear" w:color="auto" w:fill="auto"/>
          </w:tcPr>
          <w:p w14:paraId="6410E29B" w14:textId="629FDBCB" w:rsidR="00A11B6D" w:rsidRPr="006740F1" w:rsidRDefault="00394C93" w:rsidP="006740F1">
            <w:pPr>
              <w:spacing w:after="0" w:line="360" w:lineRule="auto"/>
              <w:ind w:firstLine="34"/>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σ</w:t>
            </w:r>
            <w:r w:rsidR="00A11B6D" w:rsidRPr="006740F1">
              <w:rPr>
                <w:rFonts w:ascii="Arial" w:eastAsia="Times New Roman" w:hAnsi="Arial" w:cs="Arial"/>
                <w:color w:val="000000"/>
                <w:sz w:val="24"/>
                <w:szCs w:val="24"/>
                <w:lang w:val="el-GR"/>
              </w:rPr>
              <w:t>ε πολιτειακό αξίωμα,</w:t>
            </w:r>
          </w:p>
        </w:tc>
      </w:tr>
      <w:tr w:rsidR="00394C93" w:rsidRPr="006740F1" w14:paraId="4D2E8966" w14:textId="77777777" w:rsidTr="00DD2536">
        <w:trPr>
          <w:gridAfter w:val="1"/>
          <w:wAfter w:w="18" w:type="dxa"/>
          <w:trHeight w:val="397"/>
        </w:trPr>
        <w:tc>
          <w:tcPr>
            <w:tcW w:w="2027" w:type="dxa"/>
            <w:shd w:val="clear" w:color="auto" w:fill="auto"/>
            <w:noWrap/>
            <w:vAlign w:val="bottom"/>
          </w:tcPr>
          <w:p w14:paraId="4E5D4A79" w14:textId="77777777" w:rsidR="00394C93" w:rsidRPr="006740F1" w:rsidRDefault="00394C93" w:rsidP="006740F1">
            <w:pPr>
              <w:spacing w:after="0" w:line="360" w:lineRule="auto"/>
              <w:rPr>
                <w:rFonts w:ascii="Arial" w:eastAsia="Times New Roman" w:hAnsi="Arial" w:cs="Arial"/>
                <w:color w:val="000000"/>
                <w:sz w:val="24"/>
                <w:szCs w:val="24"/>
                <w:lang w:val="el-GR"/>
              </w:rPr>
            </w:pPr>
          </w:p>
        </w:tc>
        <w:tc>
          <w:tcPr>
            <w:tcW w:w="1107" w:type="dxa"/>
            <w:shd w:val="clear" w:color="auto" w:fill="auto"/>
          </w:tcPr>
          <w:p w14:paraId="6BFEF2D9" w14:textId="77777777" w:rsidR="00394C93" w:rsidRDefault="00394C93" w:rsidP="003256EC">
            <w:pPr>
              <w:spacing w:after="0" w:line="360" w:lineRule="auto"/>
              <w:jc w:val="right"/>
              <w:rPr>
                <w:rFonts w:ascii="Arial" w:eastAsia="Times New Roman" w:hAnsi="Arial" w:cs="Arial"/>
                <w:color w:val="000000"/>
                <w:sz w:val="24"/>
                <w:szCs w:val="24"/>
                <w:lang w:val="el-GR"/>
              </w:rPr>
            </w:pPr>
          </w:p>
        </w:tc>
        <w:tc>
          <w:tcPr>
            <w:tcW w:w="6237" w:type="dxa"/>
            <w:shd w:val="clear" w:color="auto" w:fill="auto"/>
          </w:tcPr>
          <w:p w14:paraId="2EB76871" w14:textId="77777777" w:rsidR="00394C93" w:rsidRDefault="00394C93" w:rsidP="006740F1">
            <w:pPr>
              <w:spacing w:after="0" w:line="360" w:lineRule="auto"/>
              <w:ind w:firstLine="34"/>
              <w:jc w:val="both"/>
              <w:rPr>
                <w:rFonts w:ascii="Arial" w:eastAsia="Times New Roman" w:hAnsi="Arial" w:cs="Arial"/>
                <w:color w:val="000000"/>
                <w:sz w:val="24"/>
                <w:szCs w:val="24"/>
                <w:lang w:val="el-GR"/>
              </w:rPr>
            </w:pPr>
          </w:p>
        </w:tc>
      </w:tr>
      <w:tr w:rsidR="00A11B6D" w:rsidRPr="001370B7" w14:paraId="3B9832E4" w14:textId="77777777" w:rsidTr="00DD2536">
        <w:trPr>
          <w:gridAfter w:val="1"/>
          <w:wAfter w:w="18" w:type="dxa"/>
          <w:trHeight w:val="573"/>
        </w:trPr>
        <w:tc>
          <w:tcPr>
            <w:tcW w:w="2027" w:type="dxa"/>
            <w:shd w:val="clear" w:color="auto" w:fill="auto"/>
            <w:noWrap/>
            <w:vAlign w:val="bottom"/>
            <w:hideMark/>
          </w:tcPr>
          <w:p w14:paraId="2365F253"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hideMark/>
          </w:tcPr>
          <w:p w14:paraId="4D839043" w14:textId="16FC4E4E" w:rsidR="00A11B6D" w:rsidRPr="006740F1" w:rsidRDefault="00A11B6D" w:rsidP="003256EC">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(β)</w:t>
            </w:r>
          </w:p>
        </w:tc>
        <w:tc>
          <w:tcPr>
            <w:tcW w:w="6237" w:type="dxa"/>
            <w:shd w:val="clear" w:color="auto" w:fill="auto"/>
          </w:tcPr>
          <w:p w14:paraId="4B42268B" w14:textId="0D59D970"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τ</w:t>
            </w:r>
            <w:r w:rsidRPr="006740F1">
              <w:rPr>
                <w:rFonts w:ascii="Arial" w:eastAsia="Times New Roman" w:hAnsi="Arial" w:cs="Arial"/>
                <w:color w:val="000000"/>
                <w:sz w:val="24"/>
                <w:szCs w:val="24"/>
                <w:lang w:val="el-GR"/>
              </w:rPr>
              <w:t>α οποία δεν συμπλήρωσαν το εξηκοστό πέμπτο (65</w:t>
            </w:r>
            <w:r w:rsidRPr="006740F1">
              <w:rPr>
                <w:rFonts w:ascii="MS Gothic" w:eastAsia="MS Gothic" w:hAnsi="MS Gothic" w:cs="MS Gothic"/>
                <w:color w:val="000000"/>
                <w:sz w:val="24"/>
                <w:szCs w:val="24"/>
                <w:vertAlign w:val="superscript"/>
                <w:lang w:val="el-GR"/>
              </w:rPr>
              <w:t>ο</w:t>
            </w:r>
            <w:r w:rsidRPr="006740F1">
              <w:rPr>
                <w:rFonts w:ascii="Arial" w:eastAsia="Times New Roman" w:hAnsi="Arial" w:cs="Arial"/>
                <w:color w:val="000000"/>
                <w:sz w:val="24"/>
                <w:szCs w:val="24"/>
                <w:lang w:val="el-GR"/>
              </w:rPr>
              <w:t>) έτος της ηλικίας τους κατά το</w:t>
            </w:r>
            <w:r w:rsidR="00394C93">
              <w:rPr>
                <w:rFonts w:ascii="Arial" w:eastAsia="Times New Roman" w:hAnsi="Arial" w:cs="Arial"/>
                <w:color w:val="000000"/>
                <w:sz w:val="24"/>
                <w:szCs w:val="24"/>
                <w:lang w:val="el-GR"/>
              </w:rPr>
              <w:t>ν</w:t>
            </w:r>
            <w:r w:rsidRPr="006740F1">
              <w:rPr>
                <w:rFonts w:ascii="Arial" w:eastAsia="Times New Roman" w:hAnsi="Arial" w:cs="Arial"/>
                <w:color w:val="000000"/>
                <w:sz w:val="24"/>
                <w:szCs w:val="24"/>
                <w:lang w:val="el-GR"/>
              </w:rPr>
              <w:t xml:space="preserve"> χρόνο έναρξης της απασχόλησης τους,</w:t>
            </w:r>
          </w:p>
        </w:tc>
      </w:tr>
      <w:tr w:rsidR="00A11B6D" w:rsidRPr="001370B7" w14:paraId="4A5B324D" w14:textId="77777777" w:rsidTr="00DD2536">
        <w:trPr>
          <w:gridAfter w:val="1"/>
          <w:wAfter w:w="18" w:type="dxa"/>
          <w:trHeight w:val="393"/>
        </w:trPr>
        <w:tc>
          <w:tcPr>
            <w:tcW w:w="2027" w:type="dxa"/>
            <w:shd w:val="clear" w:color="auto" w:fill="auto"/>
            <w:noWrap/>
            <w:vAlign w:val="bottom"/>
          </w:tcPr>
          <w:p w14:paraId="4B0ED256"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tcPr>
          <w:p w14:paraId="12A8092F" w14:textId="77777777" w:rsidR="00A11B6D" w:rsidRDefault="00A11B6D" w:rsidP="003256EC">
            <w:pPr>
              <w:spacing w:after="0" w:line="360" w:lineRule="auto"/>
              <w:jc w:val="right"/>
              <w:rPr>
                <w:rFonts w:ascii="Arial" w:eastAsia="Times New Roman" w:hAnsi="Arial" w:cs="Arial"/>
                <w:color w:val="000000"/>
                <w:sz w:val="24"/>
                <w:szCs w:val="24"/>
                <w:lang w:val="el-GR"/>
              </w:rPr>
            </w:pPr>
          </w:p>
        </w:tc>
        <w:tc>
          <w:tcPr>
            <w:tcW w:w="6237" w:type="dxa"/>
            <w:shd w:val="clear" w:color="auto" w:fill="auto"/>
          </w:tcPr>
          <w:p w14:paraId="5374FEAE" w14:textId="77777777" w:rsidR="00A11B6D" w:rsidRDefault="00A11B6D" w:rsidP="006740F1">
            <w:pPr>
              <w:spacing w:after="0" w:line="360" w:lineRule="auto"/>
              <w:ind w:firstLine="34"/>
              <w:jc w:val="both"/>
              <w:rPr>
                <w:rFonts w:ascii="Arial" w:eastAsia="Times New Roman" w:hAnsi="Arial" w:cs="Arial"/>
                <w:color w:val="000000"/>
                <w:sz w:val="24"/>
                <w:szCs w:val="24"/>
                <w:lang w:val="el-GR"/>
              </w:rPr>
            </w:pPr>
          </w:p>
        </w:tc>
      </w:tr>
      <w:tr w:rsidR="00A11B6D" w:rsidRPr="001370B7" w14:paraId="02A70627" w14:textId="77777777" w:rsidTr="00DD2536">
        <w:trPr>
          <w:gridAfter w:val="1"/>
          <w:wAfter w:w="18" w:type="dxa"/>
          <w:trHeight w:val="330"/>
        </w:trPr>
        <w:tc>
          <w:tcPr>
            <w:tcW w:w="2027" w:type="dxa"/>
            <w:shd w:val="clear" w:color="auto" w:fill="auto"/>
            <w:noWrap/>
            <w:vAlign w:val="bottom"/>
            <w:hideMark/>
          </w:tcPr>
          <w:p w14:paraId="58E52B98"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hideMark/>
          </w:tcPr>
          <w:p w14:paraId="54887A9E" w14:textId="6A9D3634" w:rsidR="00A11B6D" w:rsidRPr="006740F1" w:rsidRDefault="00A11B6D" w:rsidP="003256EC">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(γ)</w:t>
            </w:r>
          </w:p>
        </w:tc>
        <w:tc>
          <w:tcPr>
            <w:tcW w:w="6237" w:type="dxa"/>
            <w:shd w:val="clear" w:color="auto" w:fill="auto"/>
          </w:tcPr>
          <w:p w14:paraId="12D4E4A1" w14:textId="3796DAD2"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τα οποία απασχολούνται δυνάμει οποιουδήποτε ειδικού νόμου,</w:t>
            </w:r>
          </w:p>
        </w:tc>
      </w:tr>
      <w:tr w:rsidR="00A11B6D" w:rsidRPr="001370B7" w14:paraId="450F9F3E" w14:textId="77777777" w:rsidTr="00DD2536">
        <w:trPr>
          <w:gridAfter w:val="1"/>
          <w:wAfter w:w="18" w:type="dxa"/>
          <w:trHeight w:val="315"/>
        </w:trPr>
        <w:tc>
          <w:tcPr>
            <w:tcW w:w="2027" w:type="dxa"/>
            <w:shd w:val="clear" w:color="auto" w:fill="auto"/>
            <w:noWrap/>
            <w:vAlign w:val="bottom"/>
          </w:tcPr>
          <w:p w14:paraId="642ACD9F"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tcPr>
          <w:p w14:paraId="591F26F9" w14:textId="77777777" w:rsidR="00A11B6D" w:rsidRPr="006740F1" w:rsidRDefault="00A11B6D" w:rsidP="003256EC">
            <w:pPr>
              <w:spacing w:after="0" w:line="360" w:lineRule="auto"/>
              <w:jc w:val="right"/>
              <w:rPr>
                <w:rFonts w:ascii="Arial" w:eastAsia="Times New Roman" w:hAnsi="Arial" w:cs="Arial"/>
                <w:color w:val="000000"/>
                <w:sz w:val="24"/>
                <w:szCs w:val="24"/>
                <w:lang w:val="el-GR"/>
              </w:rPr>
            </w:pPr>
          </w:p>
        </w:tc>
        <w:tc>
          <w:tcPr>
            <w:tcW w:w="6237" w:type="dxa"/>
            <w:shd w:val="clear" w:color="auto" w:fill="auto"/>
          </w:tcPr>
          <w:p w14:paraId="1B2712F9" w14:textId="77777777"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p>
        </w:tc>
      </w:tr>
      <w:tr w:rsidR="00A11B6D" w:rsidRPr="001370B7" w14:paraId="32147B4F" w14:textId="77777777" w:rsidTr="00DD2536">
        <w:trPr>
          <w:gridAfter w:val="1"/>
          <w:wAfter w:w="18" w:type="dxa"/>
          <w:trHeight w:val="315"/>
        </w:trPr>
        <w:tc>
          <w:tcPr>
            <w:tcW w:w="2027" w:type="dxa"/>
            <w:shd w:val="clear" w:color="auto" w:fill="auto"/>
            <w:noWrap/>
            <w:vAlign w:val="bottom"/>
            <w:hideMark/>
          </w:tcPr>
          <w:p w14:paraId="5CA3C09C"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hideMark/>
          </w:tcPr>
          <w:p w14:paraId="3D1FAF43" w14:textId="02035C2D" w:rsidR="00A11B6D" w:rsidRPr="006740F1" w:rsidRDefault="00A11B6D" w:rsidP="003256EC">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(δ)</w:t>
            </w:r>
          </w:p>
        </w:tc>
        <w:tc>
          <w:tcPr>
            <w:tcW w:w="6237" w:type="dxa"/>
            <w:shd w:val="clear" w:color="auto" w:fill="auto"/>
          </w:tcPr>
          <w:p w14:paraId="03935EFB" w14:textId="406BE918"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σε περίπτωση που δεν δημιουργείται υπαλληλική σχέση,</w:t>
            </w:r>
          </w:p>
        </w:tc>
      </w:tr>
      <w:tr w:rsidR="00A11B6D" w:rsidRPr="001370B7" w14:paraId="4CD0836B" w14:textId="77777777" w:rsidTr="00DD2536">
        <w:trPr>
          <w:gridAfter w:val="1"/>
          <w:wAfter w:w="18" w:type="dxa"/>
          <w:trHeight w:val="306"/>
        </w:trPr>
        <w:tc>
          <w:tcPr>
            <w:tcW w:w="2027" w:type="dxa"/>
            <w:shd w:val="clear" w:color="auto" w:fill="auto"/>
          </w:tcPr>
          <w:p w14:paraId="5CA4AE0E" w14:textId="77777777" w:rsidR="00A11B6D" w:rsidRPr="006740F1" w:rsidRDefault="00A11B6D" w:rsidP="006740F1">
            <w:pPr>
              <w:spacing w:after="0" w:line="360" w:lineRule="auto"/>
              <w:rPr>
                <w:rFonts w:ascii="Arial" w:eastAsia="Times New Roman" w:hAnsi="Arial" w:cs="Arial"/>
                <w:color w:val="000000"/>
                <w:sz w:val="24"/>
                <w:szCs w:val="24"/>
                <w:lang w:val="el-GR"/>
              </w:rPr>
            </w:pPr>
          </w:p>
        </w:tc>
        <w:tc>
          <w:tcPr>
            <w:tcW w:w="1107" w:type="dxa"/>
            <w:shd w:val="clear" w:color="auto" w:fill="auto"/>
          </w:tcPr>
          <w:p w14:paraId="34B63EA8" w14:textId="77777777" w:rsidR="00A11B6D" w:rsidRPr="006740F1" w:rsidRDefault="00A11B6D" w:rsidP="003256EC">
            <w:pPr>
              <w:spacing w:after="0" w:line="360" w:lineRule="auto"/>
              <w:jc w:val="right"/>
              <w:rPr>
                <w:rFonts w:ascii="Arial" w:eastAsia="Times New Roman" w:hAnsi="Arial" w:cs="Arial"/>
                <w:color w:val="000000"/>
                <w:sz w:val="24"/>
                <w:szCs w:val="24"/>
                <w:lang w:val="el-GR"/>
              </w:rPr>
            </w:pPr>
          </w:p>
        </w:tc>
        <w:tc>
          <w:tcPr>
            <w:tcW w:w="6237" w:type="dxa"/>
            <w:shd w:val="clear" w:color="auto" w:fill="auto"/>
          </w:tcPr>
          <w:p w14:paraId="4E8E86A7" w14:textId="77777777"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p>
        </w:tc>
      </w:tr>
      <w:tr w:rsidR="00A11B6D" w:rsidRPr="001370B7" w14:paraId="7D09D893" w14:textId="77777777" w:rsidTr="00DD2536">
        <w:trPr>
          <w:gridAfter w:val="1"/>
          <w:wAfter w:w="18" w:type="dxa"/>
          <w:trHeight w:val="734"/>
        </w:trPr>
        <w:tc>
          <w:tcPr>
            <w:tcW w:w="2027" w:type="dxa"/>
            <w:shd w:val="clear" w:color="auto" w:fill="auto"/>
            <w:hideMark/>
          </w:tcPr>
          <w:p w14:paraId="067B3E60" w14:textId="77777777" w:rsidR="00A11B6D" w:rsidRDefault="00A11B6D" w:rsidP="00A11B6D">
            <w:pPr>
              <w:spacing w:after="0" w:line="360" w:lineRule="auto"/>
              <w:ind w:right="113"/>
              <w:jc w:val="right"/>
              <w:rPr>
                <w:rFonts w:ascii="Arial" w:eastAsia="Times New Roman" w:hAnsi="Arial" w:cs="Arial"/>
                <w:color w:val="000000"/>
                <w:sz w:val="24"/>
                <w:szCs w:val="24"/>
                <w:lang w:val="el-GR"/>
              </w:rPr>
            </w:pPr>
          </w:p>
          <w:p w14:paraId="56CB4E01" w14:textId="3AD13216" w:rsidR="00A11B6D" w:rsidRPr="006740F1" w:rsidRDefault="00A11B6D" w:rsidP="00A11B6D">
            <w:pPr>
              <w:spacing w:after="0" w:line="360" w:lineRule="auto"/>
              <w:ind w:right="113"/>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73(Ι) του 2016</w:t>
            </w:r>
          </w:p>
          <w:p w14:paraId="507C6111" w14:textId="77777777" w:rsidR="00A11B6D" w:rsidRPr="006740F1" w:rsidRDefault="00A11B6D" w:rsidP="00A11B6D">
            <w:pPr>
              <w:spacing w:after="0" w:line="360" w:lineRule="auto"/>
              <w:ind w:right="57"/>
              <w:jc w:val="right"/>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 xml:space="preserve">205(Ι) του 2020.           </w:t>
            </w:r>
          </w:p>
        </w:tc>
        <w:tc>
          <w:tcPr>
            <w:tcW w:w="1107" w:type="dxa"/>
            <w:shd w:val="clear" w:color="auto" w:fill="auto"/>
            <w:hideMark/>
          </w:tcPr>
          <w:p w14:paraId="1DC699DA" w14:textId="4ECFD5E8" w:rsidR="00A11B6D" w:rsidRPr="006740F1" w:rsidRDefault="00A11B6D" w:rsidP="003256EC">
            <w:pPr>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(ε)</w:t>
            </w:r>
          </w:p>
        </w:tc>
        <w:tc>
          <w:tcPr>
            <w:tcW w:w="6237" w:type="dxa"/>
            <w:shd w:val="clear" w:color="auto" w:fill="auto"/>
          </w:tcPr>
          <w:p w14:paraId="6708F804" w14:textId="4FD5BCFE"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A11B6D" w:rsidRPr="001370B7" w14:paraId="3F8F44E5" w14:textId="77777777" w:rsidTr="00DD2536">
        <w:trPr>
          <w:gridAfter w:val="1"/>
          <w:wAfter w:w="18" w:type="dxa"/>
          <w:trHeight w:val="363"/>
        </w:trPr>
        <w:tc>
          <w:tcPr>
            <w:tcW w:w="2027" w:type="dxa"/>
            <w:shd w:val="clear" w:color="auto" w:fill="auto"/>
          </w:tcPr>
          <w:p w14:paraId="15C8C2DB" w14:textId="77777777" w:rsidR="00A11B6D" w:rsidRPr="006740F1" w:rsidRDefault="00A11B6D" w:rsidP="00A11B6D">
            <w:pPr>
              <w:spacing w:after="0" w:line="360" w:lineRule="auto"/>
              <w:ind w:right="113"/>
              <w:jc w:val="right"/>
              <w:rPr>
                <w:rFonts w:ascii="Arial" w:eastAsia="Times New Roman" w:hAnsi="Arial" w:cs="Arial"/>
                <w:color w:val="000000"/>
                <w:sz w:val="24"/>
                <w:szCs w:val="24"/>
                <w:lang w:val="el-GR"/>
              </w:rPr>
            </w:pPr>
          </w:p>
        </w:tc>
        <w:tc>
          <w:tcPr>
            <w:tcW w:w="1107" w:type="dxa"/>
            <w:shd w:val="clear" w:color="auto" w:fill="auto"/>
          </w:tcPr>
          <w:p w14:paraId="51E7FD03" w14:textId="77777777" w:rsidR="00A11B6D" w:rsidRDefault="00A11B6D" w:rsidP="003256EC">
            <w:pPr>
              <w:spacing w:after="0" w:line="360" w:lineRule="auto"/>
              <w:jc w:val="right"/>
              <w:rPr>
                <w:rFonts w:ascii="Arial" w:eastAsia="Times New Roman" w:hAnsi="Arial" w:cs="Arial"/>
                <w:color w:val="000000"/>
                <w:sz w:val="24"/>
                <w:szCs w:val="24"/>
                <w:lang w:val="el-GR"/>
              </w:rPr>
            </w:pPr>
          </w:p>
        </w:tc>
        <w:tc>
          <w:tcPr>
            <w:tcW w:w="6237" w:type="dxa"/>
            <w:shd w:val="clear" w:color="auto" w:fill="auto"/>
          </w:tcPr>
          <w:p w14:paraId="4BE2316F" w14:textId="77777777" w:rsidR="00A11B6D" w:rsidRPr="006740F1" w:rsidRDefault="00A11B6D" w:rsidP="006740F1">
            <w:pPr>
              <w:spacing w:after="0" w:line="360" w:lineRule="auto"/>
              <w:ind w:firstLine="34"/>
              <w:jc w:val="both"/>
              <w:rPr>
                <w:rFonts w:ascii="Arial" w:eastAsia="Times New Roman" w:hAnsi="Arial" w:cs="Arial"/>
                <w:color w:val="000000"/>
                <w:sz w:val="24"/>
                <w:szCs w:val="24"/>
                <w:lang w:val="el-GR"/>
              </w:rPr>
            </w:pPr>
          </w:p>
        </w:tc>
      </w:tr>
      <w:tr w:rsidR="0015443A" w:rsidRPr="001370B7" w14:paraId="694DD0A7" w14:textId="77777777" w:rsidTr="00766F45">
        <w:trPr>
          <w:trHeight w:val="990"/>
        </w:trPr>
        <w:tc>
          <w:tcPr>
            <w:tcW w:w="2027" w:type="dxa"/>
            <w:shd w:val="clear" w:color="auto" w:fill="auto"/>
            <w:hideMark/>
          </w:tcPr>
          <w:p w14:paraId="7DC689B7" w14:textId="77777777"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Απαγόρευση αντικατάστασης υπαλλήλων που αποχωρούν.</w:t>
            </w:r>
          </w:p>
        </w:tc>
        <w:tc>
          <w:tcPr>
            <w:tcW w:w="7362" w:type="dxa"/>
            <w:gridSpan w:val="3"/>
            <w:shd w:val="clear" w:color="auto" w:fill="auto"/>
            <w:hideMark/>
          </w:tcPr>
          <w:p w14:paraId="05B0C3A2" w14:textId="5B252389"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A11B6D">
              <w:rPr>
                <w:rFonts w:ascii="Arial" w:eastAsia="Times New Roman" w:hAnsi="Arial" w:cs="Arial"/>
                <w:bCs/>
                <w:color w:val="000000"/>
                <w:sz w:val="24"/>
                <w:szCs w:val="24"/>
                <w:lang w:val="el-GR"/>
              </w:rPr>
              <w:t>14</w:t>
            </w:r>
            <w:r w:rsidRPr="00C8384E">
              <w:rPr>
                <w:rFonts w:ascii="Arial" w:eastAsia="Times New Roman" w:hAnsi="Arial" w:cs="Arial"/>
                <w:bCs/>
                <w:color w:val="000000"/>
                <w:sz w:val="24"/>
                <w:szCs w:val="24"/>
                <w:lang w:val="el-GR"/>
              </w:rPr>
              <w:t>.</w:t>
            </w:r>
            <w:r w:rsidR="00A11B6D">
              <w:rPr>
                <w:rFonts w:ascii="Arial" w:eastAsia="Times New Roman" w:hAnsi="Arial" w:cs="Arial"/>
                <w:b/>
                <w:color w:val="000000"/>
                <w:sz w:val="24"/>
                <w:szCs w:val="24"/>
                <w:lang w:val="el-GR"/>
              </w:rPr>
              <w:tab/>
            </w:r>
            <w:r w:rsidRPr="006740F1">
              <w:rPr>
                <w:rFonts w:ascii="Arial" w:eastAsia="Times New Roman" w:hAnsi="Arial" w:cs="Arial"/>
                <w:color w:val="000000"/>
                <w:sz w:val="24"/>
                <w:szCs w:val="24"/>
                <w:lang w:val="el-GR"/>
              </w:rPr>
              <w:t xml:space="preserve">Απαγορεύεται η αντικατάσταση υπαλλήλων που αποχωρούν από την υπηρεσία για οποιοδήποτε λόγο με νέες προσλήψεις </w:t>
            </w:r>
            <w:proofErr w:type="spellStart"/>
            <w:r w:rsidRPr="006740F1">
              <w:rPr>
                <w:rFonts w:ascii="Arial" w:eastAsia="Times New Roman" w:hAnsi="Arial" w:cs="Arial"/>
                <w:color w:val="000000"/>
                <w:sz w:val="24"/>
                <w:szCs w:val="24"/>
                <w:lang w:val="el-GR"/>
              </w:rPr>
              <w:t>εργοδοτουμένων</w:t>
            </w:r>
            <w:proofErr w:type="spellEnd"/>
            <w:r w:rsidRPr="006740F1">
              <w:rPr>
                <w:rFonts w:ascii="Arial" w:eastAsia="Times New Roman" w:hAnsi="Arial" w:cs="Arial"/>
                <w:color w:val="000000"/>
                <w:sz w:val="24"/>
                <w:szCs w:val="24"/>
                <w:lang w:val="el-GR"/>
              </w:rPr>
              <w:t xml:space="preserve"> καθορισμένης διάρκειας.</w:t>
            </w:r>
          </w:p>
        </w:tc>
      </w:tr>
      <w:tr w:rsidR="009D01B9" w:rsidRPr="001370B7" w14:paraId="2D024F4F" w14:textId="77777777" w:rsidTr="009D01B9">
        <w:trPr>
          <w:trHeight w:val="279"/>
        </w:trPr>
        <w:tc>
          <w:tcPr>
            <w:tcW w:w="2027" w:type="dxa"/>
            <w:shd w:val="clear" w:color="auto" w:fill="auto"/>
          </w:tcPr>
          <w:p w14:paraId="2F6C40DC" w14:textId="77777777" w:rsidR="009D01B9" w:rsidRPr="006740F1" w:rsidRDefault="009D01B9"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670103F9" w14:textId="77777777" w:rsidR="009D01B9" w:rsidRPr="00A11B6D" w:rsidRDefault="009D01B9" w:rsidP="00A11B6D">
            <w:pPr>
              <w:tabs>
                <w:tab w:val="left" w:pos="284"/>
                <w:tab w:val="left" w:pos="510"/>
                <w:tab w:val="left" w:pos="794"/>
              </w:tabs>
              <w:spacing w:after="0" w:line="360" w:lineRule="auto"/>
              <w:jc w:val="both"/>
              <w:rPr>
                <w:rFonts w:ascii="Arial" w:eastAsia="Times New Roman" w:hAnsi="Arial" w:cs="Arial"/>
                <w:bCs/>
                <w:color w:val="000000"/>
                <w:sz w:val="24"/>
                <w:szCs w:val="24"/>
                <w:lang w:val="el-GR"/>
              </w:rPr>
            </w:pPr>
          </w:p>
        </w:tc>
      </w:tr>
      <w:tr w:rsidR="0015443A" w:rsidRPr="001370B7" w14:paraId="60ED6DF4" w14:textId="77777777" w:rsidTr="00766F45">
        <w:trPr>
          <w:trHeight w:val="1132"/>
        </w:trPr>
        <w:tc>
          <w:tcPr>
            <w:tcW w:w="2027" w:type="dxa"/>
            <w:shd w:val="clear" w:color="auto" w:fill="auto"/>
            <w:hideMark/>
          </w:tcPr>
          <w:p w14:paraId="694A7659" w14:textId="77777777"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 xml:space="preserve">Απαγόρευση αντικατάστασης ωρομίσθιου προσωπικού </w:t>
            </w:r>
            <w:r w:rsidRPr="006740F1">
              <w:rPr>
                <w:rFonts w:ascii="Arial" w:eastAsia="Times New Roman" w:hAnsi="Arial" w:cs="Arial"/>
                <w:color w:val="000000"/>
                <w:sz w:val="24"/>
                <w:szCs w:val="24"/>
                <w:lang w:val="el-GR"/>
              </w:rPr>
              <w:lastRenderedPageBreak/>
              <w:t>που αποχωρεί.</w:t>
            </w:r>
          </w:p>
        </w:tc>
        <w:tc>
          <w:tcPr>
            <w:tcW w:w="7362" w:type="dxa"/>
            <w:gridSpan w:val="3"/>
            <w:shd w:val="clear" w:color="auto" w:fill="auto"/>
            <w:hideMark/>
          </w:tcPr>
          <w:p w14:paraId="0AC9206B" w14:textId="129DAC34"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9D01B9">
              <w:rPr>
                <w:rFonts w:ascii="Arial" w:eastAsia="Times New Roman" w:hAnsi="Arial" w:cs="Arial"/>
                <w:bCs/>
                <w:color w:val="000000"/>
                <w:sz w:val="24"/>
                <w:szCs w:val="24"/>
                <w:lang w:val="el-GR"/>
              </w:rPr>
              <w:lastRenderedPageBreak/>
              <w:t>15.</w:t>
            </w:r>
            <w:r w:rsidR="009D01B9">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Απαγορεύεται η αντικατάσταση ωρομίσθιου προσωπικού που αποχωρεί από την υπηρεσία για οποιοδήποτε λόγο με νέες προσλήψεις ωρομίσθιου προσωπικού.</w:t>
            </w:r>
          </w:p>
        </w:tc>
      </w:tr>
      <w:tr w:rsidR="009D01B9" w:rsidRPr="001370B7" w14:paraId="0EAB4A9F" w14:textId="77777777" w:rsidTr="009D01B9">
        <w:trPr>
          <w:trHeight w:val="343"/>
        </w:trPr>
        <w:tc>
          <w:tcPr>
            <w:tcW w:w="2027" w:type="dxa"/>
            <w:shd w:val="clear" w:color="auto" w:fill="auto"/>
          </w:tcPr>
          <w:p w14:paraId="5EE12D12" w14:textId="77777777" w:rsidR="009D01B9" w:rsidRPr="006740F1" w:rsidRDefault="009D01B9"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tcPr>
          <w:p w14:paraId="7F8AE620" w14:textId="77777777" w:rsidR="009D01B9" w:rsidRPr="009D01B9" w:rsidRDefault="009D01B9" w:rsidP="00A11B6D">
            <w:pPr>
              <w:tabs>
                <w:tab w:val="left" w:pos="284"/>
                <w:tab w:val="left" w:pos="510"/>
                <w:tab w:val="left" w:pos="794"/>
              </w:tabs>
              <w:spacing w:after="0" w:line="360" w:lineRule="auto"/>
              <w:jc w:val="both"/>
              <w:rPr>
                <w:rFonts w:ascii="Arial" w:eastAsia="Times New Roman" w:hAnsi="Arial" w:cs="Arial"/>
                <w:bCs/>
                <w:color w:val="000000"/>
                <w:sz w:val="24"/>
                <w:szCs w:val="24"/>
                <w:lang w:val="el-GR"/>
              </w:rPr>
            </w:pPr>
          </w:p>
        </w:tc>
      </w:tr>
      <w:tr w:rsidR="0015443A" w:rsidRPr="001370B7" w14:paraId="605880F9" w14:textId="77777777" w:rsidTr="00766F45">
        <w:trPr>
          <w:trHeight w:val="994"/>
        </w:trPr>
        <w:tc>
          <w:tcPr>
            <w:tcW w:w="2027" w:type="dxa"/>
            <w:shd w:val="clear" w:color="auto" w:fill="auto"/>
            <w:hideMark/>
          </w:tcPr>
          <w:p w14:paraId="0FA0159E" w14:textId="77777777"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Λειτουργοί που ασκούν έλεγχο πάνω στα κονδύλια.</w:t>
            </w:r>
          </w:p>
          <w:p w14:paraId="0B69F810" w14:textId="77777777"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Συμπλήρωμα.</w:t>
            </w:r>
          </w:p>
          <w:p w14:paraId="34704D28" w14:textId="77777777" w:rsidR="009D01B9" w:rsidRDefault="0015443A" w:rsidP="006740F1">
            <w:pPr>
              <w:spacing w:after="0" w:line="360" w:lineRule="auto"/>
              <w:rPr>
                <w:rFonts w:ascii="Arial" w:eastAsia="Times New Roman" w:hAnsi="Arial" w:cs="Arial"/>
                <w:color w:val="000000"/>
                <w:sz w:val="24"/>
                <w:szCs w:val="24"/>
              </w:rPr>
            </w:pPr>
            <w:proofErr w:type="spellStart"/>
            <w:r w:rsidRPr="006740F1">
              <w:rPr>
                <w:rFonts w:ascii="Arial" w:eastAsia="Times New Roman" w:hAnsi="Arial" w:cs="Arial"/>
                <w:color w:val="000000"/>
                <w:sz w:val="24"/>
                <w:szCs w:val="24"/>
              </w:rPr>
              <w:t>Πρώτο</w:t>
            </w:r>
            <w:proofErr w:type="spellEnd"/>
          </w:p>
          <w:p w14:paraId="7B5E30FC" w14:textId="2204FD26" w:rsidR="0015443A" w:rsidRPr="006740F1"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Μέρος.</w:t>
            </w:r>
          </w:p>
        </w:tc>
        <w:tc>
          <w:tcPr>
            <w:tcW w:w="7362" w:type="dxa"/>
            <w:gridSpan w:val="3"/>
            <w:shd w:val="clear" w:color="auto" w:fill="auto"/>
            <w:hideMark/>
          </w:tcPr>
          <w:p w14:paraId="3C493A90" w14:textId="0AD80947"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9D01B9">
              <w:rPr>
                <w:rFonts w:ascii="Arial" w:eastAsia="Times New Roman" w:hAnsi="Arial" w:cs="Arial"/>
                <w:bCs/>
                <w:color w:val="000000"/>
                <w:sz w:val="24"/>
                <w:szCs w:val="24"/>
                <w:lang w:val="el-GR"/>
              </w:rPr>
              <w:t>16.</w:t>
            </w:r>
            <w:r w:rsidR="009D01B9">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Οι λειτουργοί που αναφέρονται στο Πρώτο Μέρος του Συμπληρώματος ορίζονται ως οι λειτουργοί που ασκούν έλεγχο πάνω στα κονδύλια της Αρχής Ηλεκτρισμού Κύπρου.</w:t>
            </w:r>
          </w:p>
        </w:tc>
      </w:tr>
      <w:tr w:rsidR="0015443A" w:rsidRPr="001370B7" w14:paraId="6D6DE0AB" w14:textId="77777777" w:rsidTr="00F42601">
        <w:trPr>
          <w:trHeight w:val="373"/>
        </w:trPr>
        <w:tc>
          <w:tcPr>
            <w:tcW w:w="2027" w:type="dxa"/>
            <w:shd w:val="clear" w:color="auto" w:fill="auto"/>
            <w:hideMark/>
          </w:tcPr>
          <w:p w14:paraId="3E58C86B" w14:textId="77777777" w:rsidR="0015443A" w:rsidRPr="006740F1" w:rsidRDefault="0015443A" w:rsidP="006740F1">
            <w:pPr>
              <w:spacing w:after="0" w:line="360" w:lineRule="auto"/>
              <w:rPr>
                <w:rFonts w:ascii="Arial" w:eastAsia="Times New Roman" w:hAnsi="Arial" w:cs="Arial"/>
                <w:color w:val="000000"/>
                <w:sz w:val="24"/>
                <w:szCs w:val="24"/>
                <w:lang w:val="el-GR"/>
              </w:rPr>
            </w:pPr>
          </w:p>
        </w:tc>
        <w:tc>
          <w:tcPr>
            <w:tcW w:w="7362" w:type="dxa"/>
            <w:gridSpan w:val="3"/>
            <w:shd w:val="clear" w:color="auto" w:fill="auto"/>
            <w:hideMark/>
          </w:tcPr>
          <w:p w14:paraId="7472A697" w14:textId="77777777" w:rsidR="0015443A" w:rsidRPr="006740F1" w:rsidRDefault="0015443A" w:rsidP="006740F1">
            <w:pPr>
              <w:spacing w:after="0" w:line="360" w:lineRule="auto"/>
              <w:jc w:val="both"/>
              <w:rPr>
                <w:rFonts w:ascii="Arial" w:eastAsia="Times New Roman" w:hAnsi="Arial" w:cs="Arial"/>
                <w:color w:val="000000"/>
                <w:sz w:val="24"/>
                <w:szCs w:val="24"/>
                <w:lang w:val="el-GR"/>
              </w:rPr>
            </w:pPr>
          </w:p>
        </w:tc>
      </w:tr>
      <w:tr w:rsidR="0015443A" w:rsidRPr="001370B7" w14:paraId="7C94B630" w14:textId="77777777" w:rsidTr="00766F45">
        <w:trPr>
          <w:trHeight w:val="507"/>
        </w:trPr>
        <w:tc>
          <w:tcPr>
            <w:tcW w:w="2027" w:type="dxa"/>
            <w:shd w:val="clear" w:color="auto" w:fill="auto"/>
            <w:hideMark/>
          </w:tcPr>
          <w:p w14:paraId="691690F1" w14:textId="77777777" w:rsidR="0015443A" w:rsidRDefault="0015443A" w:rsidP="006740F1">
            <w:pPr>
              <w:spacing w:after="0" w:line="360" w:lineRule="auto"/>
              <w:rPr>
                <w:rFonts w:ascii="Arial" w:eastAsia="Times New Roman" w:hAnsi="Arial" w:cs="Arial"/>
                <w:color w:val="000000"/>
                <w:sz w:val="24"/>
                <w:szCs w:val="24"/>
                <w:lang w:val="el-GR"/>
              </w:rPr>
            </w:pPr>
            <w:r w:rsidRPr="006740F1">
              <w:rPr>
                <w:rFonts w:ascii="Arial" w:eastAsia="Times New Roman" w:hAnsi="Arial" w:cs="Arial"/>
                <w:color w:val="000000"/>
                <w:sz w:val="24"/>
                <w:szCs w:val="24"/>
                <w:lang w:val="el-GR"/>
              </w:rPr>
              <w:t>Λειτουργοί υπεύθυνοι για την είσπραξη των εσόδων.</w:t>
            </w:r>
          </w:p>
          <w:p w14:paraId="1B26B3FD" w14:textId="77777777" w:rsidR="009D01B9" w:rsidRDefault="009D01B9" w:rsidP="006740F1">
            <w:pPr>
              <w:spacing w:after="0" w:line="360" w:lineRule="auto"/>
              <w:rPr>
                <w:rFonts w:ascii="Arial" w:eastAsia="Times New Roman" w:hAnsi="Arial" w:cs="Arial"/>
                <w:color w:val="000000"/>
                <w:sz w:val="24"/>
                <w:szCs w:val="24"/>
              </w:rPr>
            </w:pPr>
            <w:proofErr w:type="spellStart"/>
            <w:r w:rsidRPr="006740F1">
              <w:rPr>
                <w:rFonts w:ascii="Arial" w:eastAsia="Times New Roman" w:hAnsi="Arial" w:cs="Arial"/>
                <w:color w:val="000000"/>
                <w:sz w:val="24"/>
                <w:szCs w:val="24"/>
              </w:rPr>
              <w:t>Συμ</w:t>
            </w:r>
            <w:proofErr w:type="spellEnd"/>
            <w:r w:rsidRPr="006740F1">
              <w:rPr>
                <w:rFonts w:ascii="Arial" w:eastAsia="Times New Roman" w:hAnsi="Arial" w:cs="Arial"/>
                <w:color w:val="000000"/>
                <w:sz w:val="24"/>
                <w:szCs w:val="24"/>
              </w:rPr>
              <w:t>πλήρωμα.</w:t>
            </w:r>
          </w:p>
          <w:p w14:paraId="67384746" w14:textId="77777777" w:rsidR="009D01B9" w:rsidRDefault="009D01B9" w:rsidP="006740F1">
            <w:pPr>
              <w:spacing w:after="0" w:line="360" w:lineRule="auto"/>
              <w:rPr>
                <w:rFonts w:ascii="Arial" w:eastAsia="Times New Roman" w:hAnsi="Arial" w:cs="Arial"/>
                <w:color w:val="000000"/>
                <w:sz w:val="24"/>
                <w:szCs w:val="24"/>
              </w:rPr>
            </w:pPr>
            <w:proofErr w:type="spellStart"/>
            <w:r w:rsidRPr="006740F1">
              <w:rPr>
                <w:rFonts w:ascii="Arial" w:eastAsia="Times New Roman" w:hAnsi="Arial" w:cs="Arial"/>
                <w:color w:val="000000"/>
                <w:sz w:val="24"/>
                <w:szCs w:val="24"/>
              </w:rPr>
              <w:t>Δεύτερο</w:t>
            </w:r>
            <w:proofErr w:type="spellEnd"/>
          </w:p>
          <w:p w14:paraId="2B50FD07" w14:textId="0C991145" w:rsidR="009D01B9" w:rsidRPr="006740F1" w:rsidRDefault="009D01B9" w:rsidP="006740F1">
            <w:pPr>
              <w:spacing w:after="0" w:line="360" w:lineRule="auto"/>
              <w:rPr>
                <w:rFonts w:ascii="Arial" w:eastAsia="Times New Roman" w:hAnsi="Arial" w:cs="Arial"/>
                <w:color w:val="000000"/>
                <w:sz w:val="24"/>
                <w:szCs w:val="24"/>
                <w:lang w:val="el-GR"/>
              </w:rPr>
            </w:pPr>
            <w:proofErr w:type="spellStart"/>
            <w:r w:rsidRPr="006740F1">
              <w:rPr>
                <w:rFonts w:ascii="Arial" w:eastAsia="Times New Roman" w:hAnsi="Arial" w:cs="Arial"/>
                <w:color w:val="000000"/>
                <w:sz w:val="24"/>
                <w:szCs w:val="24"/>
              </w:rPr>
              <w:t>Μέρος</w:t>
            </w:r>
            <w:proofErr w:type="spellEnd"/>
            <w:r w:rsidRPr="006740F1">
              <w:rPr>
                <w:rFonts w:ascii="Arial" w:eastAsia="Times New Roman" w:hAnsi="Arial" w:cs="Arial"/>
                <w:color w:val="000000"/>
                <w:sz w:val="24"/>
                <w:szCs w:val="24"/>
              </w:rPr>
              <w:t>.</w:t>
            </w:r>
          </w:p>
        </w:tc>
        <w:tc>
          <w:tcPr>
            <w:tcW w:w="7362" w:type="dxa"/>
            <w:gridSpan w:val="3"/>
            <w:shd w:val="clear" w:color="auto" w:fill="auto"/>
            <w:hideMark/>
          </w:tcPr>
          <w:p w14:paraId="0E80C1BA" w14:textId="4564F70C" w:rsidR="0015443A" w:rsidRPr="006740F1" w:rsidRDefault="0015443A" w:rsidP="00C8384E">
            <w:pPr>
              <w:tabs>
                <w:tab w:val="left" w:pos="284"/>
                <w:tab w:val="left" w:pos="680"/>
              </w:tabs>
              <w:spacing w:after="0" w:line="360" w:lineRule="auto"/>
              <w:jc w:val="both"/>
              <w:rPr>
                <w:rFonts w:ascii="Arial" w:eastAsia="Times New Roman" w:hAnsi="Arial" w:cs="Arial"/>
                <w:color w:val="000000"/>
                <w:sz w:val="24"/>
                <w:szCs w:val="24"/>
                <w:lang w:val="el-GR"/>
              </w:rPr>
            </w:pPr>
            <w:r w:rsidRPr="009D01B9">
              <w:rPr>
                <w:rFonts w:ascii="Arial" w:eastAsia="Times New Roman" w:hAnsi="Arial" w:cs="Arial"/>
                <w:bCs/>
                <w:color w:val="000000"/>
                <w:sz w:val="24"/>
                <w:szCs w:val="24"/>
                <w:lang w:val="el-GR"/>
              </w:rPr>
              <w:t>17.</w:t>
            </w:r>
            <w:r w:rsidR="009D01B9">
              <w:rPr>
                <w:rFonts w:ascii="Arial" w:eastAsia="Times New Roman" w:hAnsi="Arial" w:cs="Arial"/>
                <w:bCs/>
                <w:color w:val="000000"/>
                <w:sz w:val="24"/>
                <w:szCs w:val="24"/>
                <w:lang w:val="el-GR"/>
              </w:rPr>
              <w:tab/>
            </w:r>
            <w:r w:rsidRPr="006740F1">
              <w:rPr>
                <w:rFonts w:ascii="Arial" w:eastAsia="Times New Roman" w:hAnsi="Arial" w:cs="Arial"/>
                <w:color w:val="000000"/>
                <w:sz w:val="24"/>
                <w:szCs w:val="24"/>
                <w:lang w:val="el-GR"/>
              </w:rPr>
              <w:t>Οι λειτουργοί που αναφέρονται στο Δεύτερο Μέρος του Συμπληρώματος ορίζονται ως οι λειτουργοί υπεύθυνοι για την είσπραξη των εσόδων της Αρχής Ηλεκτρισμού Κύπρου.</w:t>
            </w:r>
          </w:p>
        </w:tc>
      </w:tr>
    </w:tbl>
    <w:p w14:paraId="3EDD8522" w14:textId="77777777" w:rsidR="00321834" w:rsidRPr="00321834" w:rsidRDefault="00321834" w:rsidP="0057161B">
      <w:pPr>
        <w:tabs>
          <w:tab w:val="left" w:pos="1104"/>
        </w:tabs>
        <w:spacing w:after="0" w:line="360" w:lineRule="auto"/>
        <w:rPr>
          <w:rFonts w:ascii="Arial" w:hAnsi="Arial" w:cs="Arial"/>
          <w:sz w:val="10"/>
          <w:szCs w:val="10"/>
          <w:lang w:val="el-GR"/>
        </w:rPr>
      </w:pPr>
    </w:p>
    <w:p w14:paraId="5065ACB9" w14:textId="77777777" w:rsidR="005717B6" w:rsidRDefault="005717B6" w:rsidP="0057161B">
      <w:pPr>
        <w:tabs>
          <w:tab w:val="left" w:pos="1104"/>
        </w:tabs>
        <w:spacing w:after="0" w:line="360" w:lineRule="auto"/>
        <w:rPr>
          <w:rFonts w:ascii="Arial" w:hAnsi="Arial" w:cs="Arial"/>
          <w:sz w:val="20"/>
          <w:szCs w:val="20"/>
          <w:lang w:val="el-GR"/>
        </w:rPr>
      </w:pPr>
    </w:p>
    <w:p w14:paraId="0B8BF9F4" w14:textId="54FEDCB3" w:rsidR="007F77E2" w:rsidRPr="009D01B9" w:rsidRDefault="009D01B9" w:rsidP="0057161B">
      <w:pPr>
        <w:tabs>
          <w:tab w:val="left" w:pos="1104"/>
        </w:tabs>
        <w:spacing w:after="0" w:line="360" w:lineRule="auto"/>
        <w:rPr>
          <w:rFonts w:ascii="Arial" w:hAnsi="Arial" w:cs="Arial"/>
          <w:sz w:val="20"/>
          <w:szCs w:val="20"/>
          <w:lang w:val="el-GR"/>
        </w:rPr>
      </w:pPr>
      <w:r w:rsidRPr="009D01B9">
        <w:rPr>
          <w:rFonts w:ascii="Arial" w:hAnsi="Arial" w:cs="Arial"/>
          <w:sz w:val="20"/>
          <w:szCs w:val="20"/>
          <w:lang w:val="el-GR"/>
        </w:rPr>
        <w:t>Αρ. Φακ.: 23.01.063.028-2022</w:t>
      </w:r>
    </w:p>
    <w:p w14:paraId="11BD82F6" w14:textId="22BF3E7A" w:rsidR="009D01B9" w:rsidRPr="009D01B9" w:rsidRDefault="009D01B9" w:rsidP="0057161B">
      <w:pPr>
        <w:tabs>
          <w:tab w:val="left" w:pos="1104"/>
        </w:tabs>
        <w:spacing w:after="0" w:line="360" w:lineRule="auto"/>
        <w:rPr>
          <w:rFonts w:ascii="Arial" w:hAnsi="Arial" w:cs="Arial"/>
          <w:sz w:val="20"/>
          <w:szCs w:val="20"/>
          <w:lang w:val="el-GR"/>
        </w:rPr>
      </w:pPr>
      <w:r w:rsidRPr="009D01B9">
        <w:rPr>
          <w:rFonts w:ascii="Arial" w:hAnsi="Arial" w:cs="Arial"/>
          <w:sz w:val="20"/>
          <w:szCs w:val="20"/>
          <w:lang w:val="el-GR"/>
        </w:rPr>
        <w:t>ΠΧ/ΧΧ</w:t>
      </w:r>
    </w:p>
    <w:sectPr w:rsidR="009D01B9" w:rsidRPr="009D01B9" w:rsidSect="001370B7">
      <w:footerReference w:type="default" r:id="rId8"/>
      <w:pgSz w:w="11907" w:h="16839"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7836" w14:textId="77777777" w:rsidR="00703158" w:rsidRDefault="00703158" w:rsidP="00A41A91">
      <w:pPr>
        <w:spacing w:after="0" w:line="240" w:lineRule="auto"/>
      </w:pPr>
      <w:r>
        <w:separator/>
      </w:r>
    </w:p>
  </w:endnote>
  <w:endnote w:type="continuationSeparator" w:id="0">
    <w:p w14:paraId="6B9B8845" w14:textId="77777777" w:rsidR="00703158" w:rsidRDefault="00703158" w:rsidP="00A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512"/>
      <w:docPartObj>
        <w:docPartGallery w:val="Page Numbers (Bottom of Page)"/>
        <w:docPartUnique/>
      </w:docPartObj>
    </w:sdtPr>
    <w:sdtEndPr/>
    <w:sdtContent>
      <w:p w14:paraId="17F1DB98" w14:textId="5119932B" w:rsidR="00527AD8" w:rsidRDefault="00C723FD">
        <w:pPr>
          <w:pStyle w:val="Footer"/>
          <w:jc w:val="center"/>
        </w:pPr>
        <w:r>
          <w:rPr>
            <w:noProof/>
          </w:rPr>
          <w:fldChar w:fldCharType="begin"/>
        </w:r>
        <w:r w:rsidR="008555E4">
          <w:rPr>
            <w:noProof/>
          </w:rPr>
          <w:instrText xml:space="preserve"> PAGE   \* MERGEFORMAT </w:instrText>
        </w:r>
        <w:r>
          <w:rPr>
            <w:noProof/>
          </w:rPr>
          <w:fldChar w:fldCharType="separate"/>
        </w:r>
        <w:r w:rsidR="008957E2">
          <w:rPr>
            <w:noProof/>
          </w:rPr>
          <w:t>1</w:t>
        </w:r>
        <w:r>
          <w:rPr>
            <w:noProof/>
          </w:rPr>
          <w:fldChar w:fldCharType="end"/>
        </w:r>
      </w:p>
    </w:sdtContent>
  </w:sdt>
  <w:p w14:paraId="34820A25" w14:textId="77777777" w:rsidR="00527AD8" w:rsidRDefault="00527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8008" w14:textId="77777777" w:rsidR="00703158" w:rsidRDefault="00703158" w:rsidP="00A41A91">
      <w:pPr>
        <w:spacing w:after="0" w:line="240" w:lineRule="auto"/>
      </w:pPr>
      <w:r>
        <w:separator/>
      </w:r>
    </w:p>
  </w:footnote>
  <w:footnote w:type="continuationSeparator" w:id="0">
    <w:p w14:paraId="6B965FBC" w14:textId="77777777" w:rsidR="00703158" w:rsidRDefault="00703158" w:rsidP="00A4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2FE2"/>
    <w:multiLevelType w:val="hybridMultilevel"/>
    <w:tmpl w:val="57863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9C5"/>
    <w:rsid w:val="00016085"/>
    <w:rsid w:val="00073253"/>
    <w:rsid w:val="000734AE"/>
    <w:rsid w:val="00073AF2"/>
    <w:rsid w:val="0008323A"/>
    <w:rsid w:val="0009417F"/>
    <w:rsid w:val="00094834"/>
    <w:rsid w:val="000C271E"/>
    <w:rsid w:val="000D34CF"/>
    <w:rsid w:val="000D490C"/>
    <w:rsid w:val="000E2601"/>
    <w:rsid w:val="000F0B82"/>
    <w:rsid w:val="000F16F4"/>
    <w:rsid w:val="00102A66"/>
    <w:rsid w:val="001066C9"/>
    <w:rsid w:val="00110F93"/>
    <w:rsid w:val="00113131"/>
    <w:rsid w:val="001222D8"/>
    <w:rsid w:val="00126C89"/>
    <w:rsid w:val="00126DA8"/>
    <w:rsid w:val="001370B7"/>
    <w:rsid w:val="00140161"/>
    <w:rsid w:val="00147BDB"/>
    <w:rsid w:val="0015443A"/>
    <w:rsid w:val="001561F0"/>
    <w:rsid w:val="00157A60"/>
    <w:rsid w:val="0017616B"/>
    <w:rsid w:val="00191FB0"/>
    <w:rsid w:val="001A1DF9"/>
    <w:rsid w:val="001A5878"/>
    <w:rsid w:val="001A6670"/>
    <w:rsid w:val="001B1992"/>
    <w:rsid w:val="001C5571"/>
    <w:rsid w:val="001D7716"/>
    <w:rsid w:val="001F5E77"/>
    <w:rsid w:val="00201663"/>
    <w:rsid w:val="0021709A"/>
    <w:rsid w:val="00223CEC"/>
    <w:rsid w:val="00224382"/>
    <w:rsid w:val="00246B6B"/>
    <w:rsid w:val="00247115"/>
    <w:rsid w:val="002471F1"/>
    <w:rsid w:val="00254D74"/>
    <w:rsid w:val="00265C45"/>
    <w:rsid w:val="00266319"/>
    <w:rsid w:val="002777E6"/>
    <w:rsid w:val="00280EB4"/>
    <w:rsid w:val="0028531B"/>
    <w:rsid w:val="0028740A"/>
    <w:rsid w:val="0028785C"/>
    <w:rsid w:val="002C28F7"/>
    <w:rsid w:val="002C3A24"/>
    <w:rsid w:val="002C6348"/>
    <w:rsid w:val="002D49AA"/>
    <w:rsid w:val="002E2E3D"/>
    <w:rsid w:val="002E748A"/>
    <w:rsid w:val="002F1E4A"/>
    <w:rsid w:val="002F682F"/>
    <w:rsid w:val="00301453"/>
    <w:rsid w:val="0031078F"/>
    <w:rsid w:val="00320250"/>
    <w:rsid w:val="00321834"/>
    <w:rsid w:val="003256EC"/>
    <w:rsid w:val="003367EA"/>
    <w:rsid w:val="00344A89"/>
    <w:rsid w:val="00345F36"/>
    <w:rsid w:val="00347067"/>
    <w:rsid w:val="00353BAE"/>
    <w:rsid w:val="0035779E"/>
    <w:rsid w:val="00361C7D"/>
    <w:rsid w:val="003664BD"/>
    <w:rsid w:val="0037622B"/>
    <w:rsid w:val="003941D7"/>
    <w:rsid w:val="00394C93"/>
    <w:rsid w:val="003A321F"/>
    <w:rsid w:val="003B4671"/>
    <w:rsid w:val="003C5787"/>
    <w:rsid w:val="003E1954"/>
    <w:rsid w:val="003E7346"/>
    <w:rsid w:val="00401350"/>
    <w:rsid w:val="0040628A"/>
    <w:rsid w:val="0041590F"/>
    <w:rsid w:val="00436EA7"/>
    <w:rsid w:val="00445CF9"/>
    <w:rsid w:val="0044601A"/>
    <w:rsid w:val="0044675E"/>
    <w:rsid w:val="004500B4"/>
    <w:rsid w:val="00465993"/>
    <w:rsid w:val="00491B38"/>
    <w:rsid w:val="00493C5D"/>
    <w:rsid w:val="004A599F"/>
    <w:rsid w:val="004B5D44"/>
    <w:rsid w:val="004B67F3"/>
    <w:rsid w:val="004B71E4"/>
    <w:rsid w:val="004C234E"/>
    <w:rsid w:val="004C41A2"/>
    <w:rsid w:val="004C45ED"/>
    <w:rsid w:val="004C7B48"/>
    <w:rsid w:val="004E497E"/>
    <w:rsid w:val="004E7982"/>
    <w:rsid w:val="004F7CF3"/>
    <w:rsid w:val="005009FD"/>
    <w:rsid w:val="00503E8C"/>
    <w:rsid w:val="00503F45"/>
    <w:rsid w:val="00510902"/>
    <w:rsid w:val="00521286"/>
    <w:rsid w:val="00527AD8"/>
    <w:rsid w:val="00534EB0"/>
    <w:rsid w:val="00537A43"/>
    <w:rsid w:val="00542CB5"/>
    <w:rsid w:val="00545EC3"/>
    <w:rsid w:val="0055771A"/>
    <w:rsid w:val="00557E80"/>
    <w:rsid w:val="00561966"/>
    <w:rsid w:val="00567A80"/>
    <w:rsid w:val="0057161B"/>
    <w:rsid w:val="005717B6"/>
    <w:rsid w:val="00574D53"/>
    <w:rsid w:val="005820C6"/>
    <w:rsid w:val="0058580E"/>
    <w:rsid w:val="00594405"/>
    <w:rsid w:val="005A07C4"/>
    <w:rsid w:val="005B1B25"/>
    <w:rsid w:val="005B4120"/>
    <w:rsid w:val="005C3402"/>
    <w:rsid w:val="005C39BA"/>
    <w:rsid w:val="005C70D8"/>
    <w:rsid w:val="005D54DE"/>
    <w:rsid w:val="005E4825"/>
    <w:rsid w:val="006009C5"/>
    <w:rsid w:val="00607678"/>
    <w:rsid w:val="0061662C"/>
    <w:rsid w:val="00620BF4"/>
    <w:rsid w:val="006215A8"/>
    <w:rsid w:val="00645CCD"/>
    <w:rsid w:val="00671E21"/>
    <w:rsid w:val="00672D33"/>
    <w:rsid w:val="006740F1"/>
    <w:rsid w:val="006862B6"/>
    <w:rsid w:val="006902BC"/>
    <w:rsid w:val="00693EBD"/>
    <w:rsid w:val="006B2F51"/>
    <w:rsid w:val="006C28A1"/>
    <w:rsid w:val="006C5136"/>
    <w:rsid w:val="006C5E64"/>
    <w:rsid w:val="006D0F1D"/>
    <w:rsid w:val="006D2FB1"/>
    <w:rsid w:val="006E2084"/>
    <w:rsid w:val="006E2D9D"/>
    <w:rsid w:val="006E7335"/>
    <w:rsid w:val="006F2245"/>
    <w:rsid w:val="00703158"/>
    <w:rsid w:val="00710646"/>
    <w:rsid w:val="007234CA"/>
    <w:rsid w:val="00724CB0"/>
    <w:rsid w:val="00733FFD"/>
    <w:rsid w:val="0074132B"/>
    <w:rsid w:val="00742543"/>
    <w:rsid w:val="00742751"/>
    <w:rsid w:val="00755EFD"/>
    <w:rsid w:val="00766F45"/>
    <w:rsid w:val="00776900"/>
    <w:rsid w:val="00781483"/>
    <w:rsid w:val="00783BB1"/>
    <w:rsid w:val="00792F64"/>
    <w:rsid w:val="00794D2D"/>
    <w:rsid w:val="007A126D"/>
    <w:rsid w:val="007A269A"/>
    <w:rsid w:val="007B2BB2"/>
    <w:rsid w:val="007D11B0"/>
    <w:rsid w:val="007E64DA"/>
    <w:rsid w:val="007F77E2"/>
    <w:rsid w:val="008071F4"/>
    <w:rsid w:val="008117FF"/>
    <w:rsid w:val="008174FF"/>
    <w:rsid w:val="00821D4D"/>
    <w:rsid w:val="008257EA"/>
    <w:rsid w:val="00841658"/>
    <w:rsid w:val="0085001C"/>
    <w:rsid w:val="008555E4"/>
    <w:rsid w:val="008606E1"/>
    <w:rsid w:val="008673EB"/>
    <w:rsid w:val="00872B89"/>
    <w:rsid w:val="00885FD2"/>
    <w:rsid w:val="00886AC9"/>
    <w:rsid w:val="00893D6F"/>
    <w:rsid w:val="008957E2"/>
    <w:rsid w:val="008A2D83"/>
    <w:rsid w:val="008B00DF"/>
    <w:rsid w:val="008B0768"/>
    <w:rsid w:val="008C0DA9"/>
    <w:rsid w:val="008C4E13"/>
    <w:rsid w:val="008C5F8E"/>
    <w:rsid w:val="008C6E06"/>
    <w:rsid w:val="008D112B"/>
    <w:rsid w:val="008D5AEE"/>
    <w:rsid w:val="008D7C45"/>
    <w:rsid w:val="008E47BA"/>
    <w:rsid w:val="008F7536"/>
    <w:rsid w:val="00901D29"/>
    <w:rsid w:val="00904705"/>
    <w:rsid w:val="00904C55"/>
    <w:rsid w:val="00912518"/>
    <w:rsid w:val="00923BC1"/>
    <w:rsid w:val="00934907"/>
    <w:rsid w:val="00940C49"/>
    <w:rsid w:val="009414C6"/>
    <w:rsid w:val="00945FA3"/>
    <w:rsid w:val="00955B9B"/>
    <w:rsid w:val="009572A1"/>
    <w:rsid w:val="00975762"/>
    <w:rsid w:val="009A06A6"/>
    <w:rsid w:val="009B7EE5"/>
    <w:rsid w:val="009B7F6D"/>
    <w:rsid w:val="009C4461"/>
    <w:rsid w:val="009C4A43"/>
    <w:rsid w:val="009D01B9"/>
    <w:rsid w:val="009D11F4"/>
    <w:rsid w:val="009D659F"/>
    <w:rsid w:val="009E7B47"/>
    <w:rsid w:val="009F7CA5"/>
    <w:rsid w:val="00A11B6D"/>
    <w:rsid w:val="00A13002"/>
    <w:rsid w:val="00A13A66"/>
    <w:rsid w:val="00A14086"/>
    <w:rsid w:val="00A16B1F"/>
    <w:rsid w:val="00A26033"/>
    <w:rsid w:val="00A3432B"/>
    <w:rsid w:val="00A36494"/>
    <w:rsid w:val="00A37E4F"/>
    <w:rsid w:val="00A41A91"/>
    <w:rsid w:val="00A4453F"/>
    <w:rsid w:val="00A517BC"/>
    <w:rsid w:val="00A525EB"/>
    <w:rsid w:val="00A638D1"/>
    <w:rsid w:val="00A642EC"/>
    <w:rsid w:val="00A65F40"/>
    <w:rsid w:val="00A7062B"/>
    <w:rsid w:val="00A757B6"/>
    <w:rsid w:val="00A80D2C"/>
    <w:rsid w:val="00A86F22"/>
    <w:rsid w:val="00A94C3E"/>
    <w:rsid w:val="00AA7050"/>
    <w:rsid w:val="00AB0C14"/>
    <w:rsid w:val="00AB3A62"/>
    <w:rsid w:val="00AB3C6A"/>
    <w:rsid w:val="00AB79AB"/>
    <w:rsid w:val="00AC6037"/>
    <w:rsid w:val="00AE27AC"/>
    <w:rsid w:val="00AE5003"/>
    <w:rsid w:val="00AF50EA"/>
    <w:rsid w:val="00AF64BD"/>
    <w:rsid w:val="00B031C6"/>
    <w:rsid w:val="00B07579"/>
    <w:rsid w:val="00B15B58"/>
    <w:rsid w:val="00B337AA"/>
    <w:rsid w:val="00B41BBB"/>
    <w:rsid w:val="00B41E3E"/>
    <w:rsid w:val="00B4695C"/>
    <w:rsid w:val="00B65B69"/>
    <w:rsid w:val="00B73362"/>
    <w:rsid w:val="00B838EE"/>
    <w:rsid w:val="00BA2752"/>
    <w:rsid w:val="00BA2C89"/>
    <w:rsid w:val="00BA5F2E"/>
    <w:rsid w:val="00BB2354"/>
    <w:rsid w:val="00BC1843"/>
    <w:rsid w:val="00BC1F63"/>
    <w:rsid w:val="00BC4F1D"/>
    <w:rsid w:val="00BD2793"/>
    <w:rsid w:val="00BD5D51"/>
    <w:rsid w:val="00BD7760"/>
    <w:rsid w:val="00BE44AE"/>
    <w:rsid w:val="00C14C9B"/>
    <w:rsid w:val="00C14DAE"/>
    <w:rsid w:val="00C25745"/>
    <w:rsid w:val="00C307EE"/>
    <w:rsid w:val="00C318B6"/>
    <w:rsid w:val="00C47F76"/>
    <w:rsid w:val="00C53F0D"/>
    <w:rsid w:val="00C618C1"/>
    <w:rsid w:val="00C643C7"/>
    <w:rsid w:val="00C67F86"/>
    <w:rsid w:val="00C723FD"/>
    <w:rsid w:val="00C836E0"/>
    <w:rsid w:val="00C8384E"/>
    <w:rsid w:val="00C842FD"/>
    <w:rsid w:val="00C919A9"/>
    <w:rsid w:val="00CB70A1"/>
    <w:rsid w:val="00CE23CC"/>
    <w:rsid w:val="00CF6510"/>
    <w:rsid w:val="00D05349"/>
    <w:rsid w:val="00D164E6"/>
    <w:rsid w:val="00D24003"/>
    <w:rsid w:val="00D41F43"/>
    <w:rsid w:val="00D52A0D"/>
    <w:rsid w:val="00D54AD4"/>
    <w:rsid w:val="00D54ED2"/>
    <w:rsid w:val="00D704EF"/>
    <w:rsid w:val="00D7187B"/>
    <w:rsid w:val="00D7338A"/>
    <w:rsid w:val="00D82A58"/>
    <w:rsid w:val="00D948BB"/>
    <w:rsid w:val="00D96211"/>
    <w:rsid w:val="00DA1E95"/>
    <w:rsid w:val="00DA4529"/>
    <w:rsid w:val="00DA5C00"/>
    <w:rsid w:val="00DA7D83"/>
    <w:rsid w:val="00DB7661"/>
    <w:rsid w:val="00DD2536"/>
    <w:rsid w:val="00DD4D15"/>
    <w:rsid w:val="00DD5458"/>
    <w:rsid w:val="00DD5E11"/>
    <w:rsid w:val="00DE0715"/>
    <w:rsid w:val="00E11303"/>
    <w:rsid w:val="00E115B3"/>
    <w:rsid w:val="00E21BF8"/>
    <w:rsid w:val="00E22A1D"/>
    <w:rsid w:val="00E33A3C"/>
    <w:rsid w:val="00E35CCE"/>
    <w:rsid w:val="00E43C40"/>
    <w:rsid w:val="00E44515"/>
    <w:rsid w:val="00E47926"/>
    <w:rsid w:val="00E53B98"/>
    <w:rsid w:val="00E64957"/>
    <w:rsid w:val="00E64EFA"/>
    <w:rsid w:val="00E84C68"/>
    <w:rsid w:val="00EA1DE3"/>
    <w:rsid w:val="00EA1F01"/>
    <w:rsid w:val="00EB6201"/>
    <w:rsid w:val="00EC37BC"/>
    <w:rsid w:val="00ED2216"/>
    <w:rsid w:val="00ED2254"/>
    <w:rsid w:val="00ED29B3"/>
    <w:rsid w:val="00ED2D6D"/>
    <w:rsid w:val="00ED5564"/>
    <w:rsid w:val="00EE6E38"/>
    <w:rsid w:val="00F03BCC"/>
    <w:rsid w:val="00F114A8"/>
    <w:rsid w:val="00F11D9E"/>
    <w:rsid w:val="00F159BC"/>
    <w:rsid w:val="00F27EC3"/>
    <w:rsid w:val="00F324BF"/>
    <w:rsid w:val="00F362F7"/>
    <w:rsid w:val="00F42601"/>
    <w:rsid w:val="00F510E8"/>
    <w:rsid w:val="00F706AF"/>
    <w:rsid w:val="00F717C0"/>
    <w:rsid w:val="00F935FA"/>
    <w:rsid w:val="00F9787F"/>
    <w:rsid w:val="00FA6B30"/>
    <w:rsid w:val="00FB53A1"/>
    <w:rsid w:val="00FB6213"/>
    <w:rsid w:val="00FD6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1B"/>
  <w15:docId w15:val="{A86510D5-88FC-4CF7-9B85-7A78DD9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1A91"/>
  </w:style>
  <w:style w:type="paragraph" w:styleId="Footer">
    <w:name w:val="footer"/>
    <w:basedOn w:val="Normal"/>
    <w:link w:val="FooterChar"/>
    <w:uiPriority w:val="99"/>
    <w:unhideWhenUsed/>
    <w:rsid w:val="00A41A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A91"/>
  </w:style>
  <w:style w:type="character" w:styleId="LineNumber">
    <w:name w:val="line number"/>
    <w:basedOn w:val="DefaultParagraphFont"/>
    <w:uiPriority w:val="99"/>
    <w:semiHidden/>
    <w:unhideWhenUsed/>
    <w:rsid w:val="00DB7661"/>
  </w:style>
  <w:style w:type="paragraph" w:styleId="ListParagraph">
    <w:name w:val="List Paragraph"/>
    <w:basedOn w:val="Normal"/>
    <w:uiPriority w:val="34"/>
    <w:qFormat/>
    <w:rsid w:val="00B15B58"/>
    <w:pPr>
      <w:ind w:left="720"/>
      <w:contextualSpacing/>
    </w:pPr>
  </w:style>
  <w:style w:type="paragraph" w:styleId="BalloonText">
    <w:name w:val="Balloon Text"/>
    <w:basedOn w:val="Normal"/>
    <w:link w:val="BalloonTextChar"/>
    <w:uiPriority w:val="99"/>
    <w:semiHidden/>
    <w:unhideWhenUsed/>
    <w:rsid w:val="008D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B"/>
    <w:rPr>
      <w:rFonts w:ascii="Segoe UI" w:hAnsi="Segoe UI" w:cs="Segoe UI"/>
      <w:sz w:val="18"/>
      <w:szCs w:val="18"/>
    </w:rPr>
  </w:style>
  <w:style w:type="character" w:customStyle="1" w:styleId="FontStyle11">
    <w:name w:val="Font Style11"/>
    <w:basedOn w:val="DefaultParagraphFont"/>
    <w:uiPriority w:val="99"/>
    <w:rsid w:val="008117FF"/>
    <w:rPr>
      <w:rFonts w:ascii="Arial" w:hAnsi="Arial" w:cs="Arial"/>
      <w:sz w:val="20"/>
      <w:szCs w:val="20"/>
    </w:rPr>
  </w:style>
  <w:style w:type="paragraph" w:customStyle="1" w:styleId="Style7">
    <w:name w:val="Style7"/>
    <w:basedOn w:val="Normal"/>
    <w:uiPriority w:val="99"/>
    <w:rsid w:val="008117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DefaultParagraphFont"/>
    <w:uiPriority w:val="99"/>
    <w:rsid w:val="008117FF"/>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8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790C-EB02-4FED-B812-0A2F43FA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11</Pages>
  <Words>2573</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e79839</dc:creator>
  <cp:lastModifiedBy>Christou Panagiotis</cp:lastModifiedBy>
  <cp:revision>228</cp:revision>
  <cp:lastPrinted>2022-02-22T08:01:00Z</cp:lastPrinted>
  <dcterms:created xsi:type="dcterms:W3CDTF">2015-08-28T05:42:00Z</dcterms:created>
  <dcterms:modified xsi:type="dcterms:W3CDTF">2022-02-23T06:21:00Z</dcterms:modified>
</cp:coreProperties>
</file>