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3F1A3" w14:textId="57954DCF" w:rsidR="00FF7C41" w:rsidRPr="00FF7C41" w:rsidRDefault="00FF7C41" w:rsidP="00FF7C41">
      <w:pPr>
        <w:tabs>
          <w:tab w:val="left" w:pos="284"/>
          <w:tab w:val="left" w:pos="567"/>
        </w:tabs>
        <w:spacing w:line="360" w:lineRule="auto"/>
        <w:jc w:val="center"/>
        <w:rPr>
          <w:rFonts w:ascii="Arial" w:hAnsi="Arial" w:cs="Arial"/>
          <w:sz w:val="24"/>
          <w:szCs w:val="24"/>
          <w:lang w:val="el-GR"/>
        </w:rPr>
      </w:pPr>
      <w:r w:rsidRPr="00FF7C41">
        <w:rPr>
          <w:rFonts w:ascii="Arial" w:hAnsi="Arial" w:cs="Arial"/>
          <w:sz w:val="24"/>
          <w:szCs w:val="24"/>
          <w:lang w:val="el-GR"/>
        </w:rPr>
        <w:t>ΝΟΜΟΣ ΠΟΥ ΠΡΟΒΛΕΠΕΙ ΓΙΑ ΤΟΝ ΠΡΟΥΠΟΛΟΓΙΣΜΟ ΤΗΣ ΑΡΧΗΣ ΠΑΙΓΝΙΩΝ ΚΑΙ ΕΠΟΠΤΕΙΑΣ ΚΑΖΙΝΟΥ ΚΥΠΡΟΥ ΓΙΑ ΤΟ ΟΙΚΟΝΟΜΙΚΟ ΕΤΟΣ ΠΟΥ ΛΗΓΕΙ ΤΗΝ ΤΡΙΑΚΟΣΤΗ ΠΡΩΤΗ ΔΕΚΕΜΒΡΙΟΥ ΤΟΥ ΔΥΟ ΧΙΛΙΑΔΕΣ ΕΙΚΟΣΙ ΔΥΟ</w:t>
      </w:r>
    </w:p>
    <w:p w14:paraId="27FD4896" w14:textId="77777777" w:rsidR="00FF7C41" w:rsidRPr="00FF7C41" w:rsidRDefault="00FF7C41" w:rsidP="00FF7C41">
      <w:pPr>
        <w:jc w:val="center"/>
        <w:rPr>
          <w:rFonts w:ascii="Arial" w:hAnsi="Arial" w:cs="Arial"/>
          <w:sz w:val="24"/>
          <w:szCs w:val="24"/>
          <w:lang w:val="el-GR"/>
        </w:rPr>
      </w:pPr>
    </w:p>
    <w:tbl>
      <w:tblPr>
        <w:tblW w:w="0" w:type="auto"/>
        <w:tblLayout w:type="fixed"/>
        <w:tblLook w:val="0000" w:firstRow="0" w:lastRow="0" w:firstColumn="0" w:lastColumn="0" w:noHBand="0" w:noVBand="0"/>
      </w:tblPr>
      <w:tblGrid>
        <w:gridCol w:w="2245"/>
        <w:gridCol w:w="7265"/>
      </w:tblGrid>
      <w:tr w:rsidR="007955DF" w:rsidRPr="00FD3303" w14:paraId="6683BA2E" w14:textId="77777777" w:rsidTr="00966E4E">
        <w:trPr>
          <w:trHeight w:val="517"/>
        </w:trPr>
        <w:tc>
          <w:tcPr>
            <w:tcW w:w="2245" w:type="dxa"/>
          </w:tcPr>
          <w:p w14:paraId="31D10046"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Προοίμιο.</w:t>
            </w:r>
          </w:p>
          <w:p w14:paraId="154DF8BA" w14:textId="77777777" w:rsidR="00FF7C41" w:rsidRDefault="007955DF" w:rsidP="00FF7C41">
            <w:pPr>
              <w:tabs>
                <w:tab w:val="left" w:pos="284"/>
                <w:tab w:val="left" w:pos="567"/>
              </w:tabs>
              <w:spacing w:line="360" w:lineRule="auto"/>
              <w:ind w:right="113"/>
              <w:jc w:val="right"/>
              <w:rPr>
                <w:rFonts w:ascii="Arial" w:hAnsi="Arial" w:cs="Arial"/>
                <w:sz w:val="24"/>
                <w:szCs w:val="24"/>
                <w:lang w:val="el-GR"/>
              </w:rPr>
            </w:pPr>
            <w:r w:rsidRPr="00FF7C41">
              <w:rPr>
                <w:rFonts w:ascii="Arial" w:hAnsi="Arial" w:cs="Arial"/>
                <w:sz w:val="24"/>
                <w:szCs w:val="24"/>
                <w:lang w:val="el-GR"/>
              </w:rPr>
              <w:t>20(Ι) του 2014</w:t>
            </w:r>
          </w:p>
          <w:p w14:paraId="4CE42515" w14:textId="77777777" w:rsidR="00FF7C41" w:rsidRDefault="007955DF" w:rsidP="00FF7C41">
            <w:pPr>
              <w:tabs>
                <w:tab w:val="left" w:pos="284"/>
                <w:tab w:val="left" w:pos="567"/>
              </w:tabs>
              <w:spacing w:line="360" w:lineRule="auto"/>
              <w:ind w:right="113"/>
              <w:jc w:val="right"/>
              <w:rPr>
                <w:rFonts w:ascii="Arial" w:hAnsi="Arial" w:cs="Arial"/>
                <w:sz w:val="24"/>
                <w:szCs w:val="24"/>
                <w:lang w:val="el-GR"/>
              </w:rPr>
            </w:pPr>
            <w:r w:rsidRPr="00FF7C41">
              <w:rPr>
                <w:rFonts w:ascii="Arial" w:hAnsi="Arial" w:cs="Arial"/>
                <w:sz w:val="24"/>
                <w:szCs w:val="24"/>
                <w:lang w:val="el-GR"/>
              </w:rPr>
              <w:t>123(Ι) του 2016</w:t>
            </w:r>
          </w:p>
          <w:p w14:paraId="4F041BD3" w14:textId="77777777" w:rsidR="00FF7C41" w:rsidRDefault="007955DF" w:rsidP="00FF7C41">
            <w:pPr>
              <w:tabs>
                <w:tab w:val="left" w:pos="284"/>
                <w:tab w:val="left" w:pos="567"/>
              </w:tabs>
              <w:spacing w:line="360" w:lineRule="auto"/>
              <w:ind w:right="113"/>
              <w:jc w:val="right"/>
              <w:rPr>
                <w:rFonts w:ascii="Arial" w:hAnsi="Arial" w:cs="Arial"/>
                <w:sz w:val="24"/>
                <w:szCs w:val="24"/>
                <w:lang w:val="el-GR"/>
              </w:rPr>
            </w:pPr>
            <w:r w:rsidRPr="00FF7C41">
              <w:rPr>
                <w:rFonts w:ascii="Arial" w:hAnsi="Arial" w:cs="Arial"/>
                <w:sz w:val="24"/>
                <w:szCs w:val="24"/>
                <w:lang w:val="el-GR"/>
              </w:rPr>
              <w:t>133(Ι) του 2016</w:t>
            </w:r>
          </w:p>
          <w:p w14:paraId="1CBA7AE2" w14:textId="38F2A080" w:rsidR="007955DF" w:rsidRPr="00FF7C41" w:rsidRDefault="007955DF" w:rsidP="00FF7C41">
            <w:pPr>
              <w:tabs>
                <w:tab w:val="left" w:pos="284"/>
                <w:tab w:val="left" w:pos="567"/>
              </w:tabs>
              <w:spacing w:line="360" w:lineRule="auto"/>
              <w:ind w:right="57"/>
              <w:jc w:val="right"/>
              <w:rPr>
                <w:rFonts w:ascii="Arial" w:hAnsi="Arial" w:cs="Arial"/>
                <w:sz w:val="24"/>
                <w:szCs w:val="24"/>
                <w:lang w:val="el-GR"/>
              </w:rPr>
            </w:pPr>
            <w:r w:rsidRPr="00FF7C41">
              <w:rPr>
                <w:rFonts w:ascii="Arial" w:hAnsi="Arial" w:cs="Arial"/>
                <w:sz w:val="24"/>
                <w:szCs w:val="24"/>
                <w:lang w:val="el-GR"/>
              </w:rPr>
              <w:t>159(Ι) του 2017.</w:t>
            </w:r>
          </w:p>
        </w:tc>
        <w:tc>
          <w:tcPr>
            <w:tcW w:w="7265" w:type="dxa"/>
          </w:tcPr>
          <w:p w14:paraId="288A8E59" w14:textId="6034607C" w:rsidR="007955DF" w:rsidRPr="00FF7C41" w:rsidRDefault="00FF7C41" w:rsidP="00FF7C41">
            <w:pPr>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7955DF" w:rsidRPr="00FF7C41">
              <w:rPr>
                <w:rFonts w:ascii="Arial" w:hAnsi="Arial" w:cs="Arial"/>
                <w:sz w:val="24"/>
                <w:szCs w:val="24"/>
                <w:lang w:val="el-GR"/>
              </w:rPr>
              <w:t xml:space="preserve">ΕΠΕΙΔΗ, με βάση το άρθρο 104 του περί της Δημοσιονομικής Ευθύνης και του Δημοσιονομικού Πλαισίου Νόμου, ο ετήσιος προϋπολογισμός των κρατικών οργανισμών και κάθε αναθεωρημένος προϋπολογισμός αυτού, καταρτίζονται και κατατίθενται στη Βουλή των Αντιπροσώπων για ψήφιση κατά τον τρόπο και τη διαδικασία που αναφέρονται σε αυτόν, </w:t>
            </w:r>
          </w:p>
        </w:tc>
      </w:tr>
      <w:tr w:rsidR="00FF7C41" w:rsidRPr="00FD3303" w14:paraId="5D1859DC" w14:textId="77777777" w:rsidTr="00966E4E">
        <w:trPr>
          <w:trHeight w:val="517"/>
        </w:trPr>
        <w:tc>
          <w:tcPr>
            <w:tcW w:w="2245" w:type="dxa"/>
          </w:tcPr>
          <w:p w14:paraId="049ADCF3" w14:textId="77777777" w:rsidR="00FF7C41" w:rsidRPr="00FF7C41" w:rsidRDefault="00FF7C41" w:rsidP="00FF7C41">
            <w:pPr>
              <w:tabs>
                <w:tab w:val="left" w:pos="284"/>
                <w:tab w:val="left" w:pos="567"/>
              </w:tabs>
              <w:spacing w:line="360" w:lineRule="auto"/>
              <w:rPr>
                <w:rFonts w:ascii="Arial" w:hAnsi="Arial" w:cs="Arial"/>
                <w:sz w:val="24"/>
                <w:szCs w:val="24"/>
                <w:lang w:val="el-GR"/>
              </w:rPr>
            </w:pPr>
          </w:p>
        </w:tc>
        <w:tc>
          <w:tcPr>
            <w:tcW w:w="7265" w:type="dxa"/>
          </w:tcPr>
          <w:p w14:paraId="441B0EEC" w14:textId="77777777" w:rsidR="00FF7C41" w:rsidRDefault="00FF7C41" w:rsidP="00FF7C41">
            <w:pPr>
              <w:tabs>
                <w:tab w:val="left" w:pos="284"/>
                <w:tab w:val="left" w:pos="567"/>
              </w:tabs>
              <w:spacing w:line="360" w:lineRule="auto"/>
              <w:jc w:val="both"/>
              <w:rPr>
                <w:rFonts w:ascii="Arial" w:hAnsi="Arial" w:cs="Arial"/>
                <w:sz w:val="24"/>
                <w:szCs w:val="24"/>
                <w:lang w:val="el-GR"/>
              </w:rPr>
            </w:pPr>
          </w:p>
        </w:tc>
      </w:tr>
      <w:tr w:rsidR="007955DF" w:rsidRPr="00FD3303" w14:paraId="20245A05" w14:textId="77777777" w:rsidTr="00966E4E">
        <w:trPr>
          <w:trHeight w:val="517"/>
        </w:trPr>
        <w:tc>
          <w:tcPr>
            <w:tcW w:w="2245" w:type="dxa"/>
          </w:tcPr>
          <w:p w14:paraId="668A6C59"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676B72EA" w14:textId="5912F964" w:rsidR="007955DF" w:rsidRPr="00FD3303" w:rsidRDefault="00FF7C41" w:rsidP="00FF7C41">
            <w:pPr>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7955DF" w:rsidRPr="00FF7C41">
              <w:rPr>
                <w:rFonts w:ascii="Arial" w:hAnsi="Arial" w:cs="Arial"/>
                <w:sz w:val="24"/>
                <w:szCs w:val="24"/>
                <w:lang w:val="el-GR"/>
              </w:rPr>
              <w:t>ΚΑΙ ΕΠΕΙΔΗ</w:t>
            </w:r>
            <w:r>
              <w:rPr>
                <w:rFonts w:ascii="Arial" w:hAnsi="Arial" w:cs="Arial"/>
                <w:sz w:val="24"/>
                <w:szCs w:val="24"/>
                <w:lang w:val="el-GR"/>
              </w:rPr>
              <w:t>,</w:t>
            </w:r>
            <w:r w:rsidR="007955DF" w:rsidRPr="00FF7C41">
              <w:rPr>
                <w:rFonts w:ascii="Arial" w:hAnsi="Arial" w:cs="Arial"/>
                <w:sz w:val="24"/>
                <w:szCs w:val="24"/>
                <w:lang w:val="el-GR"/>
              </w:rPr>
              <w:t xml:space="preserve"> είναι αναγκαία η πρόβλεψη για εκείνες τις δαπάνες της Αρχής Παιγνίων και Εποπτείας Καζίνου Κύπρου για το έτος που λήγει την 31</w:t>
            </w:r>
            <w:r w:rsidR="007955DF" w:rsidRPr="00FF7C41">
              <w:rPr>
                <w:rFonts w:ascii="Arial" w:hAnsi="Arial" w:cs="Arial"/>
                <w:sz w:val="24"/>
                <w:szCs w:val="24"/>
                <w:vertAlign w:val="superscript"/>
                <w:lang w:val="el-GR"/>
              </w:rPr>
              <w:t>η</w:t>
            </w:r>
            <w:r w:rsidR="007955DF" w:rsidRPr="00FF7C41">
              <w:rPr>
                <w:rFonts w:ascii="Arial" w:hAnsi="Arial" w:cs="Arial"/>
                <w:sz w:val="24"/>
                <w:szCs w:val="24"/>
                <w:lang w:val="el-GR"/>
              </w:rPr>
              <w:t xml:space="preserve"> Δεκεμβρίου 202</w:t>
            </w:r>
            <w:r w:rsidR="00DD225E" w:rsidRPr="00FF7C41">
              <w:rPr>
                <w:rFonts w:ascii="Arial" w:hAnsi="Arial" w:cs="Arial"/>
                <w:sz w:val="24"/>
                <w:szCs w:val="24"/>
                <w:lang w:val="el-GR"/>
              </w:rPr>
              <w:t>2</w:t>
            </w:r>
            <w:r w:rsidR="007955DF" w:rsidRPr="00FF7C41">
              <w:rPr>
                <w:rFonts w:ascii="Arial" w:hAnsi="Arial" w:cs="Arial"/>
                <w:sz w:val="24"/>
                <w:szCs w:val="24"/>
                <w:lang w:val="el-GR"/>
              </w:rPr>
              <w:t xml:space="preserve"> για τις οποίες δεν έχει ήδη γίνει πρόβλεψη ή δεν θα γίνει αργότερα από οποιονδήποτε Νόμο</w:t>
            </w:r>
            <w:r w:rsidR="00FD3303" w:rsidRPr="00FD3303">
              <w:rPr>
                <w:rFonts w:ascii="Arial" w:hAnsi="Arial" w:cs="Arial"/>
                <w:sz w:val="24"/>
                <w:szCs w:val="24"/>
                <w:lang w:val="el-GR"/>
              </w:rPr>
              <w:t>,</w:t>
            </w:r>
          </w:p>
        </w:tc>
      </w:tr>
      <w:tr w:rsidR="00FF7C41" w:rsidRPr="00FD3303" w14:paraId="3E8764CC" w14:textId="77777777" w:rsidTr="00966E4E">
        <w:trPr>
          <w:trHeight w:val="517"/>
        </w:trPr>
        <w:tc>
          <w:tcPr>
            <w:tcW w:w="2245" w:type="dxa"/>
          </w:tcPr>
          <w:p w14:paraId="3E62A40B" w14:textId="77777777" w:rsidR="00FF7C41" w:rsidRPr="00FF7C41" w:rsidRDefault="00FF7C41" w:rsidP="00FF7C41">
            <w:pPr>
              <w:tabs>
                <w:tab w:val="left" w:pos="284"/>
                <w:tab w:val="left" w:pos="567"/>
              </w:tabs>
              <w:spacing w:line="360" w:lineRule="auto"/>
              <w:rPr>
                <w:rFonts w:ascii="Arial" w:hAnsi="Arial" w:cs="Arial"/>
                <w:sz w:val="24"/>
                <w:szCs w:val="24"/>
                <w:lang w:val="el-GR"/>
              </w:rPr>
            </w:pPr>
          </w:p>
        </w:tc>
        <w:tc>
          <w:tcPr>
            <w:tcW w:w="7265" w:type="dxa"/>
          </w:tcPr>
          <w:p w14:paraId="693C048C" w14:textId="77777777" w:rsidR="00FF7C41" w:rsidRDefault="00FF7C41" w:rsidP="00FF7C41">
            <w:pPr>
              <w:tabs>
                <w:tab w:val="left" w:pos="284"/>
                <w:tab w:val="left" w:pos="567"/>
              </w:tabs>
              <w:spacing w:line="360" w:lineRule="auto"/>
              <w:jc w:val="both"/>
              <w:rPr>
                <w:rFonts w:ascii="Arial" w:hAnsi="Arial" w:cs="Arial"/>
                <w:sz w:val="24"/>
                <w:szCs w:val="24"/>
                <w:lang w:val="el-GR"/>
              </w:rPr>
            </w:pPr>
          </w:p>
        </w:tc>
      </w:tr>
      <w:tr w:rsidR="007955DF" w:rsidRPr="00FD3303" w14:paraId="155BE672" w14:textId="77777777" w:rsidTr="00966E4E">
        <w:trPr>
          <w:trHeight w:val="517"/>
        </w:trPr>
        <w:tc>
          <w:tcPr>
            <w:tcW w:w="2245" w:type="dxa"/>
          </w:tcPr>
          <w:p w14:paraId="2D9E3195"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251AEF52" w14:textId="731A6B5A" w:rsidR="007955DF" w:rsidRPr="00FF7C41" w:rsidRDefault="00FF7C41" w:rsidP="00FF7C41">
            <w:pPr>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Γ</w:t>
            </w:r>
            <w:r w:rsidR="00AB6745" w:rsidRPr="00FF7C41">
              <w:rPr>
                <w:rFonts w:ascii="Arial" w:hAnsi="Arial" w:cs="Arial"/>
                <w:sz w:val="24"/>
                <w:szCs w:val="24"/>
                <w:lang w:val="el-GR"/>
              </w:rPr>
              <w:t>ια όλους τους πιο πάνω λόγους, η</w:t>
            </w:r>
            <w:r w:rsidR="007955DF" w:rsidRPr="00FF7C41">
              <w:rPr>
                <w:rFonts w:ascii="Arial" w:hAnsi="Arial" w:cs="Arial"/>
                <w:sz w:val="24"/>
                <w:szCs w:val="24"/>
                <w:lang w:val="el-GR"/>
              </w:rPr>
              <w:t xml:space="preserve"> Βουλή των Αντιπροσώπων ψηφίζει ως ακολούθως:</w:t>
            </w:r>
          </w:p>
        </w:tc>
      </w:tr>
      <w:tr w:rsidR="00FF7C41" w:rsidRPr="00FD3303" w14:paraId="2F24D141" w14:textId="77777777" w:rsidTr="00966E4E">
        <w:trPr>
          <w:trHeight w:val="517"/>
        </w:trPr>
        <w:tc>
          <w:tcPr>
            <w:tcW w:w="2245" w:type="dxa"/>
          </w:tcPr>
          <w:p w14:paraId="3AB6D6F9" w14:textId="77777777" w:rsidR="00FF7C41" w:rsidRPr="00FF7C41" w:rsidRDefault="00FF7C41" w:rsidP="00FF7C41">
            <w:pPr>
              <w:tabs>
                <w:tab w:val="left" w:pos="284"/>
                <w:tab w:val="left" w:pos="567"/>
              </w:tabs>
              <w:spacing w:line="360" w:lineRule="auto"/>
              <w:rPr>
                <w:rFonts w:ascii="Arial" w:hAnsi="Arial" w:cs="Arial"/>
                <w:sz w:val="24"/>
                <w:szCs w:val="24"/>
                <w:lang w:val="el-GR"/>
              </w:rPr>
            </w:pPr>
          </w:p>
        </w:tc>
        <w:tc>
          <w:tcPr>
            <w:tcW w:w="7265" w:type="dxa"/>
          </w:tcPr>
          <w:p w14:paraId="1361EF44" w14:textId="77777777" w:rsidR="00FF7C41" w:rsidRDefault="00FF7C41" w:rsidP="00FF7C41">
            <w:pPr>
              <w:tabs>
                <w:tab w:val="left" w:pos="284"/>
                <w:tab w:val="left" w:pos="567"/>
              </w:tabs>
              <w:spacing w:line="360" w:lineRule="auto"/>
              <w:jc w:val="both"/>
              <w:rPr>
                <w:rFonts w:ascii="Arial" w:hAnsi="Arial" w:cs="Arial"/>
                <w:sz w:val="24"/>
                <w:szCs w:val="24"/>
                <w:lang w:val="el-GR"/>
              </w:rPr>
            </w:pPr>
          </w:p>
        </w:tc>
      </w:tr>
      <w:tr w:rsidR="007955DF" w:rsidRPr="00FD3303" w14:paraId="2D8C4AC9" w14:textId="77777777" w:rsidTr="00966E4E">
        <w:trPr>
          <w:trHeight w:val="517"/>
        </w:trPr>
        <w:tc>
          <w:tcPr>
            <w:tcW w:w="2245" w:type="dxa"/>
          </w:tcPr>
          <w:p w14:paraId="01A46C19"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 xml:space="preserve">Συνοπτικός </w:t>
            </w:r>
          </w:p>
          <w:p w14:paraId="1BD3B5E7"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τίτλος.</w:t>
            </w:r>
          </w:p>
          <w:p w14:paraId="23F628F3"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1A7C4C6A" w14:textId="3E9139EB" w:rsidR="007955DF" w:rsidRPr="00FF7C41" w:rsidRDefault="007955DF" w:rsidP="00FF7C41">
            <w:pPr>
              <w:tabs>
                <w:tab w:val="left" w:pos="284"/>
                <w:tab w:val="left" w:pos="567"/>
              </w:tabs>
              <w:spacing w:line="360" w:lineRule="auto"/>
              <w:jc w:val="both"/>
              <w:rPr>
                <w:rFonts w:ascii="Arial" w:hAnsi="Arial" w:cs="Arial"/>
                <w:sz w:val="24"/>
                <w:szCs w:val="24"/>
                <w:lang w:val="el-GR"/>
              </w:rPr>
            </w:pPr>
            <w:r w:rsidRPr="00FF7C41">
              <w:rPr>
                <w:rFonts w:ascii="Arial" w:hAnsi="Arial" w:cs="Arial"/>
                <w:sz w:val="24"/>
                <w:szCs w:val="24"/>
                <w:lang w:val="el-GR"/>
              </w:rPr>
              <w:t>1.</w:t>
            </w:r>
            <w:r w:rsidR="00FF7C41">
              <w:rPr>
                <w:rFonts w:ascii="Arial" w:hAnsi="Arial" w:cs="Arial"/>
                <w:sz w:val="24"/>
                <w:szCs w:val="24"/>
                <w:lang w:val="el-GR"/>
              </w:rPr>
              <w:tab/>
            </w:r>
            <w:r w:rsidRPr="00FF7C41">
              <w:rPr>
                <w:rFonts w:ascii="Arial" w:hAnsi="Arial" w:cs="Arial"/>
                <w:sz w:val="24"/>
                <w:szCs w:val="24"/>
                <w:lang w:val="el-GR"/>
              </w:rPr>
              <w:tab/>
              <w:t>Ο παρών Νόμος θα αναφέρεται ως ο περί Προϋπολογισμού της</w:t>
            </w:r>
            <w:r w:rsidR="00584A4B">
              <w:rPr>
                <w:rFonts w:ascii="Arial" w:hAnsi="Arial" w:cs="Arial"/>
                <w:sz w:val="24"/>
                <w:szCs w:val="24"/>
                <w:lang w:val="el-GR"/>
              </w:rPr>
              <w:t xml:space="preserve"> </w:t>
            </w:r>
            <w:r w:rsidRPr="00FF7C41">
              <w:rPr>
                <w:rFonts w:ascii="Arial" w:hAnsi="Arial" w:cs="Arial"/>
                <w:sz w:val="24"/>
                <w:szCs w:val="24"/>
                <w:lang w:val="el-GR"/>
              </w:rPr>
              <w:t>Αρχής Παιγνίων και Εποπτείας Καζίνου Κύπρου του 202</w:t>
            </w:r>
            <w:r w:rsidR="00DD225E" w:rsidRPr="00FF7C41">
              <w:rPr>
                <w:rFonts w:ascii="Arial" w:hAnsi="Arial" w:cs="Arial"/>
                <w:sz w:val="24"/>
                <w:szCs w:val="24"/>
                <w:lang w:val="el-GR"/>
              </w:rPr>
              <w:t>2</w:t>
            </w:r>
            <w:r w:rsidRPr="00FF7C41">
              <w:rPr>
                <w:rFonts w:ascii="Arial" w:hAnsi="Arial" w:cs="Arial"/>
                <w:sz w:val="24"/>
                <w:szCs w:val="24"/>
                <w:lang w:val="el-GR"/>
              </w:rPr>
              <w:t xml:space="preserve"> Νόμος του 202</w:t>
            </w:r>
            <w:r w:rsidR="00371F42" w:rsidRPr="00371F42">
              <w:rPr>
                <w:rFonts w:ascii="Arial" w:hAnsi="Arial" w:cs="Arial"/>
                <w:sz w:val="24"/>
                <w:szCs w:val="24"/>
                <w:lang w:val="el-GR"/>
              </w:rPr>
              <w:t>2</w:t>
            </w:r>
            <w:r w:rsidRPr="00FF7C41">
              <w:rPr>
                <w:rFonts w:ascii="Arial" w:hAnsi="Arial" w:cs="Arial"/>
                <w:sz w:val="24"/>
                <w:szCs w:val="24"/>
                <w:lang w:val="el-GR"/>
              </w:rPr>
              <w:t>,</w:t>
            </w:r>
          </w:p>
        </w:tc>
      </w:tr>
      <w:tr w:rsidR="00FF7C41" w:rsidRPr="00FD3303" w14:paraId="3E59817D" w14:textId="77777777" w:rsidTr="00966E4E">
        <w:trPr>
          <w:trHeight w:val="517"/>
        </w:trPr>
        <w:tc>
          <w:tcPr>
            <w:tcW w:w="2245" w:type="dxa"/>
          </w:tcPr>
          <w:p w14:paraId="326621AA" w14:textId="77777777" w:rsidR="00FF7C41" w:rsidRPr="00FF7C41" w:rsidRDefault="00FF7C41" w:rsidP="00FF7C41">
            <w:pPr>
              <w:tabs>
                <w:tab w:val="left" w:pos="284"/>
                <w:tab w:val="left" w:pos="567"/>
              </w:tabs>
              <w:spacing w:line="360" w:lineRule="auto"/>
              <w:rPr>
                <w:rFonts w:ascii="Arial" w:hAnsi="Arial" w:cs="Arial"/>
                <w:sz w:val="24"/>
                <w:szCs w:val="24"/>
                <w:lang w:val="el-GR"/>
              </w:rPr>
            </w:pPr>
          </w:p>
        </w:tc>
        <w:tc>
          <w:tcPr>
            <w:tcW w:w="7265" w:type="dxa"/>
          </w:tcPr>
          <w:p w14:paraId="13264609" w14:textId="77777777" w:rsidR="00FF7C41" w:rsidRPr="00FF7C41" w:rsidRDefault="00FF7C41" w:rsidP="00FF7C41">
            <w:pPr>
              <w:tabs>
                <w:tab w:val="left" w:pos="284"/>
                <w:tab w:val="left" w:pos="567"/>
              </w:tabs>
              <w:spacing w:line="360" w:lineRule="auto"/>
              <w:jc w:val="both"/>
              <w:rPr>
                <w:rFonts w:ascii="Arial" w:hAnsi="Arial" w:cs="Arial"/>
                <w:sz w:val="24"/>
                <w:szCs w:val="24"/>
                <w:lang w:val="el-GR"/>
              </w:rPr>
            </w:pPr>
          </w:p>
        </w:tc>
      </w:tr>
      <w:tr w:rsidR="007955DF" w:rsidRPr="00FD3303" w14:paraId="72E11CFA" w14:textId="77777777" w:rsidTr="00966E4E">
        <w:trPr>
          <w:trHeight w:val="517"/>
        </w:trPr>
        <w:tc>
          <w:tcPr>
            <w:tcW w:w="2245" w:type="dxa"/>
          </w:tcPr>
          <w:p w14:paraId="013AC952" w14:textId="77777777" w:rsidR="00584A4B"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 xml:space="preserve">Έγκριση πληρωμής από </w:t>
            </w:r>
          </w:p>
          <w:p w14:paraId="65DDC18A" w14:textId="44B13ADD" w:rsidR="007955DF" w:rsidRPr="00FF7C41" w:rsidRDefault="007955DF" w:rsidP="00584A4B">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το Ταμείο της Αρχής Παιγνίων και Εποπτείας Καζίνου Κύπρου ποσού ύψους €</w:t>
            </w:r>
            <w:r w:rsidR="000E18B2" w:rsidRPr="00FF7C41">
              <w:rPr>
                <w:rFonts w:ascii="Arial" w:hAnsi="Arial" w:cs="Arial"/>
                <w:sz w:val="24"/>
                <w:szCs w:val="24"/>
                <w:lang w:val="el-GR"/>
              </w:rPr>
              <w:t>2.896.290</w:t>
            </w:r>
            <w:r w:rsidRPr="00FF7C41">
              <w:rPr>
                <w:rFonts w:ascii="Arial" w:hAnsi="Arial" w:cs="Arial"/>
                <w:sz w:val="24"/>
                <w:szCs w:val="24"/>
                <w:lang w:val="el-GR"/>
              </w:rPr>
              <w:t xml:space="preserve"> για τη χρήση του έτους </w:t>
            </w:r>
            <w:r w:rsidRPr="00FF7C41">
              <w:rPr>
                <w:rFonts w:ascii="Arial" w:hAnsi="Arial" w:cs="Arial"/>
                <w:sz w:val="24"/>
                <w:szCs w:val="24"/>
                <w:lang w:val="el-GR"/>
              </w:rPr>
              <w:lastRenderedPageBreak/>
              <w:t>που λήγει την 31</w:t>
            </w:r>
            <w:r w:rsidRPr="00FF7C41">
              <w:rPr>
                <w:rFonts w:ascii="Arial" w:hAnsi="Arial" w:cs="Arial"/>
                <w:sz w:val="24"/>
                <w:szCs w:val="24"/>
                <w:vertAlign w:val="superscript"/>
                <w:lang w:val="el-GR"/>
              </w:rPr>
              <w:t>η</w:t>
            </w:r>
            <w:r w:rsidRPr="00FF7C41">
              <w:rPr>
                <w:rFonts w:ascii="Arial" w:hAnsi="Arial" w:cs="Arial"/>
                <w:sz w:val="24"/>
                <w:szCs w:val="24"/>
                <w:lang w:val="el-GR"/>
              </w:rPr>
              <w:t xml:space="preserve"> Δεκεμβρίου 202</w:t>
            </w:r>
            <w:r w:rsidR="00DD225E" w:rsidRPr="00FF7C41">
              <w:rPr>
                <w:rFonts w:ascii="Arial" w:hAnsi="Arial" w:cs="Arial"/>
                <w:sz w:val="24"/>
                <w:szCs w:val="24"/>
                <w:lang w:val="el-GR"/>
              </w:rPr>
              <w:t>2</w:t>
            </w:r>
            <w:r w:rsidRPr="00FF7C41">
              <w:rPr>
                <w:rFonts w:ascii="Arial" w:hAnsi="Arial" w:cs="Arial"/>
                <w:sz w:val="24"/>
                <w:szCs w:val="24"/>
                <w:lang w:val="el-GR"/>
              </w:rPr>
              <w:t>.</w:t>
            </w:r>
          </w:p>
        </w:tc>
        <w:tc>
          <w:tcPr>
            <w:tcW w:w="7265" w:type="dxa"/>
          </w:tcPr>
          <w:p w14:paraId="0E5BCD56" w14:textId="5AE8CE28" w:rsidR="007955DF" w:rsidRPr="00FF7C41" w:rsidRDefault="007955DF" w:rsidP="00584A4B">
            <w:pPr>
              <w:tabs>
                <w:tab w:val="left" w:pos="284"/>
                <w:tab w:val="left" w:pos="567"/>
              </w:tabs>
              <w:spacing w:line="360" w:lineRule="auto"/>
              <w:jc w:val="both"/>
              <w:rPr>
                <w:rFonts w:ascii="Arial" w:hAnsi="Arial" w:cs="Arial"/>
                <w:sz w:val="24"/>
                <w:szCs w:val="24"/>
                <w:lang w:val="el-GR"/>
              </w:rPr>
            </w:pPr>
            <w:r w:rsidRPr="00FF7C41">
              <w:rPr>
                <w:rFonts w:ascii="Arial" w:hAnsi="Arial" w:cs="Arial"/>
                <w:sz w:val="24"/>
                <w:szCs w:val="24"/>
                <w:lang w:val="el-GR"/>
              </w:rPr>
              <w:lastRenderedPageBreak/>
              <w:t>2.</w:t>
            </w:r>
            <w:r w:rsidR="00FF7C41">
              <w:rPr>
                <w:rFonts w:ascii="Arial" w:hAnsi="Arial" w:cs="Arial"/>
                <w:sz w:val="24"/>
                <w:szCs w:val="24"/>
                <w:lang w:val="el-GR"/>
              </w:rPr>
              <w:tab/>
            </w:r>
            <w:r w:rsidR="00FF7C41">
              <w:rPr>
                <w:rFonts w:ascii="Arial" w:hAnsi="Arial" w:cs="Arial"/>
                <w:sz w:val="24"/>
                <w:szCs w:val="24"/>
                <w:lang w:val="el-GR"/>
              </w:rPr>
              <w:tab/>
            </w:r>
            <w:r w:rsidRPr="00FF7C41">
              <w:rPr>
                <w:rFonts w:ascii="Arial" w:hAnsi="Arial" w:cs="Arial"/>
                <w:sz w:val="24"/>
                <w:szCs w:val="24"/>
                <w:lang w:val="el-GR"/>
              </w:rPr>
              <w:t>Επιπροσθέτως των ποσών που έχουν ήδη προϋπολογισ</w:t>
            </w:r>
            <w:r w:rsidR="00584A4B">
              <w:rPr>
                <w:rFonts w:ascii="Arial" w:hAnsi="Arial" w:cs="Arial"/>
                <w:sz w:val="24"/>
                <w:szCs w:val="24"/>
                <w:lang w:val="el-GR"/>
              </w:rPr>
              <w:t>θ</w:t>
            </w:r>
            <w:r w:rsidRPr="00FF7C41">
              <w:rPr>
                <w:rFonts w:ascii="Arial" w:hAnsi="Arial" w:cs="Arial"/>
                <w:sz w:val="24"/>
                <w:szCs w:val="24"/>
                <w:lang w:val="el-GR"/>
              </w:rPr>
              <w:t>εί νόμιμα για τη χρήση της Αρχής Παιγνίων και Εποπτείας Καζίνου Κύπρου ή που θα προϋπολογισ</w:t>
            </w:r>
            <w:r w:rsidR="00371F42">
              <w:rPr>
                <w:rFonts w:ascii="Arial" w:hAnsi="Arial" w:cs="Arial"/>
                <w:sz w:val="24"/>
                <w:szCs w:val="24"/>
                <w:lang w:val="el-GR"/>
              </w:rPr>
              <w:t>θ</w:t>
            </w:r>
            <w:r w:rsidRPr="00FF7C41">
              <w:rPr>
                <w:rFonts w:ascii="Arial" w:hAnsi="Arial" w:cs="Arial"/>
                <w:sz w:val="24"/>
                <w:szCs w:val="24"/>
                <w:lang w:val="el-GR"/>
              </w:rPr>
              <w:t xml:space="preserve">ούν αργότερα νόμιμα για τη χρήση αυτή, εγκρίνεται όπως πληρωθεί από το Ταμείο της Αρχής Παιγνίων και Εποπτείας Καζίνου Κύπρου και χρησιμοποιηθεί για τη χρήση </w:t>
            </w:r>
            <w:r w:rsidR="00275432">
              <w:rPr>
                <w:rFonts w:ascii="Arial" w:hAnsi="Arial" w:cs="Arial"/>
                <w:sz w:val="24"/>
                <w:szCs w:val="24"/>
                <w:lang w:val="el-GR"/>
              </w:rPr>
              <w:t xml:space="preserve">του έτους που λήγει </w:t>
            </w:r>
            <w:r w:rsidRPr="00FF7C41">
              <w:rPr>
                <w:rFonts w:ascii="Arial" w:hAnsi="Arial" w:cs="Arial"/>
                <w:sz w:val="24"/>
                <w:szCs w:val="24"/>
                <w:lang w:val="el-GR"/>
              </w:rPr>
              <w:t>την 31</w:t>
            </w:r>
            <w:r w:rsidRPr="00FF7C41">
              <w:rPr>
                <w:rFonts w:ascii="Arial" w:hAnsi="Arial" w:cs="Arial"/>
                <w:sz w:val="24"/>
                <w:szCs w:val="24"/>
                <w:vertAlign w:val="superscript"/>
                <w:lang w:val="el-GR"/>
              </w:rPr>
              <w:t>η</w:t>
            </w:r>
            <w:r w:rsidRPr="00FF7C41">
              <w:rPr>
                <w:rFonts w:ascii="Arial" w:hAnsi="Arial" w:cs="Arial"/>
                <w:sz w:val="24"/>
                <w:szCs w:val="24"/>
                <w:lang w:val="el-GR"/>
              </w:rPr>
              <w:t xml:space="preserve"> Δεκεμβρίου 202</w:t>
            </w:r>
            <w:r w:rsidR="00DD225E" w:rsidRPr="00FF7C41">
              <w:rPr>
                <w:rFonts w:ascii="Arial" w:hAnsi="Arial" w:cs="Arial"/>
                <w:sz w:val="24"/>
                <w:szCs w:val="24"/>
                <w:lang w:val="el-GR"/>
              </w:rPr>
              <w:t>2</w:t>
            </w:r>
            <w:r w:rsidRPr="00FF7C41">
              <w:rPr>
                <w:rFonts w:ascii="Arial" w:hAnsi="Arial" w:cs="Arial"/>
                <w:sz w:val="24"/>
                <w:szCs w:val="24"/>
                <w:lang w:val="el-GR"/>
              </w:rPr>
              <w:t xml:space="preserve">, ποσό που δεν υπερβαίνει τα </w:t>
            </w:r>
            <w:r w:rsidR="000E18B2" w:rsidRPr="00FF7C41">
              <w:rPr>
                <w:rFonts w:ascii="Arial" w:hAnsi="Arial" w:cs="Arial"/>
                <w:sz w:val="24"/>
                <w:szCs w:val="24"/>
                <w:lang w:val="el-GR"/>
              </w:rPr>
              <w:t>δύο</w:t>
            </w:r>
            <w:r w:rsidR="00AA4C51" w:rsidRPr="00FF7C41">
              <w:rPr>
                <w:rFonts w:ascii="Arial" w:hAnsi="Arial" w:cs="Arial"/>
                <w:sz w:val="24"/>
                <w:szCs w:val="24"/>
                <w:lang w:val="el-GR"/>
              </w:rPr>
              <w:t xml:space="preserve"> </w:t>
            </w:r>
            <w:r w:rsidRPr="00FF7C41">
              <w:rPr>
                <w:rFonts w:ascii="Arial" w:hAnsi="Arial" w:cs="Arial"/>
                <w:sz w:val="24"/>
                <w:szCs w:val="24"/>
                <w:lang w:val="el-GR"/>
              </w:rPr>
              <w:t xml:space="preserve">εκατομμύρια </w:t>
            </w:r>
            <w:r w:rsidR="000E18B2" w:rsidRPr="00FF7C41">
              <w:rPr>
                <w:rFonts w:ascii="Arial" w:hAnsi="Arial" w:cs="Arial"/>
                <w:sz w:val="24"/>
                <w:szCs w:val="24"/>
                <w:lang w:val="el-GR"/>
              </w:rPr>
              <w:t>οκτακόσι</w:t>
            </w:r>
            <w:r w:rsidR="00584A4B">
              <w:rPr>
                <w:rFonts w:ascii="Arial" w:hAnsi="Arial" w:cs="Arial"/>
                <w:sz w:val="24"/>
                <w:szCs w:val="24"/>
                <w:lang w:val="el-GR"/>
              </w:rPr>
              <w:t>ες</w:t>
            </w:r>
            <w:r w:rsidR="000E18B2" w:rsidRPr="00FF7C41">
              <w:rPr>
                <w:rFonts w:ascii="Arial" w:hAnsi="Arial" w:cs="Arial"/>
                <w:sz w:val="24"/>
                <w:szCs w:val="24"/>
                <w:lang w:val="el-GR"/>
              </w:rPr>
              <w:t xml:space="preserve"> ενενήντα έξι</w:t>
            </w:r>
            <w:r w:rsidRPr="00FF7C41">
              <w:rPr>
                <w:rFonts w:ascii="Arial" w:hAnsi="Arial" w:cs="Arial"/>
                <w:sz w:val="24"/>
                <w:szCs w:val="24"/>
                <w:lang w:val="el-GR"/>
              </w:rPr>
              <w:t xml:space="preserve"> χιλιάδες </w:t>
            </w:r>
            <w:r w:rsidR="000E18B2" w:rsidRPr="00FF7C41">
              <w:rPr>
                <w:rFonts w:ascii="Arial" w:hAnsi="Arial" w:cs="Arial"/>
                <w:sz w:val="24"/>
                <w:szCs w:val="24"/>
                <w:lang w:val="el-GR"/>
              </w:rPr>
              <w:t>διακόσια ενενήντα</w:t>
            </w:r>
            <w:r w:rsidRPr="00FF7C41">
              <w:rPr>
                <w:rFonts w:ascii="Arial" w:hAnsi="Arial" w:cs="Arial"/>
                <w:sz w:val="24"/>
                <w:szCs w:val="24"/>
                <w:lang w:val="el-GR"/>
              </w:rPr>
              <w:t xml:space="preserve"> ευρώ για την κάλυψη των δαπανών της Αρχής Παιγνίων και Εποπτείας Καζίνου Κύπρου για την περίοδο αυτή.</w:t>
            </w:r>
          </w:p>
        </w:tc>
      </w:tr>
      <w:tr w:rsidR="00584A4B" w:rsidRPr="00FD3303" w14:paraId="709B553D" w14:textId="77777777" w:rsidTr="00966E4E">
        <w:trPr>
          <w:trHeight w:val="517"/>
        </w:trPr>
        <w:tc>
          <w:tcPr>
            <w:tcW w:w="2245" w:type="dxa"/>
          </w:tcPr>
          <w:p w14:paraId="246FE1B4" w14:textId="77777777" w:rsidR="00584A4B" w:rsidRPr="00FF7C41" w:rsidRDefault="00584A4B" w:rsidP="00FF7C41">
            <w:pPr>
              <w:tabs>
                <w:tab w:val="left" w:pos="284"/>
                <w:tab w:val="left" w:pos="567"/>
              </w:tabs>
              <w:spacing w:line="360" w:lineRule="auto"/>
              <w:rPr>
                <w:rFonts w:ascii="Arial" w:hAnsi="Arial" w:cs="Arial"/>
                <w:sz w:val="24"/>
                <w:szCs w:val="24"/>
                <w:lang w:val="el-GR"/>
              </w:rPr>
            </w:pPr>
          </w:p>
        </w:tc>
        <w:tc>
          <w:tcPr>
            <w:tcW w:w="7265" w:type="dxa"/>
          </w:tcPr>
          <w:p w14:paraId="73326D63" w14:textId="77777777" w:rsidR="00584A4B" w:rsidRPr="00FF7C41" w:rsidRDefault="00584A4B" w:rsidP="00584A4B">
            <w:pPr>
              <w:tabs>
                <w:tab w:val="left" w:pos="284"/>
                <w:tab w:val="left" w:pos="567"/>
              </w:tabs>
              <w:spacing w:line="360" w:lineRule="auto"/>
              <w:jc w:val="both"/>
              <w:rPr>
                <w:rFonts w:ascii="Arial" w:hAnsi="Arial" w:cs="Arial"/>
                <w:sz w:val="24"/>
                <w:szCs w:val="24"/>
                <w:lang w:val="el-GR"/>
              </w:rPr>
            </w:pPr>
          </w:p>
        </w:tc>
      </w:tr>
      <w:tr w:rsidR="007955DF" w:rsidRPr="00FD3303" w14:paraId="2B24C3EC" w14:textId="77777777" w:rsidTr="00966E4E">
        <w:trPr>
          <w:trHeight w:val="517"/>
        </w:trPr>
        <w:tc>
          <w:tcPr>
            <w:tcW w:w="2245" w:type="dxa"/>
          </w:tcPr>
          <w:p w14:paraId="4121A0A0"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Ειδίκευση των ποσών που θα δαπανηθούν.</w:t>
            </w:r>
          </w:p>
          <w:p w14:paraId="421BF311"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 xml:space="preserve">Πρώτος </w:t>
            </w:r>
          </w:p>
          <w:p w14:paraId="45489DF4"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Πίνακας.</w:t>
            </w:r>
          </w:p>
          <w:p w14:paraId="0DE07E1F"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785334FD" w14:textId="5DDAC45A" w:rsidR="007955DF" w:rsidRPr="00FF7C41" w:rsidRDefault="007955DF" w:rsidP="00FF7C41">
            <w:pPr>
              <w:tabs>
                <w:tab w:val="left" w:pos="284"/>
                <w:tab w:val="left" w:pos="567"/>
              </w:tabs>
              <w:spacing w:line="360" w:lineRule="auto"/>
              <w:jc w:val="both"/>
              <w:rPr>
                <w:rFonts w:ascii="Arial" w:hAnsi="Arial" w:cs="Arial"/>
                <w:sz w:val="24"/>
                <w:szCs w:val="24"/>
                <w:lang w:val="el-GR"/>
              </w:rPr>
            </w:pPr>
            <w:r w:rsidRPr="00FF7C41">
              <w:rPr>
                <w:rFonts w:ascii="Arial" w:hAnsi="Arial" w:cs="Arial"/>
                <w:sz w:val="24"/>
                <w:szCs w:val="24"/>
                <w:lang w:val="el-GR"/>
              </w:rPr>
              <w:t>3.</w:t>
            </w:r>
            <w:r w:rsidR="00584A4B">
              <w:rPr>
                <w:rFonts w:ascii="Arial" w:hAnsi="Arial" w:cs="Arial"/>
                <w:sz w:val="24"/>
                <w:szCs w:val="24"/>
                <w:lang w:val="el-GR"/>
              </w:rPr>
              <w:tab/>
            </w:r>
            <w:r w:rsidRPr="00FF7C41">
              <w:rPr>
                <w:rFonts w:ascii="Arial" w:hAnsi="Arial" w:cs="Arial"/>
                <w:sz w:val="24"/>
                <w:szCs w:val="24"/>
                <w:lang w:val="el-GR"/>
              </w:rPr>
              <w:tab/>
              <w:t xml:space="preserve">Το ποσό που εγκρίνεται, δυνάμει των διατάξεων του άρθρου 2, χορηγείται ως ειδικευμένη πίστωση για τις υπηρεσίες και τους σκοπούς που αναφέρονται στο Δελτίο Δαπανών </w:t>
            </w:r>
            <w:r w:rsidR="000E1EE4">
              <w:rPr>
                <w:rFonts w:ascii="Arial" w:hAnsi="Arial" w:cs="Arial"/>
                <w:sz w:val="24"/>
                <w:szCs w:val="24"/>
                <w:lang w:val="el-GR"/>
              </w:rPr>
              <w:t xml:space="preserve">του </w:t>
            </w:r>
            <w:r w:rsidRPr="00FF7C41">
              <w:rPr>
                <w:rFonts w:ascii="Arial" w:hAnsi="Arial" w:cs="Arial"/>
                <w:sz w:val="24"/>
                <w:szCs w:val="24"/>
                <w:lang w:val="el-GR"/>
              </w:rPr>
              <w:t>Πρώτο</w:t>
            </w:r>
            <w:r w:rsidR="000E1EE4">
              <w:rPr>
                <w:rFonts w:ascii="Arial" w:hAnsi="Arial" w:cs="Arial"/>
                <w:sz w:val="24"/>
                <w:szCs w:val="24"/>
                <w:lang w:val="el-GR"/>
              </w:rPr>
              <w:t>υ</w:t>
            </w:r>
            <w:r w:rsidRPr="00FF7C41">
              <w:rPr>
                <w:rFonts w:ascii="Arial" w:hAnsi="Arial" w:cs="Arial"/>
                <w:sz w:val="24"/>
                <w:szCs w:val="24"/>
                <w:lang w:val="el-GR"/>
              </w:rPr>
              <w:t xml:space="preserve"> Πίνακα.  </w:t>
            </w:r>
          </w:p>
        </w:tc>
      </w:tr>
      <w:tr w:rsidR="007955DF" w:rsidRPr="00FD3303" w14:paraId="0DD0EB67" w14:textId="77777777" w:rsidTr="00966E4E">
        <w:trPr>
          <w:trHeight w:val="517"/>
        </w:trPr>
        <w:tc>
          <w:tcPr>
            <w:tcW w:w="2245" w:type="dxa"/>
          </w:tcPr>
          <w:p w14:paraId="3C7D11DF"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Χρησιμοποίηση του περισσεύματος ορισμένων άρθρων για την κάλυψη του ελλείμματος άλλων άρθρων κάτω από το ίδιο Κεφάλαιο.</w:t>
            </w:r>
          </w:p>
          <w:p w14:paraId="25236963"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Πρώτος</w:t>
            </w:r>
          </w:p>
          <w:p w14:paraId="5A8EB87B"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Πίνακας.</w:t>
            </w:r>
          </w:p>
          <w:p w14:paraId="30482565"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6053E6FA" w14:textId="15521163" w:rsidR="007955DF" w:rsidRPr="00FF7C41" w:rsidRDefault="007955DF" w:rsidP="00584A4B">
            <w:pPr>
              <w:tabs>
                <w:tab w:val="left" w:pos="284"/>
                <w:tab w:val="left" w:pos="567"/>
              </w:tabs>
              <w:spacing w:line="360" w:lineRule="auto"/>
              <w:jc w:val="both"/>
              <w:rPr>
                <w:rFonts w:ascii="Arial" w:hAnsi="Arial" w:cs="Arial"/>
                <w:sz w:val="24"/>
                <w:szCs w:val="24"/>
                <w:lang w:val="el-GR"/>
              </w:rPr>
            </w:pPr>
            <w:r w:rsidRPr="00FF7C41">
              <w:rPr>
                <w:rFonts w:ascii="Arial" w:hAnsi="Arial" w:cs="Arial"/>
                <w:sz w:val="24"/>
                <w:szCs w:val="24"/>
                <w:lang w:val="el-GR"/>
              </w:rPr>
              <w:t>4.-(1)</w:t>
            </w:r>
            <w:r w:rsidR="00584A4B">
              <w:rPr>
                <w:rFonts w:ascii="Arial" w:hAnsi="Arial" w:cs="Arial"/>
                <w:sz w:val="24"/>
                <w:szCs w:val="24"/>
                <w:lang w:val="el-GR"/>
              </w:rPr>
              <w:tab/>
            </w:r>
            <w:r w:rsidRPr="00FF7C41">
              <w:rPr>
                <w:rFonts w:ascii="Arial" w:hAnsi="Arial" w:cs="Arial"/>
                <w:sz w:val="24"/>
                <w:szCs w:val="24"/>
                <w:lang w:val="el-GR"/>
              </w:rPr>
              <w:t xml:space="preserve">Τηρουμένων των διατάξεων της πρώτης επιφύλαξης, εφόσον το ολικό ποσό που θα δαπανηθεί για τις υπηρεσίες και τους σκοπούς που αναφέρονται και εξειδικεύονται, αντίστοιχα, κάτω από </w:t>
            </w:r>
            <w:r w:rsidR="00D920B4">
              <w:rPr>
                <w:rFonts w:ascii="Arial" w:hAnsi="Arial" w:cs="Arial"/>
                <w:sz w:val="24"/>
                <w:szCs w:val="24"/>
                <w:lang w:val="el-GR"/>
              </w:rPr>
              <w:t xml:space="preserve">τα άρθρα κάθε ομάδας δαπανών </w:t>
            </w:r>
            <w:r w:rsidRPr="00FF7C41">
              <w:rPr>
                <w:rFonts w:ascii="Arial" w:hAnsi="Arial" w:cs="Arial"/>
                <w:sz w:val="24"/>
                <w:szCs w:val="24"/>
                <w:lang w:val="el-GR"/>
              </w:rPr>
              <w:t>στον Πρώτο Πίνακα</w:t>
            </w:r>
            <w:r w:rsidR="00D920B4">
              <w:rPr>
                <w:rFonts w:ascii="Arial" w:hAnsi="Arial" w:cs="Arial"/>
                <w:sz w:val="24"/>
                <w:szCs w:val="24"/>
                <w:lang w:val="el-GR"/>
              </w:rPr>
              <w:t>,</w:t>
            </w:r>
            <w:r w:rsidRPr="00FF7C41">
              <w:rPr>
                <w:rFonts w:ascii="Arial" w:hAnsi="Arial" w:cs="Arial"/>
                <w:sz w:val="24"/>
                <w:szCs w:val="24"/>
                <w:lang w:val="el-GR"/>
              </w:rPr>
              <w:t xml:space="preserve"> δεν υπερβ</w:t>
            </w:r>
            <w:r w:rsidR="00D920B4">
              <w:rPr>
                <w:rFonts w:ascii="Arial" w:hAnsi="Arial" w:cs="Arial"/>
                <w:sz w:val="24"/>
                <w:szCs w:val="24"/>
                <w:lang w:val="el-GR"/>
              </w:rPr>
              <w:t xml:space="preserve">αίνει </w:t>
            </w:r>
            <w:r w:rsidRPr="00FF7C41">
              <w:rPr>
                <w:rFonts w:ascii="Arial" w:hAnsi="Arial" w:cs="Arial"/>
                <w:sz w:val="24"/>
                <w:szCs w:val="24"/>
                <w:lang w:val="el-GR"/>
              </w:rPr>
              <w:t>το ολικό ποσό που χορηγείται με τον παρόντα Νόμο ως ειδικευμένη πίστωση για τις εν λόγω υπηρεσίες και σκοπούς, αντίστοιχα, οποιοδήποτε περίσσευμα προκύπτει από οποιοδήποτε άρθρο για τις εν λόγω υπηρεσίες και σκοπούς είτε από την εξοικονόμηση δαπανών</w:t>
            </w:r>
            <w:r w:rsidR="00D920B4">
              <w:rPr>
                <w:rFonts w:ascii="Arial" w:hAnsi="Arial" w:cs="Arial"/>
                <w:sz w:val="24"/>
                <w:szCs w:val="24"/>
                <w:lang w:val="el-GR"/>
              </w:rPr>
              <w:t xml:space="preserve"> πάνω</w:t>
            </w:r>
            <w:r w:rsidRPr="00FF7C41">
              <w:rPr>
                <w:rFonts w:ascii="Arial" w:hAnsi="Arial" w:cs="Arial"/>
                <w:sz w:val="24"/>
                <w:szCs w:val="24"/>
                <w:lang w:val="el-GR"/>
              </w:rPr>
              <w:t xml:space="preserve"> στο εν λόγω άρθρο είτε γιατί το ποσό που εγκρίθηκε για το εν λόγω άρθρο υπερβαίνει το ποσό που απαιτήθηκε και δαπανήθηκε με βάση τις διατάξεις του παρόντος Νόμου σε σχέση με το εν λόγω άρθρο, δύναται με την έγκριση του Υφυπουργού Τουρισμού να διατεθεί και δαπανηθεί για την κάλυψη του ελλείμματος οποιουδήποτε ποσού έχει δαπανηθεί σε οποι</w:t>
            </w:r>
            <w:r w:rsidR="00D85F32">
              <w:rPr>
                <w:rFonts w:ascii="Arial" w:hAnsi="Arial" w:cs="Arial"/>
                <w:sz w:val="24"/>
                <w:szCs w:val="24"/>
                <w:lang w:val="el-GR"/>
              </w:rPr>
              <w:t>ο</w:t>
            </w:r>
            <w:r w:rsidRPr="00FF7C41">
              <w:rPr>
                <w:rFonts w:ascii="Arial" w:hAnsi="Arial" w:cs="Arial"/>
                <w:sz w:val="24"/>
                <w:szCs w:val="24"/>
                <w:lang w:val="el-GR"/>
              </w:rPr>
              <w:t>δήποτε</w:t>
            </w:r>
            <w:r w:rsidR="00D85F32">
              <w:rPr>
                <w:rFonts w:ascii="Arial" w:hAnsi="Arial" w:cs="Arial"/>
                <w:sz w:val="24"/>
                <w:szCs w:val="24"/>
                <w:lang w:val="el-GR"/>
              </w:rPr>
              <w:t xml:space="preserve"> άρθρο </w:t>
            </w:r>
            <w:r w:rsidRPr="00FF7C41">
              <w:rPr>
                <w:rFonts w:ascii="Arial" w:hAnsi="Arial" w:cs="Arial"/>
                <w:sz w:val="24"/>
                <w:szCs w:val="24"/>
                <w:lang w:val="el-GR"/>
              </w:rPr>
              <w:t>άλλη</w:t>
            </w:r>
            <w:r w:rsidR="00D85F32">
              <w:rPr>
                <w:rFonts w:ascii="Arial" w:hAnsi="Arial" w:cs="Arial"/>
                <w:sz w:val="24"/>
                <w:szCs w:val="24"/>
                <w:lang w:val="el-GR"/>
              </w:rPr>
              <w:t>ς</w:t>
            </w:r>
            <w:r w:rsidRPr="00FF7C41">
              <w:rPr>
                <w:rFonts w:ascii="Arial" w:hAnsi="Arial" w:cs="Arial"/>
                <w:sz w:val="24"/>
                <w:szCs w:val="24"/>
                <w:lang w:val="el-GR"/>
              </w:rPr>
              <w:t xml:space="preserve"> ομάδα</w:t>
            </w:r>
            <w:r w:rsidR="00D85F32">
              <w:rPr>
                <w:rFonts w:ascii="Arial" w:hAnsi="Arial" w:cs="Arial"/>
                <w:sz w:val="24"/>
                <w:szCs w:val="24"/>
                <w:lang w:val="el-GR"/>
              </w:rPr>
              <w:t>ς δαπανών</w:t>
            </w:r>
            <w:r w:rsidRPr="00FF7C41">
              <w:rPr>
                <w:rFonts w:ascii="Arial" w:hAnsi="Arial" w:cs="Arial"/>
                <w:sz w:val="24"/>
                <w:szCs w:val="24"/>
                <w:lang w:val="el-GR"/>
              </w:rPr>
              <w:t xml:space="preserve"> του </w:t>
            </w:r>
            <w:r w:rsidR="00D85F32">
              <w:rPr>
                <w:rFonts w:ascii="Arial" w:hAnsi="Arial" w:cs="Arial"/>
                <w:sz w:val="24"/>
                <w:szCs w:val="24"/>
                <w:lang w:val="el-GR"/>
              </w:rPr>
              <w:t xml:space="preserve">ιδίου Κεφαλαίου του </w:t>
            </w:r>
            <w:r w:rsidRPr="00FF7C41">
              <w:rPr>
                <w:rFonts w:ascii="Arial" w:hAnsi="Arial" w:cs="Arial"/>
                <w:sz w:val="24"/>
                <w:szCs w:val="24"/>
                <w:lang w:val="el-GR"/>
              </w:rPr>
              <w:t xml:space="preserve">Πρώτου Πίνακα: </w:t>
            </w:r>
          </w:p>
        </w:tc>
      </w:tr>
      <w:tr w:rsidR="00584A4B" w:rsidRPr="00FD3303" w14:paraId="3A1B2B69" w14:textId="77777777" w:rsidTr="00810EFF">
        <w:trPr>
          <w:trHeight w:val="86"/>
        </w:trPr>
        <w:tc>
          <w:tcPr>
            <w:tcW w:w="2245" w:type="dxa"/>
          </w:tcPr>
          <w:p w14:paraId="6FB8DD39" w14:textId="77777777" w:rsidR="00584A4B" w:rsidRPr="00FF7C41" w:rsidRDefault="00584A4B" w:rsidP="00FF7C41">
            <w:pPr>
              <w:tabs>
                <w:tab w:val="left" w:pos="284"/>
                <w:tab w:val="left" w:pos="567"/>
              </w:tabs>
              <w:spacing w:line="360" w:lineRule="auto"/>
              <w:rPr>
                <w:rFonts w:ascii="Arial" w:hAnsi="Arial" w:cs="Arial"/>
                <w:sz w:val="24"/>
                <w:szCs w:val="24"/>
                <w:lang w:val="el-GR"/>
              </w:rPr>
            </w:pPr>
          </w:p>
        </w:tc>
        <w:tc>
          <w:tcPr>
            <w:tcW w:w="7265" w:type="dxa"/>
          </w:tcPr>
          <w:p w14:paraId="220BCF44" w14:textId="77777777" w:rsidR="00584A4B" w:rsidRPr="00FF7C41" w:rsidRDefault="00584A4B" w:rsidP="00584A4B">
            <w:pPr>
              <w:tabs>
                <w:tab w:val="left" w:pos="284"/>
                <w:tab w:val="left" w:pos="567"/>
              </w:tabs>
              <w:spacing w:line="360" w:lineRule="auto"/>
              <w:jc w:val="both"/>
              <w:rPr>
                <w:rFonts w:ascii="Arial" w:hAnsi="Arial" w:cs="Arial"/>
                <w:sz w:val="24"/>
                <w:szCs w:val="24"/>
                <w:lang w:val="el-GR"/>
              </w:rPr>
            </w:pPr>
          </w:p>
        </w:tc>
      </w:tr>
      <w:tr w:rsidR="007955DF" w:rsidRPr="00FD3303" w14:paraId="59DF1A66" w14:textId="77777777" w:rsidTr="00966E4E">
        <w:trPr>
          <w:trHeight w:val="517"/>
        </w:trPr>
        <w:tc>
          <w:tcPr>
            <w:tcW w:w="2245" w:type="dxa"/>
          </w:tcPr>
          <w:p w14:paraId="22E37515"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6B2DDF5E" w14:textId="453018A1" w:rsidR="007955DF" w:rsidRPr="00FF7C41" w:rsidRDefault="00584A4B" w:rsidP="00584A4B">
            <w:pPr>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r>
            <w:r w:rsidR="007955DF" w:rsidRPr="00FF7C41">
              <w:rPr>
                <w:rFonts w:ascii="Arial" w:hAnsi="Arial" w:cs="Arial"/>
                <w:sz w:val="24"/>
                <w:szCs w:val="24"/>
                <w:lang w:val="el-GR"/>
              </w:rPr>
              <w:t xml:space="preserve">Νοείται ότι, οποιαδήποτε εξοικονόμηση πάνω </w:t>
            </w:r>
            <w:r w:rsidR="0082185C" w:rsidRPr="00FF7C41">
              <w:rPr>
                <w:rFonts w:ascii="Arial" w:hAnsi="Arial" w:cs="Arial"/>
                <w:sz w:val="24"/>
                <w:szCs w:val="24"/>
                <w:lang w:val="el-GR"/>
              </w:rPr>
              <w:t>στις ομάδες δαπανών 02000 και 02100</w:t>
            </w:r>
            <w:r w:rsidR="007955DF" w:rsidRPr="00FF7C41">
              <w:rPr>
                <w:rFonts w:ascii="Arial" w:hAnsi="Arial" w:cs="Arial"/>
                <w:sz w:val="24"/>
                <w:szCs w:val="24"/>
                <w:lang w:val="el-GR"/>
              </w:rPr>
              <w:t xml:space="preserve"> του Πρώτου Πίνακα δεν δύναται να διατεθεί και δαπανηθεί για </w:t>
            </w:r>
            <w:r w:rsidR="008B1043">
              <w:rPr>
                <w:rFonts w:ascii="Arial" w:hAnsi="Arial" w:cs="Arial"/>
                <w:sz w:val="24"/>
                <w:szCs w:val="24"/>
                <w:lang w:val="el-GR"/>
              </w:rPr>
              <w:t xml:space="preserve">την </w:t>
            </w:r>
            <w:r w:rsidR="007955DF" w:rsidRPr="00FF7C41">
              <w:rPr>
                <w:rFonts w:ascii="Arial" w:hAnsi="Arial" w:cs="Arial"/>
                <w:sz w:val="24"/>
                <w:szCs w:val="24"/>
                <w:lang w:val="el-GR"/>
              </w:rPr>
              <w:t>κάλυψη του ελλείμματος οποιουδήποτε ποσού δαπανήθηκε πάνω σε οποιαδήποτε των προαναφερόμενων ομάδων δαπανών, αλλά ούτε και οποιαδήποτε εξοικονόμηση πάνω σε οποιοδήποτε άλλο άρθρο δαπανών άλλης ομάδας δαπανών δύναται να διατεθεί και</w:t>
            </w:r>
            <w:r>
              <w:rPr>
                <w:rFonts w:ascii="Arial" w:hAnsi="Arial" w:cs="Arial"/>
                <w:sz w:val="24"/>
                <w:szCs w:val="24"/>
                <w:lang w:val="el-GR"/>
              </w:rPr>
              <w:t xml:space="preserve"> </w:t>
            </w:r>
            <w:r w:rsidR="007955DF" w:rsidRPr="00FF7C41">
              <w:rPr>
                <w:rFonts w:ascii="Arial" w:hAnsi="Arial" w:cs="Arial"/>
                <w:sz w:val="24"/>
                <w:szCs w:val="24"/>
                <w:lang w:val="el-GR"/>
              </w:rPr>
              <w:t xml:space="preserve">δαπανηθεί για την </w:t>
            </w:r>
            <w:r w:rsidR="007955DF" w:rsidRPr="00FF7C41">
              <w:rPr>
                <w:rFonts w:ascii="Arial" w:hAnsi="Arial" w:cs="Arial"/>
                <w:sz w:val="24"/>
                <w:szCs w:val="24"/>
                <w:lang w:val="el-GR"/>
              </w:rPr>
              <w:lastRenderedPageBreak/>
              <w:t>κάλυψη του ελλείμματος οποιουδήποτε ποσού, οποιασδήποτε από τις πιο πάνω αναφερόμενες ομάδες δαπανών:</w:t>
            </w:r>
          </w:p>
        </w:tc>
      </w:tr>
      <w:tr w:rsidR="00584A4B" w:rsidRPr="00FD3303" w14:paraId="17270A4A" w14:textId="77777777" w:rsidTr="00810EFF">
        <w:trPr>
          <w:trHeight w:val="70"/>
        </w:trPr>
        <w:tc>
          <w:tcPr>
            <w:tcW w:w="2245" w:type="dxa"/>
          </w:tcPr>
          <w:p w14:paraId="0E5EFF1B" w14:textId="77777777" w:rsidR="00584A4B" w:rsidRPr="00FF7C41" w:rsidRDefault="00584A4B" w:rsidP="00FF7C41">
            <w:pPr>
              <w:tabs>
                <w:tab w:val="left" w:pos="284"/>
                <w:tab w:val="left" w:pos="567"/>
              </w:tabs>
              <w:spacing w:line="360" w:lineRule="auto"/>
              <w:rPr>
                <w:rFonts w:ascii="Arial" w:hAnsi="Arial" w:cs="Arial"/>
                <w:sz w:val="24"/>
                <w:szCs w:val="24"/>
                <w:lang w:val="el-GR"/>
              </w:rPr>
            </w:pPr>
          </w:p>
        </w:tc>
        <w:tc>
          <w:tcPr>
            <w:tcW w:w="7265" w:type="dxa"/>
          </w:tcPr>
          <w:p w14:paraId="6D6D5A1D" w14:textId="77777777" w:rsidR="00584A4B" w:rsidRDefault="00584A4B" w:rsidP="00584A4B">
            <w:pPr>
              <w:tabs>
                <w:tab w:val="left" w:pos="284"/>
                <w:tab w:val="left" w:pos="567"/>
              </w:tabs>
              <w:spacing w:line="360" w:lineRule="auto"/>
              <w:jc w:val="both"/>
              <w:rPr>
                <w:rFonts w:ascii="Arial" w:hAnsi="Arial" w:cs="Arial"/>
                <w:sz w:val="24"/>
                <w:szCs w:val="24"/>
                <w:lang w:val="el-GR"/>
              </w:rPr>
            </w:pPr>
          </w:p>
        </w:tc>
      </w:tr>
      <w:tr w:rsidR="007955DF" w:rsidRPr="00FD3303" w14:paraId="6B034E8A" w14:textId="77777777" w:rsidTr="00966E4E">
        <w:trPr>
          <w:trHeight w:val="517"/>
        </w:trPr>
        <w:tc>
          <w:tcPr>
            <w:tcW w:w="2245" w:type="dxa"/>
          </w:tcPr>
          <w:p w14:paraId="5F04A1A1"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1CF7D717" w14:textId="612DB5D9" w:rsidR="007955DF" w:rsidRPr="00FF7C41" w:rsidRDefault="007955DF" w:rsidP="00584A4B">
            <w:pPr>
              <w:tabs>
                <w:tab w:val="left" w:pos="284"/>
                <w:tab w:val="left" w:pos="567"/>
              </w:tabs>
              <w:spacing w:line="360" w:lineRule="auto"/>
              <w:jc w:val="both"/>
              <w:rPr>
                <w:rFonts w:ascii="Arial" w:hAnsi="Arial" w:cs="Arial"/>
                <w:sz w:val="24"/>
                <w:szCs w:val="24"/>
                <w:lang w:val="el-GR"/>
              </w:rPr>
            </w:pPr>
            <w:r w:rsidRPr="00FF7C41">
              <w:rPr>
                <w:rFonts w:ascii="Arial" w:hAnsi="Arial" w:cs="Arial"/>
                <w:sz w:val="24"/>
                <w:szCs w:val="24"/>
                <w:lang w:val="el-GR"/>
              </w:rPr>
              <w:tab/>
            </w:r>
            <w:r w:rsidR="00584A4B">
              <w:rPr>
                <w:rFonts w:ascii="Arial" w:hAnsi="Arial" w:cs="Arial"/>
                <w:sz w:val="24"/>
                <w:szCs w:val="24"/>
                <w:lang w:val="el-GR"/>
              </w:rPr>
              <w:tab/>
            </w:r>
            <w:r w:rsidRPr="00FF7C41">
              <w:rPr>
                <w:rFonts w:ascii="Arial" w:hAnsi="Arial" w:cs="Arial"/>
                <w:sz w:val="24"/>
                <w:szCs w:val="24"/>
                <w:lang w:val="el-GR"/>
              </w:rPr>
              <w:t>Νοείται περαιτέρω ότι, οποιαδήποτε εξοικονόμηση από παράλειψη εκτέλεσης οποιασδήποτε υπηρεσίας ή σκοπού δε</w:t>
            </w:r>
            <w:r w:rsidR="008B1043">
              <w:rPr>
                <w:rFonts w:ascii="Arial" w:hAnsi="Arial" w:cs="Arial"/>
                <w:sz w:val="24"/>
                <w:szCs w:val="24"/>
                <w:lang w:val="el-GR"/>
              </w:rPr>
              <w:t>ν</w:t>
            </w:r>
            <w:r w:rsidRPr="00FF7C41">
              <w:rPr>
                <w:rFonts w:ascii="Arial" w:hAnsi="Arial" w:cs="Arial"/>
                <w:sz w:val="24"/>
                <w:szCs w:val="24"/>
                <w:lang w:val="el-GR"/>
              </w:rPr>
              <w:t xml:space="preserve"> θεωρείται εξοικονόμηση για τους σκοπούς του παρόντος άρθρου.</w:t>
            </w:r>
          </w:p>
        </w:tc>
      </w:tr>
      <w:tr w:rsidR="00584A4B" w:rsidRPr="00FD3303" w14:paraId="4407AE07" w14:textId="77777777" w:rsidTr="00810EFF">
        <w:trPr>
          <w:trHeight w:val="250"/>
        </w:trPr>
        <w:tc>
          <w:tcPr>
            <w:tcW w:w="2245" w:type="dxa"/>
          </w:tcPr>
          <w:p w14:paraId="19CC8FF4" w14:textId="77777777" w:rsidR="00584A4B" w:rsidRPr="00FF7C41" w:rsidRDefault="00584A4B" w:rsidP="00FF7C41">
            <w:pPr>
              <w:tabs>
                <w:tab w:val="left" w:pos="284"/>
                <w:tab w:val="left" w:pos="567"/>
              </w:tabs>
              <w:spacing w:line="360" w:lineRule="auto"/>
              <w:rPr>
                <w:rFonts w:ascii="Arial" w:hAnsi="Arial" w:cs="Arial"/>
                <w:sz w:val="24"/>
                <w:szCs w:val="24"/>
                <w:lang w:val="el-GR"/>
              </w:rPr>
            </w:pPr>
          </w:p>
        </w:tc>
        <w:tc>
          <w:tcPr>
            <w:tcW w:w="7265" w:type="dxa"/>
          </w:tcPr>
          <w:p w14:paraId="57BB35B1" w14:textId="77777777" w:rsidR="00584A4B" w:rsidRPr="00FF7C41" w:rsidRDefault="00584A4B" w:rsidP="00FF7C41">
            <w:pPr>
              <w:tabs>
                <w:tab w:val="left" w:pos="284"/>
                <w:tab w:val="left" w:pos="567"/>
              </w:tabs>
              <w:spacing w:line="360" w:lineRule="auto"/>
              <w:jc w:val="both"/>
              <w:rPr>
                <w:rFonts w:ascii="Arial" w:hAnsi="Arial" w:cs="Arial"/>
                <w:sz w:val="24"/>
                <w:szCs w:val="24"/>
                <w:lang w:val="el-GR"/>
              </w:rPr>
            </w:pPr>
          </w:p>
        </w:tc>
      </w:tr>
      <w:tr w:rsidR="007955DF" w:rsidRPr="00FD3303" w14:paraId="75752DE1" w14:textId="77777777" w:rsidTr="00966E4E">
        <w:trPr>
          <w:trHeight w:val="517"/>
        </w:trPr>
        <w:tc>
          <w:tcPr>
            <w:tcW w:w="2245" w:type="dxa"/>
          </w:tcPr>
          <w:p w14:paraId="78E90562"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3F031CD0" w14:textId="63E79BD9" w:rsidR="007955DF" w:rsidRPr="00FF7C41" w:rsidRDefault="00584A4B" w:rsidP="00584A4B">
            <w:pPr>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sidR="007955DF" w:rsidRPr="00FF7C41">
              <w:rPr>
                <w:rFonts w:ascii="Arial" w:hAnsi="Arial" w:cs="Arial"/>
                <w:sz w:val="24"/>
                <w:szCs w:val="24"/>
                <w:lang w:val="el-GR"/>
              </w:rPr>
              <w:t>(2)</w:t>
            </w:r>
            <w:r>
              <w:rPr>
                <w:rFonts w:ascii="Arial" w:hAnsi="Arial" w:cs="Arial"/>
                <w:sz w:val="24"/>
                <w:szCs w:val="24"/>
                <w:lang w:val="el-GR"/>
              </w:rPr>
              <w:tab/>
            </w:r>
            <w:r w:rsidR="007955DF" w:rsidRPr="00FF7C41">
              <w:rPr>
                <w:rFonts w:ascii="Arial" w:hAnsi="Arial" w:cs="Arial"/>
                <w:sz w:val="24"/>
                <w:szCs w:val="24"/>
                <w:lang w:val="el-GR"/>
              </w:rPr>
              <w:t xml:space="preserve">Μέσα σε ένα μήνα από την έγκριση του Υφυπουργού Τουρισμού, σύμφωνα με τις διατάξεις του εδαφίου (1), κατατίθεται από αυτόν έκθεση στη Βουλή των Αντιπροσώπων που </w:t>
            </w:r>
            <w:r w:rsidR="008B1043">
              <w:rPr>
                <w:rFonts w:ascii="Arial" w:hAnsi="Arial" w:cs="Arial"/>
                <w:sz w:val="24"/>
                <w:szCs w:val="24"/>
                <w:lang w:val="el-GR"/>
              </w:rPr>
              <w:t>δεικνύει</w:t>
            </w:r>
            <w:r w:rsidR="007955DF" w:rsidRPr="00FF7C41">
              <w:rPr>
                <w:rFonts w:ascii="Arial" w:hAnsi="Arial" w:cs="Arial"/>
                <w:sz w:val="24"/>
                <w:szCs w:val="24"/>
                <w:lang w:val="el-GR"/>
              </w:rPr>
              <w:t xml:space="preserve"> τις περιπτώσεις για τις οποίες δόθηκε τέτοια έγκριση και τις συνθήκες υπό τις οποίες αυτή χορηγήθηκε.</w:t>
            </w:r>
          </w:p>
        </w:tc>
      </w:tr>
      <w:tr w:rsidR="00584A4B" w:rsidRPr="00FD3303" w14:paraId="2BF764BB" w14:textId="77777777" w:rsidTr="00810EFF">
        <w:trPr>
          <w:trHeight w:val="172"/>
        </w:trPr>
        <w:tc>
          <w:tcPr>
            <w:tcW w:w="2245" w:type="dxa"/>
          </w:tcPr>
          <w:p w14:paraId="1617D7C8" w14:textId="77777777" w:rsidR="00584A4B" w:rsidRPr="00FF7C41" w:rsidRDefault="00584A4B" w:rsidP="00FF7C41">
            <w:pPr>
              <w:tabs>
                <w:tab w:val="left" w:pos="284"/>
                <w:tab w:val="left" w:pos="567"/>
              </w:tabs>
              <w:spacing w:line="360" w:lineRule="auto"/>
              <w:rPr>
                <w:rFonts w:ascii="Arial" w:hAnsi="Arial" w:cs="Arial"/>
                <w:sz w:val="24"/>
                <w:szCs w:val="24"/>
                <w:lang w:val="el-GR"/>
              </w:rPr>
            </w:pPr>
          </w:p>
        </w:tc>
        <w:tc>
          <w:tcPr>
            <w:tcW w:w="7265" w:type="dxa"/>
          </w:tcPr>
          <w:p w14:paraId="2BBDD093" w14:textId="77777777" w:rsidR="00584A4B" w:rsidRPr="00FF7C41" w:rsidRDefault="00584A4B" w:rsidP="00FF7C41">
            <w:pPr>
              <w:tabs>
                <w:tab w:val="left" w:pos="284"/>
                <w:tab w:val="left" w:pos="567"/>
              </w:tabs>
              <w:spacing w:line="360" w:lineRule="auto"/>
              <w:jc w:val="both"/>
              <w:rPr>
                <w:rFonts w:ascii="Arial" w:hAnsi="Arial" w:cs="Arial"/>
                <w:sz w:val="24"/>
                <w:szCs w:val="24"/>
                <w:lang w:val="el-GR"/>
              </w:rPr>
            </w:pPr>
          </w:p>
        </w:tc>
      </w:tr>
      <w:tr w:rsidR="007955DF" w:rsidRPr="00FD3303" w14:paraId="6B00F455" w14:textId="77777777" w:rsidTr="00584A4B">
        <w:trPr>
          <w:trHeight w:val="1895"/>
        </w:trPr>
        <w:tc>
          <w:tcPr>
            <w:tcW w:w="2245" w:type="dxa"/>
          </w:tcPr>
          <w:p w14:paraId="2B6DF42B"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20F4D0F4" w14:textId="0A1FD5EA" w:rsidR="007955DF" w:rsidRPr="00FF7C41" w:rsidRDefault="00584A4B" w:rsidP="00584A4B">
            <w:pPr>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sidR="007955DF" w:rsidRPr="00FF7C41">
              <w:rPr>
                <w:rFonts w:ascii="Arial" w:hAnsi="Arial" w:cs="Arial"/>
                <w:sz w:val="24"/>
                <w:szCs w:val="24"/>
                <w:lang w:val="el-GR"/>
              </w:rPr>
              <w:t>(3)</w:t>
            </w:r>
            <w:r w:rsidR="007955DF" w:rsidRPr="00FF7C41">
              <w:rPr>
                <w:rFonts w:ascii="Arial" w:hAnsi="Arial" w:cs="Arial"/>
                <w:sz w:val="24"/>
                <w:szCs w:val="24"/>
                <w:lang w:val="el-GR"/>
              </w:rPr>
              <w:tab/>
              <w:t>Κάθε υπέρβαση κονδυλίων, κατά παράβαση της διαδικασίας που προβλέπεται στο εδάφιο (1),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584A4B" w:rsidRPr="00FD3303" w14:paraId="60BD1618" w14:textId="77777777" w:rsidTr="00584A4B">
        <w:trPr>
          <w:trHeight w:val="70"/>
        </w:trPr>
        <w:tc>
          <w:tcPr>
            <w:tcW w:w="2245" w:type="dxa"/>
          </w:tcPr>
          <w:p w14:paraId="757BF315" w14:textId="77777777" w:rsidR="00584A4B" w:rsidRPr="00FF7C41" w:rsidRDefault="00584A4B" w:rsidP="00FF7C41">
            <w:pPr>
              <w:tabs>
                <w:tab w:val="left" w:pos="284"/>
                <w:tab w:val="left" w:pos="567"/>
              </w:tabs>
              <w:spacing w:line="360" w:lineRule="auto"/>
              <w:rPr>
                <w:rFonts w:ascii="Arial" w:hAnsi="Arial" w:cs="Arial"/>
                <w:sz w:val="24"/>
                <w:szCs w:val="24"/>
                <w:lang w:val="el-GR"/>
              </w:rPr>
            </w:pPr>
          </w:p>
        </w:tc>
        <w:tc>
          <w:tcPr>
            <w:tcW w:w="7265" w:type="dxa"/>
          </w:tcPr>
          <w:p w14:paraId="2F295C0C" w14:textId="77777777" w:rsidR="00584A4B" w:rsidRDefault="00584A4B" w:rsidP="00584A4B">
            <w:pPr>
              <w:tabs>
                <w:tab w:val="left" w:pos="284"/>
                <w:tab w:val="left" w:pos="567"/>
              </w:tabs>
              <w:spacing w:line="360" w:lineRule="auto"/>
              <w:jc w:val="both"/>
              <w:rPr>
                <w:rFonts w:ascii="Arial" w:hAnsi="Arial" w:cs="Arial"/>
                <w:sz w:val="24"/>
                <w:szCs w:val="24"/>
                <w:lang w:val="el-GR"/>
              </w:rPr>
            </w:pPr>
          </w:p>
        </w:tc>
      </w:tr>
      <w:tr w:rsidR="002C708D" w:rsidRPr="00FD3303" w14:paraId="7E588141" w14:textId="77777777" w:rsidTr="00584A4B">
        <w:trPr>
          <w:trHeight w:val="70"/>
        </w:trPr>
        <w:tc>
          <w:tcPr>
            <w:tcW w:w="2245" w:type="dxa"/>
          </w:tcPr>
          <w:p w14:paraId="64DA2754" w14:textId="77777777" w:rsidR="002C708D" w:rsidRDefault="002C708D" w:rsidP="002C708D">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Απασχόληση προσωπικού</w:t>
            </w:r>
            <w:r>
              <w:rPr>
                <w:rFonts w:ascii="Arial" w:hAnsi="Arial" w:cs="Arial"/>
                <w:sz w:val="24"/>
                <w:szCs w:val="24"/>
                <w:lang w:val="el-GR"/>
              </w:rPr>
              <w:t>.</w:t>
            </w:r>
          </w:p>
          <w:p w14:paraId="2023AFE3" w14:textId="77777777" w:rsidR="002C708D" w:rsidRPr="00FF7C41" w:rsidRDefault="002C708D" w:rsidP="002C708D">
            <w:pPr>
              <w:tabs>
                <w:tab w:val="left" w:pos="284"/>
                <w:tab w:val="left" w:pos="567"/>
              </w:tabs>
              <w:spacing w:line="360" w:lineRule="auto"/>
              <w:ind w:right="113"/>
              <w:jc w:val="right"/>
              <w:rPr>
                <w:rFonts w:ascii="Arial" w:hAnsi="Arial" w:cs="Arial"/>
                <w:sz w:val="24"/>
                <w:szCs w:val="24"/>
                <w:lang w:val="el-GR"/>
              </w:rPr>
            </w:pPr>
            <w:r w:rsidRPr="00FF7C41">
              <w:rPr>
                <w:rFonts w:ascii="Arial" w:hAnsi="Arial" w:cs="Arial"/>
                <w:sz w:val="24"/>
                <w:szCs w:val="24"/>
                <w:lang w:val="el-GR"/>
              </w:rPr>
              <w:t>115(Ι) του 1990</w:t>
            </w:r>
          </w:p>
          <w:p w14:paraId="141F604C" w14:textId="77777777" w:rsidR="002C708D" w:rsidRPr="00FF7C41" w:rsidRDefault="002C708D" w:rsidP="002C708D">
            <w:pPr>
              <w:tabs>
                <w:tab w:val="left" w:pos="284"/>
                <w:tab w:val="left" w:pos="567"/>
              </w:tabs>
              <w:spacing w:line="360" w:lineRule="auto"/>
              <w:ind w:right="113"/>
              <w:jc w:val="right"/>
              <w:rPr>
                <w:rFonts w:ascii="Arial" w:hAnsi="Arial" w:cs="Arial"/>
                <w:sz w:val="24"/>
                <w:szCs w:val="24"/>
                <w:lang w:val="el-GR"/>
              </w:rPr>
            </w:pPr>
            <w:r w:rsidRPr="00FF7C41">
              <w:rPr>
                <w:rFonts w:ascii="Arial" w:hAnsi="Arial" w:cs="Arial"/>
                <w:sz w:val="24"/>
                <w:szCs w:val="24"/>
                <w:lang w:val="el-GR"/>
              </w:rPr>
              <w:t>58(Ι) του 1992</w:t>
            </w:r>
          </w:p>
          <w:p w14:paraId="12BE0C5E" w14:textId="77777777" w:rsidR="002C708D" w:rsidRDefault="002C708D" w:rsidP="002C708D">
            <w:pPr>
              <w:tabs>
                <w:tab w:val="left" w:pos="284"/>
                <w:tab w:val="left" w:pos="567"/>
              </w:tabs>
              <w:spacing w:line="360" w:lineRule="auto"/>
              <w:ind w:right="113"/>
              <w:jc w:val="right"/>
              <w:rPr>
                <w:rFonts w:ascii="Arial" w:hAnsi="Arial" w:cs="Arial"/>
                <w:sz w:val="24"/>
                <w:szCs w:val="24"/>
                <w:lang w:val="el-GR"/>
              </w:rPr>
            </w:pPr>
            <w:r w:rsidRPr="00FF7C41">
              <w:rPr>
                <w:rFonts w:ascii="Arial" w:hAnsi="Arial" w:cs="Arial"/>
                <w:sz w:val="24"/>
                <w:szCs w:val="24"/>
                <w:lang w:val="el-GR"/>
              </w:rPr>
              <w:t>29(Ι) του 2006</w:t>
            </w:r>
          </w:p>
          <w:p w14:paraId="690F0447" w14:textId="32F788C5" w:rsidR="002C708D" w:rsidRPr="00FF7C41" w:rsidRDefault="002C708D" w:rsidP="002C708D">
            <w:pPr>
              <w:tabs>
                <w:tab w:val="left" w:pos="284"/>
                <w:tab w:val="left" w:pos="567"/>
              </w:tabs>
              <w:spacing w:line="360" w:lineRule="auto"/>
              <w:ind w:right="57"/>
              <w:jc w:val="right"/>
              <w:rPr>
                <w:rFonts w:ascii="Arial" w:hAnsi="Arial" w:cs="Arial"/>
                <w:sz w:val="24"/>
                <w:szCs w:val="24"/>
                <w:lang w:val="el-GR"/>
              </w:rPr>
            </w:pPr>
            <w:r w:rsidRPr="00FF7C41">
              <w:rPr>
                <w:rFonts w:ascii="Arial" w:hAnsi="Arial" w:cs="Arial"/>
                <w:sz w:val="24"/>
                <w:szCs w:val="24"/>
                <w:lang w:val="el-GR"/>
              </w:rPr>
              <w:t>71(Ι) του 2007</w:t>
            </w:r>
            <w:r>
              <w:rPr>
                <w:rFonts w:ascii="Arial" w:hAnsi="Arial" w:cs="Arial"/>
                <w:sz w:val="24"/>
                <w:szCs w:val="24"/>
                <w:lang w:val="el-GR"/>
              </w:rPr>
              <w:t>.</w:t>
            </w:r>
          </w:p>
        </w:tc>
        <w:tc>
          <w:tcPr>
            <w:tcW w:w="7265" w:type="dxa"/>
          </w:tcPr>
          <w:p w14:paraId="0023F41C" w14:textId="5D46B86B" w:rsidR="002C708D" w:rsidRDefault="002C708D" w:rsidP="002C708D">
            <w:pPr>
              <w:tabs>
                <w:tab w:val="left" w:pos="284"/>
                <w:tab w:val="left" w:pos="567"/>
              </w:tabs>
              <w:spacing w:line="360" w:lineRule="auto"/>
              <w:jc w:val="both"/>
              <w:rPr>
                <w:rFonts w:ascii="Arial" w:hAnsi="Arial" w:cs="Arial"/>
                <w:sz w:val="24"/>
                <w:szCs w:val="24"/>
                <w:lang w:val="el-GR"/>
              </w:rPr>
            </w:pPr>
            <w:r w:rsidRPr="00FF7C41">
              <w:rPr>
                <w:rFonts w:ascii="Arial" w:hAnsi="Arial" w:cs="Arial"/>
                <w:sz w:val="24"/>
                <w:szCs w:val="24"/>
                <w:lang w:val="el-GR"/>
              </w:rPr>
              <w:t>5.-(1)</w:t>
            </w:r>
            <w:r>
              <w:rPr>
                <w:rFonts w:ascii="Arial" w:hAnsi="Arial" w:cs="Arial"/>
                <w:sz w:val="24"/>
                <w:szCs w:val="24"/>
                <w:lang w:val="el-GR"/>
              </w:rPr>
              <w:tab/>
            </w:r>
            <w:r w:rsidRPr="00FF7C41">
              <w:rPr>
                <w:rFonts w:ascii="Arial" w:hAnsi="Arial" w:cs="Arial"/>
                <w:sz w:val="24"/>
                <w:szCs w:val="24"/>
                <w:lang w:val="el-GR"/>
              </w:rPr>
              <w:t>Η Αρχή διορίζει με διαφανείς και χωρίς διάκριση διαδικασίες εκτελεστικό διευθυντή κατόπιν δημόσιας πρόσκλησης, σύμφωνα με τις διατάξεις του περί Νομικών Προσώπων Δημοσίου Δικαίου (Διορισμός Γενικών Διευθυντών) Νόμου θέτοντας όρους και προϋποθέσεις όπως ήθελε καθορίσει και όπως το Υπουργικό Συμβούλιο εγκρίνει.</w:t>
            </w:r>
          </w:p>
        </w:tc>
      </w:tr>
      <w:tr w:rsidR="002C708D" w:rsidRPr="00FD3303" w14:paraId="0167F4C3" w14:textId="77777777" w:rsidTr="00810EFF">
        <w:trPr>
          <w:trHeight w:val="319"/>
        </w:trPr>
        <w:tc>
          <w:tcPr>
            <w:tcW w:w="2245" w:type="dxa"/>
          </w:tcPr>
          <w:p w14:paraId="1B71B828" w14:textId="77777777" w:rsidR="002C708D" w:rsidRPr="00FF7C41" w:rsidRDefault="002C708D" w:rsidP="002C708D">
            <w:pPr>
              <w:tabs>
                <w:tab w:val="left" w:pos="284"/>
                <w:tab w:val="left" w:pos="567"/>
              </w:tabs>
              <w:spacing w:line="360" w:lineRule="auto"/>
              <w:rPr>
                <w:rFonts w:ascii="Arial" w:hAnsi="Arial" w:cs="Arial"/>
                <w:sz w:val="24"/>
                <w:szCs w:val="24"/>
                <w:lang w:val="el-GR"/>
              </w:rPr>
            </w:pPr>
          </w:p>
        </w:tc>
        <w:tc>
          <w:tcPr>
            <w:tcW w:w="7265" w:type="dxa"/>
          </w:tcPr>
          <w:p w14:paraId="74B290BF" w14:textId="77777777" w:rsidR="002C708D" w:rsidRPr="00FF7C41" w:rsidRDefault="002C708D" w:rsidP="002C708D">
            <w:pPr>
              <w:tabs>
                <w:tab w:val="left" w:pos="284"/>
                <w:tab w:val="left" w:pos="567"/>
              </w:tabs>
              <w:spacing w:line="360" w:lineRule="auto"/>
              <w:jc w:val="both"/>
              <w:rPr>
                <w:rFonts w:ascii="Arial" w:hAnsi="Arial" w:cs="Arial"/>
                <w:sz w:val="24"/>
                <w:szCs w:val="24"/>
                <w:lang w:val="el-GR"/>
              </w:rPr>
            </w:pPr>
          </w:p>
        </w:tc>
      </w:tr>
      <w:tr w:rsidR="007955DF" w:rsidRPr="00FD3303" w14:paraId="23B0E198" w14:textId="77777777" w:rsidTr="00966E4E">
        <w:trPr>
          <w:trHeight w:val="517"/>
        </w:trPr>
        <w:tc>
          <w:tcPr>
            <w:tcW w:w="2245" w:type="dxa"/>
          </w:tcPr>
          <w:p w14:paraId="08BD1B6B" w14:textId="77777777" w:rsidR="007955DF" w:rsidRPr="00FF7C41" w:rsidRDefault="007955DF" w:rsidP="002C708D">
            <w:pPr>
              <w:tabs>
                <w:tab w:val="left" w:pos="284"/>
                <w:tab w:val="left" w:pos="567"/>
              </w:tabs>
              <w:spacing w:line="360" w:lineRule="auto"/>
              <w:ind w:right="57"/>
              <w:jc w:val="right"/>
              <w:rPr>
                <w:rFonts w:ascii="Arial" w:hAnsi="Arial" w:cs="Arial"/>
                <w:sz w:val="24"/>
                <w:szCs w:val="24"/>
                <w:lang w:val="el-GR"/>
              </w:rPr>
            </w:pPr>
          </w:p>
        </w:tc>
        <w:tc>
          <w:tcPr>
            <w:tcW w:w="7265" w:type="dxa"/>
          </w:tcPr>
          <w:p w14:paraId="6F0EBE8C" w14:textId="152D912C" w:rsidR="007955DF" w:rsidRPr="00FF7C41" w:rsidRDefault="002C708D" w:rsidP="00FF7C41">
            <w:pPr>
              <w:tabs>
                <w:tab w:val="left" w:pos="284"/>
                <w:tab w:val="left" w:pos="567"/>
              </w:tabs>
              <w:spacing w:line="360" w:lineRule="auto"/>
              <w:jc w:val="both"/>
              <w:rPr>
                <w:rFonts w:ascii="Arial" w:hAnsi="Arial" w:cs="Arial"/>
                <w:sz w:val="24"/>
                <w:szCs w:val="24"/>
                <w:lang w:val="el-GR"/>
              </w:rPr>
            </w:pPr>
            <w:r>
              <w:rPr>
                <w:rFonts w:ascii="Arial" w:hAnsi="Arial" w:cs="Arial"/>
                <w:sz w:val="24"/>
                <w:szCs w:val="24"/>
                <w:lang w:val="el-GR"/>
              </w:rPr>
              <w:tab/>
            </w:r>
            <w:r w:rsidR="000F35BA" w:rsidRPr="00FF7C41">
              <w:rPr>
                <w:rFonts w:ascii="Arial" w:hAnsi="Arial" w:cs="Arial"/>
                <w:sz w:val="24"/>
                <w:szCs w:val="24"/>
                <w:lang w:val="el-GR"/>
              </w:rPr>
              <w:t>(2)</w:t>
            </w:r>
            <w:r>
              <w:rPr>
                <w:rFonts w:ascii="Arial" w:hAnsi="Arial" w:cs="Arial"/>
                <w:sz w:val="24"/>
                <w:szCs w:val="24"/>
                <w:lang w:val="el-GR"/>
              </w:rPr>
              <w:tab/>
            </w:r>
            <w:r w:rsidR="007955DF" w:rsidRPr="00FF7C41">
              <w:rPr>
                <w:rFonts w:ascii="Arial" w:hAnsi="Arial" w:cs="Arial"/>
                <w:sz w:val="24"/>
                <w:szCs w:val="24"/>
                <w:lang w:val="el-GR"/>
              </w:rPr>
              <w:t xml:space="preserve">Η Αρχή δύναται να διορίζει και </w:t>
            </w:r>
            <w:proofErr w:type="spellStart"/>
            <w:r w:rsidR="007955DF" w:rsidRPr="00FF7C41">
              <w:rPr>
                <w:rFonts w:ascii="Arial" w:hAnsi="Arial" w:cs="Arial"/>
                <w:sz w:val="24"/>
                <w:szCs w:val="24"/>
                <w:lang w:val="el-GR"/>
              </w:rPr>
              <w:t>εργοδοτεί</w:t>
            </w:r>
            <w:proofErr w:type="spellEnd"/>
            <w:r w:rsidR="008B1043">
              <w:rPr>
                <w:rFonts w:ascii="Arial" w:hAnsi="Arial" w:cs="Arial"/>
                <w:sz w:val="24"/>
                <w:szCs w:val="24"/>
                <w:lang w:val="el-GR"/>
              </w:rPr>
              <w:t>,</w:t>
            </w:r>
            <w:r w:rsidR="007955DF" w:rsidRPr="00FF7C41">
              <w:rPr>
                <w:rFonts w:ascii="Arial" w:hAnsi="Arial" w:cs="Arial"/>
                <w:sz w:val="24"/>
                <w:szCs w:val="24"/>
                <w:lang w:val="el-GR"/>
              </w:rPr>
              <w:t xml:space="preserve"> κάτω από όρους και προϋποθέσεις </w:t>
            </w:r>
            <w:r w:rsidR="000F35BA" w:rsidRPr="00FF7C41">
              <w:rPr>
                <w:rFonts w:ascii="Arial" w:hAnsi="Arial" w:cs="Arial"/>
                <w:sz w:val="24"/>
                <w:szCs w:val="24"/>
                <w:lang w:val="el-GR"/>
              </w:rPr>
              <w:t>που</w:t>
            </w:r>
            <w:r w:rsidR="007955DF" w:rsidRPr="00FF7C41">
              <w:rPr>
                <w:rFonts w:ascii="Arial" w:hAnsi="Arial" w:cs="Arial"/>
                <w:sz w:val="24"/>
                <w:szCs w:val="24"/>
                <w:lang w:val="el-GR"/>
              </w:rPr>
              <w:t xml:space="preserve"> δυνατό</w:t>
            </w:r>
            <w:r w:rsidR="000F35BA" w:rsidRPr="00FF7C41">
              <w:rPr>
                <w:rFonts w:ascii="Arial" w:hAnsi="Arial" w:cs="Arial"/>
                <w:sz w:val="24"/>
                <w:szCs w:val="24"/>
                <w:lang w:val="el-GR"/>
              </w:rPr>
              <w:t>ν</w:t>
            </w:r>
            <w:r w:rsidR="007955DF" w:rsidRPr="00FF7C41">
              <w:rPr>
                <w:rFonts w:ascii="Arial" w:hAnsi="Arial" w:cs="Arial"/>
                <w:sz w:val="24"/>
                <w:szCs w:val="24"/>
                <w:lang w:val="el-GR"/>
              </w:rPr>
              <w:t xml:space="preserve"> να καθορίσει, οποιουσδήποτε αξιωματούχους, υπαλλήλους, συμβούλους, επιθεωρητές και αντιπροσώπους που </w:t>
            </w:r>
            <w:r w:rsidR="000F35BA" w:rsidRPr="00FF7C41">
              <w:rPr>
                <w:rFonts w:ascii="Arial" w:hAnsi="Arial" w:cs="Arial"/>
                <w:sz w:val="24"/>
                <w:szCs w:val="24"/>
                <w:lang w:val="el-GR"/>
              </w:rPr>
              <w:t>απαιτείται</w:t>
            </w:r>
            <w:r w:rsidR="008B1043">
              <w:rPr>
                <w:rFonts w:ascii="Arial" w:hAnsi="Arial" w:cs="Arial"/>
                <w:sz w:val="24"/>
                <w:szCs w:val="24"/>
                <w:lang w:val="el-GR"/>
              </w:rPr>
              <w:t>,</w:t>
            </w:r>
            <w:r w:rsidR="000F35BA" w:rsidRPr="00FF7C41">
              <w:rPr>
                <w:rFonts w:ascii="Arial" w:hAnsi="Arial" w:cs="Arial"/>
                <w:sz w:val="24"/>
                <w:szCs w:val="24"/>
                <w:lang w:val="el-GR"/>
              </w:rPr>
              <w:t xml:space="preserve"> ώστε να εκτελούνται </w:t>
            </w:r>
            <w:r w:rsidR="007955DF" w:rsidRPr="00FF7C41">
              <w:rPr>
                <w:rFonts w:ascii="Arial" w:hAnsi="Arial" w:cs="Arial"/>
                <w:sz w:val="24"/>
                <w:szCs w:val="24"/>
                <w:lang w:val="el-GR"/>
              </w:rPr>
              <w:t>αποτελεσματικ</w:t>
            </w:r>
            <w:r w:rsidR="000F35BA" w:rsidRPr="00FF7C41">
              <w:rPr>
                <w:rFonts w:ascii="Arial" w:hAnsi="Arial" w:cs="Arial"/>
                <w:sz w:val="24"/>
                <w:szCs w:val="24"/>
                <w:lang w:val="el-GR"/>
              </w:rPr>
              <w:t xml:space="preserve">ά οι </w:t>
            </w:r>
            <w:r w:rsidR="007955DF" w:rsidRPr="00FF7C41">
              <w:rPr>
                <w:rFonts w:ascii="Arial" w:hAnsi="Arial" w:cs="Arial"/>
                <w:sz w:val="24"/>
                <w:szCs w:val="24"/>
                <w:lang w:val="el-GR"/>
              </w:rPr>
              <w:t>λειτουργ</w:t>
            </w:r>
            <w:r w:rsidR="000F35BA" w:rsidRPr="00FF7C41">
              <w:rPr>
                <w:rFonts w:ascii="Arial" w:hAnsi="Arial" w:cs="Arial"/>
                <w:sz w:val="24"/>
                <w:szCs w:val="24"/>
                <w:lang w:val="el-GR"/>
              </w:rPr>
              <w:t>ίες</w:t>
            </w:r>
            <w:r w:rsidR="007955DF" w:rsidRPr="00FF7C41">
              <w:rPr>
                <w:rFonts w:ascii="Arial" w:hAnsi="Arial" w:cs="Arial"/>
                <w:sz w:val="24"/>
                <w:szCs w:val="24"/>
                <w:lang w:val="el-GR"/>
              </w:rPr>
              <w:t xml:space="preserve"> της και</w:t>
            </w:r>
            <w:r w:rsidR="000F35BA" w:rsidRPr="00FF7C41">
              <w:rPr>
                <w:rFonts w:ascii="Arial" w:hAnsi="Arial" w:cs="Arial"/>
                <w:sz w:val="24"/>
                <w:szCs w:val="24"/>
                <w:lang w:val="el-GR"/>
              </w:rPr>
              <w:t xml:space="preserve"> η</w:t>
            </w:r>
            <w:r w:rsidR="007955DF" w:rsidRPr="00FF7C41">
              <w:rPr>
                <w:rFonts w:ascii="Arial" w:hAnsi="Arial" w:cs="Arial"/>
                <w:sz w:val="24"/>
                <w:szCs w:val="24"/>
                <w:lang w:val="el-GR"/>
              </w:rPr>
              <w:t xml:space="preserve"> πραγμάτωση των καθηκόντων της, νοουμένου ότι οι διορισμοί γίνονται υπό το καθεστώς </w:t>
            </w:r>
            <w:proofErr w:type="spellStart"/>
            <w:r w:rsidR="007955DF" w:rsidRPr="00FF7C41">
              <w:rPr>
                <w:rFonts w:ascii="Arial" w:hAnsi="Arial" w:cs="Arial"/>
                <w:sz w:val="24"/>
                <w:szCs w:val="24"/>
                <w:lang w:val="el-GR"/>
              </w:rPr>
              <w:t>εργοδότησης</w:t>
            </w:r>
            <w:proofErr w:type="spellEnd"/>
            <w:r w:rsidR="007955DF" w:rsidRPr="00FF7C41">
              <w:rPr>
                <w:rFonts w:ascii="Arial" w:hAnsi="Arial" w:cs="Arial"/>
                <w:sz w:val="24"/>
                <w:szCs w:val="24"/>
                <w:lang w:val="el-GR"/>
              </w:rPr>
              <w:t xml:space="preserve"> με σύμβαση.</w:t>
            </w:r>
          </w:p>
        </w:tc>
      </w:tr>
      <w:tr w:rsidR="007955DF" w:rsidRPr="00FD3303" w14:paraId="76B995A3" w14:textId="77777777" w:rsidTr="00966E4E">
        <w:trPr>
          <w:trHeight w:val="517"/>
        </w:trPr>
        <w:tc>
          <w:tcPr>
            <w:tcW w:w="2245" w:type="dxa"/>
          </w:tcPr>
          <w:p w14:paraId="53CB4AE0"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3904583B" w14:textId="77777777" w:rsidR="007955DF" w:rsidRPr="00FF7C41" w:rsidRDefault="007955DF" w:rsidP="00FF7C41">
            <w:pPr>
              <w:tabs>
                <w:tab w:val="left" w:pos="284"/>
                <w:tab w:val="left" w:pos="567"/>
              </w:tabs>
              <w:spacing w:line="360" w:lineRule="auto"/>
              <w:jc w:val="both"/>
              <w:rPr>
                <w:rFonts w:ascii="Arial" w:hAnsi="Arial" w:cs="Arial"/>
                <w:sz w:val="24"/>
                <w:szCs w:val="24"/>
                <w:lang w:val="el-GR"/>
              </w:rPr>
            </w:pPr>
          </w:p>
        </w:tc>
      </w:tr>
      <w:tr w:rsidR="007955DF" w:rsidRPr="00FD3303" w14:paraId="3C2B9B65" w14:textId="77777777" w:rsidTr="00966E4E">
        <w:trPr>
          <w:trHeight w:val="517"/>
        </w:trPr>
        <w:tc>
          <w:tcPr>
            <w:tcW w:w="2245" w:type="dxa"/>
          </w:tcPr>
          <w:p w14:paraId="253CCE48" w14:textId="77777777" w:rsidR="00B219DC"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lastRenderedPageBreak/>
              <w:t xml:space="preserve">Λειτουργός που ασκεί έλεγχο </w:t>
            </w:r>
          </w:p>
          <w:p w14:paraId="48AE95FC" w14:textId="5168316C"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πάνω στα κονδύλια.</w:t>
            </w:r>
          </w:p>
          <w:p w14:paraId="6CBCC37B"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5A7E5910" w14:textId="41BA9CAD" w:rsidR="007955DF" w:rsidRPr="00FF7C41" w:rsidRDefault="007955DF" w:rsidP="00B219DC">
            <w:pPr>
              <w:tabs>
                <w:tab w:val="left" w:pos="284"/>
                <w:tab w:val="left" w:pos="567"/>
              </w:tabs>
              <w:spacing w:line="360" w:lineRule="auto"/>
              <w:jc w:val="both"/>
              <w:rPr>
                <w:rFonts w:ascii="Arial" w:hAnsi="Arial" w:cs="Arial"/>
                <w:sz w:val="24"/>
                <w:szCs w:val="24"/>
                <w:lang w:val="el-GR"/>
              </w:rPr>
            </w:pPr>
            <w:r w:rsidRPr="00FF7C41">
              <w:rPr>
                <w:rFonts w:ascii="Arial" w:hAnsi="Arial" w:cs="Arial"/>
                <w:sz w:val="24"/>
                <w:szCs w:val="24"/>
                <w:lang w:val="el-GR"/>
              </w:rPr>
              <w:t>6.</w:t>
            </w:r>
            <w:r w:rsidR="002C708D">
              <w:rPr>
                <w:rFonts w:ascii="Arial" w:hAnsi="Arial" w:cs="Arial"/>
                <w:sz w:val="24"/>
                <w:szCs w:val="24"/>
                <w:lang w:val="el-GR"/>
              </w:rPr>
              <w:tab/>
            </w:r>
            <w:r w:rsidR="002C708D">
              <w:rPr>
                <w:rFonts w:ascii="Arial" w:hAnsi="Arial" w:cs="Arial"/>
                <w:sz w:val="24"/>
                <w:szCs w:val="24"/>
                <w:lang w:val="el-GR"/>
              </w:rPr>
              <w:tab/>
            </w:r>
            <w:r w:rsidRPr="00FF7C41">
              <w:rPr>
                <w:rFonts w:ascii="Arial" w:hAnsi="Arial" w:cs="Arial"/>
                <w:sz w:val="24"/>
                <w:szCs w:val="24"/>
                <w:lang w:val="el-GR"/>
              </w:rPr>
              <w:t xml:space="preserve">Ως </w:t>
            </w:r>
            <w:r w:rsidR="00EC48F8">
              <w:rPr>
                <w:rFonts w:ascii="Arial" w:hAnsi="Arial" w:cs="Arial"/>
                <w:sz w:val="24"/>
                <w:szCs w:val="24"/>
                <w:lang w:val="el-GR"/>
              </w:rPr>
              <w:t xml:space="preserve">υπεύθυνος </w:t>
            </w:r>
            <w:r w:rsidRPr="00FF7C41">
              <w:rPr>
                <w:rFonts w:ascii="Arial" w:hAnsi="Arial" w:cs="Arial"/>
                <w:sz w:val="24"/>
                <w:szCs w:val="24"/>
                <w:lang w:val="el-GR"/>
              </w:rPr>
              <w:t>λειτουργός που ασκεί έλεγχο πάνω στα κονδύλια της Αρχής Παιγνίων και Εποπτείας Καζίνου Κύπρου ορίζεται ο Εκτελεστικός Διευθυντής της Αρχής Παιγνίων και Εποπτείας Καζίνου Κύπρου και περιλαμβάνει</w:t>
            </w:r>
            <w:r w:rsidR="000F35BA" w:rsidRPr="00FF7C41">
              <w:rPr>
                <w:rFonts w:ascii="Arial" w:hAnsi="Arial" w:cs="Arial"/>
                <w:sz w:val="24"/>
                <w:szCs w:val="24"/>
                <w:lang w:val="el-GR"/>
              </w:rPr>
              <w:t xml:space="preserve"> και</w:t>
            </w:r>
            <w:r w:rsidRPr="00FF7C41">
              <w:rPr>
                <w:rFonts w:ascii="Arial" w:hAnsi="Arial" w:cs="Arial"/>
                <w:sz w:val="24"/>
                <w:szCs w:val="24"/>
                <w:lang w:val="el-GR"/>
              </w:rPr>
              <w:t xml:space="preserve"> κάθε άλλο λειτουργό στον οποίο εκχωρείται εξουσία από τον </w:t>
            </w:r>
            <w:proofErr w:type="spellStart"/>
            <w:r w:rsidRPr="00FF7C41">
              <w:rPr>
                <w:rFonts w:ascii="Arial" w:hAnsi="Arial" w:cs="Arial"/>
                <w:sz w:val="24"/>
                <w:szCs w:val="24"/>
                <w:lang w:val="el-GR"/>
              </w:rPr>
              <w:t>ελέγχοντα</w:t>
            </w:r>
            <w:proofErr w:type="spellEnd"/>
            <w:r w:rsidRPr="00FF7C41">
              <w:rPr>
                <w:rFonts w:ascii="Arial" w:hAnsi="Arial" w:cs="Arial"/>
                <w:sz w:val="24"/>
                <w:szCs w:val="24"/>
                <w:lang w:val="el-GR"/>
              </w:rPr>
              <w:t xml:space="preserve"> </w:t>
            </w:r>
            <w:r w:rsidR="008B1043">
              <w:rPr>
                <w:rFonts w:ascii="Arial" w:hAnsi="Arial" w:cs="Arial"/>
                <w:sz w:val="24"/>
                <w:szCs w:val="24"/>
                <w:lang w:val="el-GR"/>
              </w:rPr>
              <w:t>λ</w:t>
            </w:r>
            <w:r w:rsidRPr="00FF7C41">
              <w:rPr>
                <w:rFonts w:ascii="Arial" w:hAnsi="Arial" w:cs="Arial"/>
                <w:sz w:val="24"/>
                <w:szCs w:val="24"/>
                <w:lang w:val="el-GR"/>
              </w:rPr>
              <w:t xml:space="preserve">ειτουργό. </w:t>
            </w:r>
          </w:p>
        </w:tc>
      </w:tr>
      <w:tr w:rsidR="00B219DC" w:rsidRPr="00FD3303" w14:paraId="58CD2744" w14:textId="77777777" w:rsidTr="00810EFF">
        <w:trPr>
          <w:trHeight w:val="386"/>
        </w:trPr>
        <w:tc>
          <w:tcPr>
            <w:tcW w:w="2245" w:type="dxa"/>
          </w:tcPr>
          <w:p w14:paraId="06E06B74" w14:textId="77777777" w:rsidR="00B219DC" w:rsidRPr="00FF7C41" w:rsidRDefault="00B219DC" w:rsidP="00FF7C41">
            <w:pPr>
              <w:tabs>
                <w:tab w:val="left" w:pos="284"/>
                <w:tab w:val="left" w:pos="567"/>
              </w:tabs>
              <w:spacing w:line="360" w:lineRule="auto"/>
              <w:rPr>
                <w:rFonts w:ascii="Arial" w:hAnsi="Arial" w:cs="Arial"/>
                <w:sz w:val="24"/>
                <w:szCs w:val="24"/>
                <w:lang w:val="el-GR"/>
              </w:rPr>
            </w:pPr>
          </w:p>
        </w:tc>
        <w:tc>
          <w:tcPr>
            <w:tcW w:w="7265" w:type="dxa"/>
          </w:tcPr>
          <w:p w14:paraId="6A8704B9" w14:textId="77777777" w:rsidR="00B219DC" w:rsidRPr="00FF7C41" w:rsidRDefault="00B219DC" w:rsidP="00B219DC">
            <w:pPr>
              <w:tabs>
                <w:tab w:val="left" w:pos="284"/>
                <w:tab w:val="left" w:pos="567"/>
              </w:tabs>
              <w:spacing w:line="360" w:lineRule="auto"/>
              <w:jc w:val="both"/>
              <w:rPr>
                <w:rFonts w:ascii="Arial" w:hAnsi="Arial" w:cs="Arial"/>
                <w:sz w:val="24"/>
                <w:szCs w:val="24"/>
                <w:lang w:val="el-GR"/>
              </w:rPr>
            </w:pPr>
          </w:p>
        </w:tc>
      </w:tr>
      <w:tr w:rsidR="007955DF" w:rsidRPr="00FD3303" w14:paraId="39068A8E" w14:textId="77777777" w:rsidTr="00966E4E">
        <w:trPr>
          <w:trHeight w:val="517"/>
        </w:trPr>
        <w:tc>
          <w:tcPr>
            <w:tcW w:w="2245" w:type="dxa"/>
          </w:tcPr>
          <w:p w14:paraId="6FF550B3" w14:textId="77777777" w:rsidR="007955DF" w:rsidRPr="00FF7C41" w:rsidRDefault="007955DF" w:rsidP="00FF7C41">
            <w:pPr>
              <w:tabs>
                <w:tab w:val="left" w:pos="284"/>
                <w:tab w:val="left" w:pos="567"/>
              </w:tabs>
              <w:spacing w:line="360" w:lineRule="auto"/>
              <w:rPr>
                <w:rFonts w:ascii="Arial" w:hAnsi="Arial" w:cs="Arial"/>
                <w:sz w:val="24"/>
                <w:szCs w:val="24"/>
                <w:lang w:val="el-GR"/>
              </w:rPr>
            </w:pPr>
            <w:r w:rsidRPr="00FF7C41">
              <w:rPr>
                <w:rFonts w:ascii="Arial" w:hAnsi="Arial" w:cs="Arial"/>
                <w:sz w:val="24"/>
                <w:szCs w:val="24"/>
                <w:lang w:val="el-GR"/>
              </w:rPr>
              <w:t xml:space="preserve">Λειτουργός υπεύθυνος για την είσπραξη των εσόδων.  </w:t>
            </w:r>
          </w:p>
          <w:p w14:paraId="3125C928" w14:textId="77777777" w:rsidR="007955DF" w:rsidRPr="00FF7C41" w:rsidRDefault="007955DF" w:rsidP="00FF7C41">
            <w:pPr>
              <w:tabs>
                <w:tab w:val="left" w:pos="284"/>
                <w:tab w:val="left" w:pos="567"/>
              </w:tabs>
              <w:spacing w:line="360" w:lineRule="auto"/>
              <w:rPr>
                <w:rFonts w:ascii="Arial" w:hAnsi="Arial" w:cs="Arial"/>
                <w:sz w:val="24"/>
                <w:szCs w:val="24"/>
                <w:lang w:val="el-GR"/>
              </w:rPr>
            </w:pPr>
          </w:p>
        </w:tc>
        <w:tc>
          <w:tcPr>
            <w:tcW w:w="7265" w:type="dxa"/>
          </w:tcPr>
          <w:p w14:paraId="0C371AA9" w14:textId="633F74E6" w:rsidR="007955DF" w:rsidRPr="00FF7C41" w:rsidRDefault="007955DF" w:rsidP="00B219DC">
            <w:pPr>
              <w:tabs>
                <w:tab w:val="left" w:pos="284"/>
                <w:tab w:val="left" w:pos="567"/>
              </w:tabs>
              <w:spacing w:line="360" w:lineRule="auto"/>
              <w:jc w:val="both"/>
              <w:rPr>
                <w:rFonts w:ascii="Arial" w:hAnsi="Arial" w:cs="Arial"/>
                <w:sz w:val="24"/>
                <w:szCs w:val="24"/>
                <w:lang w:val="el-GR"/>
              </w:rPr>
            </w:pPr>
            <w:r w:rsidRPr="00FF7C41">
              <w:rPr>
                <w:rFonts w:ascii="Arial" w:hAnsi="Arial" w:cs="Arial"/>
                <w:sz w:val="24"/>
                <w:szCs w:val="24"/>
                <w:lang w:val="el-GR"/>
              </w:rPr>
              <w:t>7.</w:t>
            </w:r>
            <w:r w:rsidR="00B219DC">
              <w:rPr>
                <w:rFonts w:ascii="Arial" w:hAnsi="Arial" w:cs="Arial"/>
                <w:sz w:val="24"/>
                <w:szCs w:val="24"/>
                <w:lang w:val="el-GR"/>
              </w:rPr>
              <w:tab/>
            </w:r>
            <w:r w:rsidR="00B219DC">
              <w:rPr>
                <w:rFonts w:ascii="Arial" w:hAnsi="Arial" w:cs="Arial"/>
                <w:sz w:val="24"/>
                <w:szCs w:val="24"/>
                <w:lang w:val="el-GR"/>
              </w:rPr>
              <w:tab/>
            </w:r>
            <w:r w:rsidRPr="00FF7C41">
              <w:rPr>
                <w:rFonts w:ascii="Arial" w:hAnsi="Arial" w:cs="Arial"/>
                <w:sz w:val="24"/>
                <w:szCs w:val="24"/>
                <w:lang w:val="el-GR"/>
              </w:rPr>
              <w:t xml:space="preserve">Ως λειτουργός υπεύθυνος για την είσπραξη των εσόδων της Αρχής Παιγνίων και Εποπτείας Καζίνου Κύπρου ορίζεται ο Εκτελεστικός Διευθυντής της Αρχής Παιγνίων και Εποπτείας Καζίνου Κύπρου και περιλαμβάνει και κάθε άλλο λειτουργό στον οποίο εκχωρείται εξουσία από τον </w:t>
            </w:r>
            <w:r w:rsidR="008B1043">
              <w:rPr>
                <w:rFonts w:ascii="Arial" w:hAnsi="Arial" w:cs="Arial"/>
                <w:sz w:val="24"/>
                <w:szCs w:val="24"/>
                <w:lang w:val="el-GR"/>
              </w:rPr>
              <w:t>υπεύθυνο λ</w:t>
            </w:r>
            <w:r w:rsidRPr="00FF7C41">
              <w:rPr>
                <w:rFonts w:ascii="Arial" w:hAnsi="Arial" w:cs="Arial"/>
                <w:sz w:val="24"/>
                <w:szCs w:val="24"/>
                <w:lang w:val="el-GR"/>
              </w:rPr>
              <w:t>ειτουργό.</w:t>
            </w:r>
          </w:p>
        </w:tc>
      </w:tr>
    </w:tbl>
    <w:p w14:paraId="138AA29C" w14:textId="0CC6CAC6" w:rsidR="00873EAA" w:rsidRDefault="00873EAA" w:rsidP="00FF7C41">
      <w:pPr>
        <w:tabs>
          <w:tab w:val="left" w:pos="284"/>
          <w:tab w:val="left" w:pos="567"/>
        </w:tabs>
        <w:spacing w:line="360" w:lineRule="auto"/>
        <w:rPr>
          <w:rFonts w:ascii="Arial" w:hAnsi="Arial" w:cs="Arial"/>
          <w:sz w:val="24"/>
          <w:szCs w:val="24"/>
          <w:lang w:val="el-GR"/>
        </w:rPr>
      </w:pPr>
    </w:p>
    <w:p w14:paraId="415DD124" w14:textId="472D294B" w:rsidR="00B219DC" w:rsidRDefault="00B219DC" w:rsidP="00FF7C41">
      <w:pPr>
        <w:tabs>
          <w:tab w:val="left" w:pos="284"/>
          <w:tab w:val="left" w:pos="567"/>
        </w:tabs>
        <w:spacing w:line="360" w:lineRule="auto"/>
        <w:rPr>
          <w:rFonts w:ascii="Arial" w:hAnsi="Arial" w:cs="Arial"/>
          <w:sz w:val="24"/>
          <w:szCs w:val="24"/>
          <w:lang w:val="el-GR"/>
        </w:rPr>
      </w:pPr>
    </w:p>
    <w:p w14:paraId="2A960C92" w14:textId="1D8CE40B" w:rsidR="00B219DC" w:rsidRPr="00B219DC" w:rsidRDefault="00B219DC" w:rsidP="00FF7C41">
      <w:pPr>
        <w:tabs>
          <w:tab w:val="left" w:pos="284"/>
          <w:tab w:val="left" w:pos="567"/>
        </w:tabs>
        <w:spacing w:line="360" w:lineRule="auto"/>
        <w:rPr>
          <w:rFonts w:ascii="Arial" w:hAnsi="Arial" w:cs="Arial"/>
          <w:lang w:val="el-GR"/>
        </w:rPr>
      </w:pPr>
      <w:proofErr w:type="spellStart"/>
      <w:r w:rsidRPr="00B219DC">
        <w:rPr>
          <w:rFonts w:ascii="Arial" w:hAnsi="Arial" w:cs="Arial"/>
          <w:lang w:val="el-GR"/>
        </w:rPr>
        <w:t>Αρ</w:t>
      </w:r>
      <w:proofErr w:type="spellEnd"/>
      <w:r w:rsidRPr="00B219DC">
        <w:rPr>
          <w:rFonts w:ascii="Arial" w:hAnsi="Arial" w:cs="Arial"/>
          <w:lang w:val="el-GR"/>
        </w:rPr>
        <w:t xml:space="preserve">. </w:t>
      </w:r>
      <w:proofErr w:type="spellStart"/>
      <w:r w:rsidRPr="00B219DC">
        <w:rPr>
          <w:rFonts w:ascii="Arial" w:hAnsi="Arial" w:cs="Arial"/>
          <w:lang w:val="el-GR"/>
        </w:rPr>
        <w:t>Φακ</w:t>
      </w:r>
      <w:proofErr w:type="spellEnd"/>
      <w:r w:rsidRPr="00B219DC">
        <w:rPr>
          <w:rFonts w:ascii="Arial" w:hAnsi="Arial" w:cs="Arial"/>
          <w:lang w:val="el-GR"/>
        </w:rPr>
        <w:t>.:  23.01.03.043-2022</w:t>
      </w:r>
    </w:p>
    <w:p w14:paraId="41152C46" w14:textId="64504EB2" w:rsidR="00B219DC" w:rsidRDefault="00B219DC" w:rsidP="00FF7C41">
      <w:pPr>
        <w:tabs>
          <w:tab w:val="left" w:pos="284"/>
          <w:tab w:val="left" w:pos="567"/>
        </w:tabs>
        <w:spacing w:line="360" w:lineRule="auto"/>
        <w:rPr>
          <w:rFonts w:ascii="Arial" w:hAnsi="Arial" w:cs="Arial"/>
          <w:sz w:val="24"/>
          <w:szCs w:val="24"/>
          <w:lang w:val="el-GR"/>
        </w:rPr>
      </w:pPr>
    </w:p>
    <w:p w14:paraId="77E7F7A0" w14:textId="2AFD18C2" w:rsidR="00B219DC" w:rsidRPr="00B219DC" w:rsidRDefault="00B219DC" w:rsidP="00FF7C41">
      <w:pPr>
        <w:tabs>
          <w:tab w:val="left" w:pos="284"/>
          <w:tab w:val="left" w:pos="567"/>
        </w:tabs>
        <w:spacing w:line="360" w:lineRule="auto"/>
        <w:rPr>
          <w:rFonts w:ascii="Arial" w:hAnsi="Arial" w:cs="Arial"/>
          <w:lang w:val="el-GR"/>
        </w:rPr>
      </w:pPr>
      <w:r w:rsidRPr="00B219DC">
        <w:rPr>
          <w:rFonts w:ascii="Arial" w:hAnsi="Arial" w:cs="Arial"/>
          <w:lang w:val="el-GR"/>
        </w:rPr>
        <w:t>ΠΧ/ΜΑΧ</w:t>
      </w:r>
    </w:p>
    <w:sectPr w:rsidR="00B219DC" w:rsidRPr="00B219DC" w:rsidSect="00584A4B">
      <w:headerReference w:type="default" r:id="rId6"/>
      <w:footerReference w:type="default" r:id="rId7"/>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C52B" w14:textId="77777777" w:rsidR="00BF1E27" w:rsidRDefault="00BF1E27" w:rsidP="001D5994">
      <w:r>
        <w:separator/>
      </w:r>
    </w:p>
  </w:endnote>
  <w:endnote w:type="continuationSeparator" w:id="0">
    <w:p w14:paraId="4750148A" w14:textId="77777777" w:rsidR="00BF1E27" w:rsidRDefault="00BF1E27" w:rsidP="001D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29BC" w14:textId="3995B0AB" w:rsidR="001D5994" w:rsidRDefault="001D5994">
    <w:pPr>
      <w:pStyle w:val="Footer"/>
      <w:jc w:val="center"/>
    </w:pPr>
  </w:p>
  <w:p w14:paraId="1A38EC34" w14:textId="77777777" w:rsidR="001D5994" w:rsidRDefault="001D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CA5F7" w14:textId="77777777" w:rsidR="00BF1E27" w:rsidRDefault="00BF1E27" w:rsidP="001D5994">
      <w:r>
        <w:separator/>
      </w:r>
    </w:p>
  </w:footnote>
  <w:footnote w:type="continuationSeparator" w:id="0">
    <w:p w14:paraId="2F27AB06" w14:textId="77777777" w:rsidR="00BF1E27" w:rsidRDefault="00BF1E27" w:rsidP="001D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721404"/>
      <w:docPartObj>
        <w:docPartGallery w:val="Page Numbers (Top of Page)"/>
        <w:docPartUnique/>
      </w:docPartObj>
    </w:sdtPr>
    <w:sdtEndPr>
      <w:rPr>
        <w:rFonts w:ascii="Arial" w:hAnsi="Arial" w:cs="Arial"/>
        <w:noProof/>
        <w:sz w:val="24"/>
        <w:szCs w:val="24"/>
      </w:rPr>
    </w:sdtEndPr>
    <w:sdtContent>
      <w:p w14:paraId="2D112FCF" w14:textId="1BAEB055" w:rsidR="00584A4B" w:rsidRPr="00584A4B" w:rsidRDefault="00584A4B">
        <w:pPr>
          <w:pStyle w:val="Header"/>
          <w:jc w:val="center"/>
          <w:rPr>
            <w:rFonts w:ascii="Arial" w:hAnsi="Arial" w:cs="Arial"/>
            <w:sz w:val="24"/>
            <w:szCs w:val="24"/>
          </w:rPr>
        </w:pPr>
        <w:r w:rsidRPr="00584A4B">
          <w:rPr>
            <w:rFonts w:ascii="Arial" w:hAnsi="Arial" w:cs="Arial"/>
            <w:sz w:val="24"/>
            <w:szCs w:val="24"/>
          </w:rPr>
          <w:fldChar w:fldCharType="begin"/>
        </w:r>
        <w:r w:rsidRPr="00584A4B">
          <w:rPr>
            <w:rFonts w:ascii="Arial" w:hAnsi="Arial" w:cs="Arial"/>
            <w:sz w:val="24"/>
            <w:szCs w:val="24"/>
          </w:rPr>
          <w:instrText xml:space="preserve"> PAGE   \* MERGEFORMAT </w:instrText>
        </w:r>
        <w:r w:rsidRPr="00584A4B">
          <w:rPr>
            <w:rFonts w:ascii="Arial" w:hAnsi="Arial" w:cs="Arial"/>
            <w:sz w:val="24"/>
            <w:szCs w:val="24"/>
          </w:rPr>
          <w:fldChar w:fldCharType="separate"/>
        </w:r>
        <w:r w:rsidRPr="00584A4B">
          <w:rPr>
            <w:rFonts w:ascii="Arial" w:hAnsi="Arial" w:cs="Arial"/>
            <w:noProof/>
            <w:sz w:val="24"/>
            <w:szCs w:val="24"/>
          </w:rPr>
          <w:t>2</w:t>
        </w:r>
        <w:r w:rsidRPr="00584A4B">
          <w:rPr>
            <w:rFonts w:ascii="Arial" w:hAnsi="Arial" w:cs="Arial"/>
            <w:noProof/>
            <w:sz w:val="24"/>
            <w:szCs w:val="24"/>
          </w:rPr>
          <w:fldChar w:fldCharType="end"/>
        </w:r>
      </w:p>
    </w:sdtContent>
  </w:sdt>
  <w:p w14:paraId="3CE7F6CF" w14:textId="77777777" w:rsidR="00584A4B" w:rsidRDefault="00584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5DF"/>
    <w:rsid w:val="00033037"/>
    <w:rsid w:val="00034DAA"/>
    <w:rsid w:val="000B17D4"/>
    <w:rsid w:val="000E18B2"/>
    <w:rsid w:val="000E1EE4"/>
    <w:rsid w:val="000F35BA"/>
    <w:rsid w:val="00106DF9"/>
    <w:rsid w:val="00113D15"/>
    <w:rsid w:val="00186120"/>
    <w:rsid w:val="001D5994"/>
    <w:rsid w:val="00275432"/>
    <w:rsid w:val="00290AE8"/>
    <w:rsid w:val="002C708D"/>
    <w:rsid w:val="00371F42"/>
    <w:rsid w:val="005439DF"/>
    <w:rsid w:val="00584A4B"/>
    <w:rsid w:val="005A1571"/>
    <w:rsid w:val="005D35E6"/>
    <w:rsid w:val="005E0697"/>
    <w:rsid w:val="00633F40"/>
    <w:rsid w:val="006F5405"/>
    <w:rsid w:val="00745C17"/>
    <w:rsid w:val="00745D1F"/>
    <w:rsid w:val="007955DF"/>
    <w:rsid w:val="00810EFF"/>
    <w:rsid w:val="0082185C"/>
    <w:rsid w:val="00873EAA"/>
    <w:rsid w:val="008B1043"/>
    <w:rsid w:val="009F266B"/>
    <w:rsid w:val="00A34381"/>
    <w:rsid w:val="00A375D8"/>
    <w:rsid w:val="00AA4C51"/>
    <w:rsid w:val="00AB6745"/>
    <w:rsid w:val="00B219DC"/>
    <w:rsid w:val="00B90426"/>
    <w:rsid w:val="00BA541A"/>
    <w:rsid w:val="00BF1E27"/>
    <w:rsid w:val="00C47DDB"/>
    <w:rsid w:val="00D80EC4"/>
    <w:rsid w:val="00D85F32"/>
    <w:rsid w:val="00D920B4"/>
    <w:rsid w:val="00DD225E"/>
    <w:rsid w:val="00DE38F1"/>
    <w:rsid w:val="00EC48F8"/>
    <w:rsid w:val="00F30028"/>
    <w:rsid w:val="00F4319B"/>
    <w:rsid w:val="00F7538F"/>
    <w:rsid w:val="00FD3303"/>
    <w:rsid w:val="00FF7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2ACCD"/>
  <w15:chartTrackingRefBased/>
  <w15:docId w15:val="{4356EB2A-22EA-4BA7-A487-6B1399F1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D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994"/>
    <w:pPr>
      <w:tabs>
        <w:tab w:val="center" w:pos="4153"/>
        <w:tab w:val="right" w:pos="8306"/>
      </w:tabs>
    </w:pPr>
  </w:style>
  <w:style w:type="character" w:customStyle="1" w:styleId="HeaderChar">
    <w:name w:val="Header Char"/>
    <w:basedOn w:val="DefaultParagraphFont"/>
    <w:link w:val="Header"/>
    <w:uiPriority w:val="99"/>
    <w:rsid w:val="001D59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5994"/>
    <w:pPr>
      <w:tabs>
        <w:tab w:val="center" w:pos="4153"/>
        <w:tab w:val="right" w:pos="8306"/>
      </w:tabs>
    </w:pPr>
  </w:style>
  <w:style w:type="character" w:customStyle="1" w:styleId="FooterChar">
    <w:name w:val="Footer Char"/>
    <w:basedOn w:val="DefaultParagraphFont"/>
    <w:link w:val="Footer"/>
    <w:uiPriority w:val="99"/>
    <w:rsid w:val="001D599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915</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Georghiadou</dc:creator>
  <cp:keywords/>
  <dc:description/>
  <cp:lastModifiedBy>ACHILEOSM</cp:lastModifiedBy>
  <cp:revision>16</cp:revision>
  <dcterms:created xsi:type="dcterms:W3CDTF">2022-02-01T09:30:00Z</dcterms:created>
  <dcterms:modified xsi:type="dcterms:W3CDTF">2022-03-01T09:48:00Z</dcterms:modified>
</cp:coreProperties>
</file>