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CF30" w14:textId="77777777" w:rsidR="006F2406" w:rsidRDefault="00B649D9" w:rsidP="006F2406">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062145" w:rsidRPr="00582D7E">
        <w:rPr>
          <w:rFonts w:ascii="Arial" w:hAnsi="Arial" w:cs="Arial"/>
          <w:b/>
          <w:bCs/>
          <w:sz w:val="24"/>
          <w:szCs w:val="24"/>
        </w:rPr>
        <w:t>Ενέργειας, Εμπορίου, Βιομηχανίας και Τουρισμού</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 xml:space="preserve">για </w:t>
      </w:r>
      <w:r w:rsidR="008A622B">
        <w:rPr>
          <w:rFonts w:ascii="Arial" w:hAnsi="Arial" w:cs="Arial"/>
          <w:b/>
          <w:bCs/>
          <w:sz w:val="24"/>
          <w:szCs w:val="24"/>
        </w:rPr>
        <w:t>τον αναπεμφθέντα νόμο</w:t>
      </w:r>
      <w:r w:rsidR="006E77B9" w:rsidRPr="00582D7E">
        <w:rPr>
          <w:rFonts w:ascii="Arial" w:hAnsi="Arial" w:cs="Arial"/>
          <w:b/>
          <w:bCs/>
          <w:sz w:val="24"/>
          <w:szCs w:val="24"/>
        </w:rPr>
        <w:t xml:space="preserve"> </w:t>
      </w:r>
      <w:r w:rsidR="006F2406">
        <w:rPr>
          <w:rFonts w:ascii="Arial" w:hAnsi="Arial" w:cs="Arial"/>
          <w:b/>
          <w:bCs/>
          <w:sz w:val="24"/>
          <w:szCs w:val="24"/>
        </w:rPr>
        <w:t>«Ο περί Προώθησης και Ενθάρρυνσης της Χρήσης των Ανανεώσιμων Πηγών Ενέργειας Νόμος του 2022»</w:t>
      </w:r>
    </w:p>
    <w:p w14:paraId="4B7EEEA6" w14:textId="32056369" w:rsidR="00B649D9" w:rsidRPr="00582D7E" w:rsidRDefault="00B649D9" w:rsidP="00AE610F">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11329F5D" w14:textId="1CF29C58" w:rsidR="001F02E2" w:rsidRPr="00582D7E" w:rsidRDefault="005C565A"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582D7E">
        <w:rPr>
          <w:rFonts w:ascii="Arial" w:eastAsia="Simsun (Founder Extended)" w:hAnsi="Arial" w:cs="Arial"/>
          <w:sz w:val="24"/>
          <w:szCs w:val="24"/>
          <w:lang w:eastAsia="zh-CN"/>
        </w:rPr>
        <w:tab/>
      </w:r>
      <w:r w:rsidR="00062145" w:rsidRPr="00582D7E">
        <w:rPr>
          <w:rFonts w:ascii="Arial" w:eastAsia="Simsun (Founder Extended)" w:hAnsi="Arial" w:cs="Arial"/>
          <w:bCs/>
          <w:sz w:val="24"/>
          <w:szCs w:val="24"/>
          <w:lang w:eastAsia="zh-CN"/>
        </w:rPr>
        <w:t>Κυριάκος Χατζηγιάννης</w:t>
      </w:r>
      <w:r w:rsidR="001F02E2" w:rsidRPr="00582D7E">
        <w:rPr>
          <w:rFonts w:ascii="Arial" w:eastAsia="Simsun (Founder Extended)" w:hAnsi="Arial" w:cs="Arial"/>
          <w:bCs/>
          <w:sz w:val="24"/>
          <w:szCs w:val="24"/>
          <w:lang w:eastAsia="zh-CN"/>
        </w:rPr>
        <w:t xml:space="preserve">, πρόεδρος </w:t>
      </w:r>
      <w:r w:rsidR="001F02E2" w:rsidRPr="00582D7E">
        <w:rPr>
          <w:rFonts w:ascii="Arial" w:eastAsia="Simsun (Founder Extended)" w:hAnsi="Arial" w:cs="Arial"/>
          <w:bCs/>
          <w:sz w:val="24"/>
          <w:szCs w:val="24"/>
          <w:lang w:eastAsia="zh-CN"/>
        </w:rPr>
        <w:tab/>
      </w:r>
      <w:r w:rsidR="00EB04FE">
        <w:rPr>
          <w:rFonts w:ascii="Arial" w:eastAsia="Simsun (Founder Extended)" w:hAnsi="Arial" w:cs="Arial"/>
          <w:bCs/>
          <w:sz w:val="24"/>
          <w:szCs w:val="24"/>
          <w:lang w:eastAsia="zh-CN"/>
        </w:rPr>
        <w:t>Ανδρέας Πασιουρτίδης</w:t>
      </w:r>
    </w:p>
    <w:p w14:paraId="7DB87722" w14:textId="04922E67" w:rsidR="008A622B"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062145" w:rsidRPr="00582D7E">
        <w:rPr>
          <w:rFonts w:ascii="Arial" w:eastAsia="Simsun (Founder Extended)" w:hAnsi="Arial" w:cs="Arial"/>
          <w:bCs/>
          <w:sz w:val="24"/>
          <w:szCs w:val="24"/>
          <w:lang w:eastAsia="zh-CN"/>
        </w:rPr>
        <w:t>Ονούφριος Κουλλά</w:t>
      </w:r>
      <w:r w:rsidR="008A622B" w:rsidRPr="008A622B">
        <w:rPr>
          <w:rFonts w:ascii="Arial" w:eastAsia="Simsun (Founder Extended)" w:hAnsi="Arial" w:cs="Arial"/>
          <w:bCs/>
          <w:sz w:val="24"/>
          <w:szCs w:val="24"/>
          <w:lang w:eastAsia="zh-CN"/>
        </w:rPr>
        <w:t xml:space="preserve"> </w:t>
      </w:r>
      <w:r w:rsidR="008A622B">
        <w:rPr>
          <w:rFonts w:ascii="Arial" w:eastAsia="Simsun (Founder Extended)" w:hAnsi="Arial" w:cs="Arial"/>
          <w:bCs/>
          <w:sz w:val="24"/>
          <w:szCs w:val="24"/>
          <w:lang w:eastAsia="zh-CN"/>
        </w:rPr>
        <w:tab/>
      </w:r>
      <w:r w:rsidR="00EB04FE">
        <w:rPr>
          <w:rFonts w:ascii="Arial" w:eastAsia="Simsun (Founder Extended)" w:hAnsi="Arial" w:cs="Arial"/>
          <w:bCs/>
          <w:sz w:val="24"/>
          <w:szCs w:val="24"/>
          <w:lang w:eastAsia="zh-CN"/>
        </w:rPr>
        <w:t>Πανίκος Λεωνίδου</w:t>
      </w:r>
    </w:p>
    <w:p w14:paraId="5E18674F" w14:textId="3F1D1470" w:rsidR="001F02E2" w:rsidRPr="00582D7E" w:rsidRDefault="008A622B"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Νίκος Σύκας</w:t>
      </w:r>
      <w:r w:rsidR="001F02E2" w:rsidRPr="00582D7E">
        <w:rPr>
          <w:rFonts w:ascii="Arial" w:eastAsia="Simsun (Founder Extended)" w:hAnsi="Arial" w:cs="Arial"/>
          <w:bCs/>
          <w:sz w:val="24"/>
          <w:szCs w:val="24"/>
          <w:lang w:eastAsia="zh-CN"/>
        </w:rPr>
        <w:tab/>
      </w:r>
      <w:r w:rsidR="00EB04FE" w:rsidRPr="00582D7E">
        <w:rPr>
          <w:rFonts w:ascii="Arial" w:eastAsia="Simsun (Founder Extended)" w:hAnsi="Arial" w:cs="Arial"/>
          <w:bCs/>
          <w:sz w:val="24"/>
          <w:szCs w:val="24"/>
          <w:lang w:eastAsia="zh-CN"/>
        </w:rPr>
        <w:t>Μιχάλης Γιακουμή</w:t>
      </w:r>
    </w:p>
    <w:p w14:paraId="6B6EB7F1" w14:textId="6D415FCF" w:rsidR="004C5C75" w:rsidRPr="0022578A" w:rsidRDefault="001F02E2" w:rsidP="00EB04FE">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EB04FE" w:rsidRPr="00582D7E">
        <w:rPr>
          <w:rFonts w:ascii="Arial" w:eastAsia="Simsun (Founder Extended)" w:hAnsi="Arial" w:cs="Arial"/>
          <w:bCs/>
          <w:sz w:val="24"/>
          <w:szCs w:val="24"/>
          <w:lang w:eastAsia="zh-CN"/>
        </w:rPr>
        <w:t>Γιαννάκης Γαβριήλ</w:t>
      </w:r>
      <w:r w:rsidR="00167382" w:rsidRPr="00582D7E">
        <w:rPr>
          <w:rFonts w:ascii="Arial" w:eastAsia="Simsun (Founder Extended)" w:hAnsi="Arial" w:cs="Arial"/>
          <w:sz w:val="24"/>
          <w:szCs w:val="24"/>
          <w:lang w:eastAsia="zh-CN"/>
        </w:rPr>
        <w:tab/>
      </w:r>
      <w:r w:rsidR="00EB04FE" w:rsidRPr="00582D7E">
        <w:rPr>
          <w:rFonts w:ascii="Arial" w:eastAsia="Simsun (Founder Extended)" w:hAnsi="Arial" w:cs="Arial"/>
          <w:bCs/>
          <w:sz w:val="24"/>
          <w:szCs w:val="24"/>
          <w:lang w:eastAsia="zh-CN"/>
        </w:rPr>
        <w:t>Σταύρος Παπαδούρης</w:t>
      </w:r>
    </w:p>
    <w:p w14:paraId="1E5926CB" w14:textId="2F0C7C01" w:rsidR="00967295" w:rsidRPr="006F2406" w:rsidRDefault="004D65ED" w:rsidP="00875A3E">
      <w:pPr>
        <w:pStyle w:val="BodyText2"/>
        <w:rPr>
          <w:rFonts w:asciiTheme="minorBidi" w:hAnsiTheme="minorBidi" w:cstheme="minorBidi"/>
          <w:szCs w:val="24"/>
        </w:rPr>
      </w:pPr>
      <w:r w:rsidRPr="00582D7E">
        <w:rPr>
          <w:rFonts w:eastAsia="Simsun (Founder Extended)" w:cs="Arial"/>
          <w:bCs/>
          <w:szCs w:val="24"/>
        </w:rPr>
        <w:tab/>
      </w:r>
      <w:r w:rsidR="002E7989" w:rsidRPr="00582D7E">
        <w:rPr>
          <w:rFonts w:cs="Arial"/>
          <w:szCs w:val="24"/>
        </w:rPr>
        <w:t xml:space="preserve">Η Κοινοβουλευτική Επιτροπή </w:t>
      </w:r>
      <w:r w:rsidR="00167382" w:rsidRPr="00582D7E">
        <w:rPr>
          <w:rFonts w:cs="Arial"/>
          <w:szCs w:val="24"/>
        </w:rPr>
        <w:t>Ε</w:t>
      </w:r>
      <w:r w:rsidR="00D000EE" w:rsidRPr="00582D7E">
        <w:rPr>
          <w:rFonts w:cs="Arial"/>
          <w:szCs w:val="24"/>
        </w:rPr>
        <w:t>νέργειας, Εμπορίου, Βιομηχανίας και Τουρισμού</w:t>
      </w:r>
      <w:r w:rsidR="002E7989" w:rsidRPr="00582D7E">
        <w:rPr>
          <w:rFonts w:cs="Arial"/>
          <w:szCs w:val="24"/>
        </w:rPr>
        <w:t xml:space="preserve"> </w:t>
      </w:r>
      <w:bookmarkEnd w:id="1"/>
      <w:r w:rsidR="00875A3E">
        <w:rPr>
          <w:rFonts w:cs="Arial"/>
          <w:szCs w:val="24"/>
        </w:rPr>
        <w:t>επανεξέτασε σε συνεδρία της, που πραγματοποιήθηκε στις 28 Ιουνίου 2022, τον πιο πάνω νόμο, τον οποίο η Βουλή των Αντιπροσώπων ψήφισε στις 2 Ιουνίου 2022 και τ</w:t>
      </w:r>
      <w:r w:rsidR="00635866">
        <w:rPr>
          <w:rFonts w:cs="Arial"/>
          <w:szCs w:val="24"/>
        </w:rPr>
        <w:t>ου</w:t>
      </w:r>
      <w:r w:rsidR="00875A3E">
        <w:rPr>
          <w:rFonts w:cs="Arial"/>
          <w:szCs w:val="24"/>
        </w:rPr>
        <w:t xml:space="preserve"> οποί</w:t>
      </w:r>
      <w:r w:rsidR="00635866">
        <w:rPr>
          <w:rFonts w:cs="Arial"/>
          <w:szCs w:val="24"/>
        </w:rPr>
        <w:t>ου</w:t>
      </w:r>
      <w:r w:rsidR="00875A3E">
        <w:rPr>
          <w:rFonts w:cs="Arial"/>
          <w:szCs w:val="24"/>
        </w:rPr>
        <w:t xml:space="preserve"> τμήμα αναπέμφθηκε </w:t>
      </w:r>
      <w:r w:rsidR="00697A98">
        <w:rPr>
          <w:rFonts w:cs="Arial"/>
          <w:szCs w:val="24"/>
        </w:rPr>
        <w:t>από την Προεδρεύουσα</w:t>
      </w:r>
      <w:r w:rsidR="00875A3E">
        <w:rPr>
          <w:rFonts w:cs="Arial"/>
          <w:szCs w:val="24"/>
        </w:rPr>
        <w:t xml:space="preserve"> της Δημοκρατίας κατ’ επίκληση του Άρθρου 51.1 του Συντάγματος της Κυπριακής Δημοκρατίας.</w:t>
      </w:r>
      <w:r w:rsidR="00875A3E">
        <w:rPr>
          <w:rFonts w:cs="Arial"/>
        </w:rPr>
        <w:t xml:space="preserve"> Στη συνεδρίαση αυτή κλήθηκαν και παρευρέθηκαν εκπρόσωποι του Υπουργείου Ενέργειας, Εμπορίου και Βιομηχανίας, της Νομικής Υπηρεσίας της Δημοκρατίας και της Ρυθμιστικής Αρχής </w:t>
      </w:r>
      <w:r w:rsidR="00875A3E" w:rsidRPr="006F2406">
        <w:rPr>
          <w:rFonts w:asciiTheme="minorBidi" w:hAnsiTheme="minorBidi" w:cstheme="minorBidi"/>
          <w:szCs w:val="24"/>
        </w:rPr>
        <w:t>Ενέργειας Κύπρου.</w:t>
      </w:r>
    </w:p>
    <w:p w14:paraId="69B8FD59" w14:textId="598712FC" w:rsidR="003738D5" w:rsidRPr="00EB04FE" w:rsidRDefault="002D4C09" w:rsidP="00EB04FE">
      <w:pPr>
        <w:tabs>
          <w:tab w:val="left" w:pos="567"/>
        </w:tabs>
        <w:spacing w:after="0" w:line="480" w:lineRule="auto"/>
        <w:jc w:val="both"/>
        <w:rPr>
          <w:rFonts w:asciiTheme="minorBidi" w:eastAsia="Calibri" w:hAnsiTheme="minorBidi"/>
          <w:bCs/>
          <w:sz w:val="24"/>
          <w:szCs w:val="24"/>
        </w:rPr>
      </w:pPr>
      <w:r w:rsidRPr="006F2406">
        <w:rPr>
          <w:rFonts w:asciiTheme="minorBidi" w:hAnsiTheme="minorBidi"/>
          <w:sz w:val="24"/>
          <w:szCs w:val="24"/>
        </w:rPr>
        <w:tab/>
      </w:r>
      <w:r w:rsidR="00875A3E" w:rsidRPr="006F2406">
        <w:rPr>
          <w:rFonts w:asciiTheme="minorBidi" w:hAnsiTheme="minorBidi"/>
          <w:sz w:val="24"/>
          <w:szCs w:val="24"/>
        </w:rPr>
        <w:t>Όπως είναι γνωστό</w:t>
      </w:r>
      <w:r w:rsidR="006D6201">
        <w:rPr>
          <w:rFonts w:asciiTheme="minorBidi" w:hAnsiTheme="minorBidi"/>
          <w:sz w:val="24"/>
          <w:szCs w:val="24"/>
        </w:rPr>
        <w:t>,</w:t>
      </w:r>
      <w:r w:rsidR="00875A3E" w:rsidRPr="006F2406">
        <w:rPr>
          <w:rFonts w:asciiTheme="minorBidi" w:hAnsiTheme="minorBidi"/>
          <w:sz w:val="24"/>
          <w:szCs w:val="24"/>
        </w:rPr>
        <w:t xml:space="preserve"> με τον αναπεμφθέντα νόμο σκοπείται </w:t>
      </w:r>
      <w:r w:rsidR="006F2406" w:rsidRPr="006F2406">
        <w:rPr>
          <w:rFonts w:asciiTheme="minorBidi" w:eastAsia="Calibri" w:hAnsiTheme="minorBidi"/>
          <w:bCs/>
          <w:sz w:val="24"/>
          <w:szCs w:val="24"/>
        </w:rPr>
        <w:t>η εναρμόνιση της εθνικής νομοθεσίας με την πράξη της Ευρωπαϊκής Ένωσης με τίτλο «Οδηγία (ΕΕ) 2018/2001 του Ευρωπαϊκού Κοινοβουλίου και του Συμβουλίου της 11</w:t>
      </w:r>
      <w:r w:rsidR="006F2406" w:rsidRPr="006F2406">
        <w:rPr>
          <w:rFonts w:asciiTheme="minorBidi" w:eastAsia="Calibri" w:hAnsiTheme="minorBidi"/>
          <w:bCs/>
          <w:sz w:val="24"/>
          <w:szCs w:val="24"/>
          <w:vertAlign w:val="superscript"/>
        </w:rPr>
        <w:t xml:space="preserve">ης </w:t>
      </w:r>
      <w:r w:rsidR="006F2406" w:rsidRPr="006F2406">
        <w:rPr>
          <w:rFonts w:asciiTheme="minorBidi" w:eastAsia="Calibri" w:hAnsiTheme="minorBidi"/>
          <w:bCs/>
          <w:sz w:val="24"/>
          <w:szCs w:val="24"/>
        </w:rPr>
        <w:t xml:space="preserve">Δεκεμβρίου 2018 για την προώθηση της χρήσης ενέργειας από ανανεώσιμες πηγές». Παράλληλα, με τον </w:t>
      </w:r>
      <w:r w:rsidR="006F2406">
        <w:rPr>
          <w:rFonts w:asciiTheme="minorBidi" w:eastAsia="Calibri" w:hAnsiTheme="minorBidi"/>
          <w:bCs/>
          <w:sz w:val="24"/>
          <w:szCs w:val="24"/>
        </w:rPr>
        <w:t xml:space="preserve">εν λόγω </w:t>
      </w:r>
      <w:r w:rsidR="006F2406" w:rsidRPr="006F2406">
        <w:rPr>
          <w:rFonts w:asciiTheme="minorBidi" w:eastAsia="Calibri" w:hAnsiTheme="minorBidi"/>
          <w:bCs/>
          <w:sz w:val="24"/>
          <w:szCs w:val="24"/>
        </w:rPr>
        <w:t>νόμο καταργείται και αντικαθίσταται ο περί Προώθησης και Ενθάρρυνσης της Χρήσης των Ανανεώσιμων Πηγών Ενέργειας Νόμος [Ν. 112(Ι)/2013].</w:t>
      </w:r>
    </w:p>
    <w:p w14:paraId="5BB98AB0" w14:textId="4D29EA55" w:rsidR="00875A3E" w:rsidRDefault="00875A3E" w:rsidP="00875A3E">
      <w:pPr>
        <w:pStyle w:val="BodyText2"/>
        <w:rPr>
          <w:rFonts w:eastAsia="Calibri" w:cs="Arial"/>
          <w:bCs/>
          <w:szCs w:val="24"/>
        </w:rPr>
      </w:pPr>
      <w:r>
        <w:rPr>
          <w:rFonts w:eastAsia="Calibri" w:cs="Arial"/>
          <w:bCs/>
          <w:szCs w:val="24"/>
        </w:rPr>
        <w:tab/>
        <w:t xml:space="preserve">Υπενθυμίζεται ότι στο στάδιο της συζήτησης του σχετικού νομοσχεδίου η επιτροπή, λαμβάνοντας υπόψη όλα όσα τέθηκαν ενώπιόν της, επέφερε σημαντικές τροποποιήσεις, προκειμένου να επέλθουν σε αυτό οι δέουσες νομοτεχνικές και επί της ουσίας βελτιώσεις </w:t>
      </w:r>
      <w:r>
        <w:rPr>
          <w:rFonts w:eastAsia="Calibri" w:cs="Arial"/>
          <w:bCs/>
          <w:szCs w:val="24"/>
        </w:rPr>
        <w:lastRenderedPageBreak/>
        <w:t xml:space="preserve">και να επιτευχθούν κατά το δυνατόν </w:t>
      </w:r>
      <w:r w:rsidR="00D822AB">
        <w:rPr>
          <w:rFonts w:eastAsia="Calibri" w:cs="Arial"/>
          <w:bCs/>
          <w:szCs w:val="24"/>
        </w:rPr>
        <w:t xml:space="preserve">οι απαραίτητες συγκλίσεις επί των θεμάτων για τα οποία εκφράστηκαν διαφωνίες και επιφυλάξεις από μέρους των ενδιαφερόμενων πλευρών. </w:t>
      </w:r>
    </w:p>
    <w:p w14:paraId="38DAFBE5" w14:textId="69EB37A0" w:rsidR="00D822AB" w:rsidRDefault="00D822AB" w:rsidP="00875A3E">
      <w:pPr>
        <w:pStyle w:val="BodyText2"/>
        <w:rPr>
          <w:rFonts w:eastAsia="Calibri" w:cs="Arial"/>
          <w:bCs/>
          <w:szCs w:val="24"/>
        </w:rPr>
      </w:pPr>
      <w:r>
        <w:rPr>
          <w:rFonts w:eastAsia="Calibri" w:cs="Arial"/>
          <w:bCs/>
          <w:szCs w:val="24"/>
        </w:rPr>
        <w:tab/>
        <w:t>Οι κυριότεροι λόγοι της αναπομπής τμήματος τ</w:t>
      </w:r>
      <w:r w:rsidR="00CB45D8">
        <w:rPr>
          <w:rFonts w:eastAsia="Calibri" w:cs="Arial"/>
          <w:bCs/>
          <w:szCs w:val="24"/>
        </w:rPr>
        <w:t>ου</w:t>
      </w:r>
      <w:r>
        <w:rPr>
          <w:rFonts w:eastAsia="Calibri" w:cs="Arial"/>
          <w:bCs/>
          <w:szCs w:val="24"/>
        </w:rPr>
        <w:t xml:space="preserve"> υπό αναφορά νόμ</w:t>
      </w:r>
      <w:r w:rsidR="00CB45D8">
        <w:rPr>
          <w:rFonts w:eastAsia="Calibri" w:cs="Arial"/>
          <w:bCs/>
          <w:szCs w:val="24"/>
        </w:rPr>
        <w:t>ου</w:t>
      </w:r>
      <w:r>
        <w:rPr>
          <w:rFonts w:eastAsia="Calibri" w:cs="Arial"/>
          <w:bCs/>
          <w:szCs w:val="24"/>
        </w:rPr>
        <w:t xml:space="preserve"> από τ</w:t>
      </w:r>
      <w:r w:rsidR="00CB45D8">
        <w:rPr>
          <w:rFonts w:eastAsia="Calibri" w:cs="Arial"/>
          <w:bCs/>
          <w:szCs w:val="24"/>
        </w:rPr>
        <w:t>η</w:t>
      </w:r>
      <w:r>
        <w:rPr>
          <w:rFonts w:eastAsia="Calibri" w:cs="Arial"/>
          <w:bCs/>
          <w:szCs w:val="24"/>
        </w:rPr>
        <w:t>ν Πρ</w:t>
      </w:r>
      <w:r w:rsidR="00CB45D8">
        <w:rPr>
          <w:rFonts w:eastAsia="Calibri" w:cs="Arial"/>
          <w:bCs/>
          <w:szCs w:val="24"/>
        </w:rPr>
        <w:t>οεδρεύουσα</w:t>
      </w:r>
      <w:r>
        <w:rPr>
          <w:rFonts w:eastAsia="Calibri" w:cs="Arial"/>
          <w:bCs/>
          <w:szCs w:val="24"/>
        </w:rPr>
        <w:t xml:space="preserve"> της Δημοκρατίας, όπως αυτοί εξάγονται από την επιστολή της προς τον Προεδρεύ</w:t>
      </w:r>
      <w:r w:rsidR="003543C5">
        <w:rPr>
          <w:rFonts w:eastAsia="Calibri" w:cs="Arial"/>
          <w:bCs/>
          <w:szCs w:val="24"/>
        </w:rPr>
        <w:t>ο</w:t>
      </w:r>
      <w:r>
        <w:rPr>
          <w:rFonts w:eastAsia="Calibri" w:cs="Arial"/>
          <w:bCs/>
          <w:szCs w:val="24"/>
        </w:rPr>
        <w:t>ν</w:t>
      </w:r>
      <w:r w:rsidR="003543C5">
        <w:rPr>
          <w:rFonts w:eastAsia="Calibri" w:cs="Arial"/>
          <w:bCs/>
          <w:szCs w:val="24"/>
        </w:rPr>
        <w:t>τα</w:t>
      </w:r>
      <w:r>
        <w:rPr>
          <w:rFonts w:eastAsia="Calibri" w:cs="Arial"/>
          <w:bCs/>
          <w:szCs w:val="24"/>
        </w:rPr>
        <w:t xml:space="preserve"> της Βουλής των Αντιπροσώπων, ημερομηνίας 23 Ιουνίου 2022, παρατίθενται ακολούθως αυτούσιοι:</w:t>
      </w:r>
    </w:p>
    <w:p w14:paraId="3746B062" w14:textId="3B6CB5A9" w:rsidR="00717420" w:rsidRDefault="007D4C26" w:rsidP="00875A3E">
      <w:pPr>
        <w:pStyle w:val="BodyText2"/>
        <w:rPr>
          <w:rFonts w:eastAsia="Calibri" w:cs="Arial"/>
          <w:b/>
          <w:szCs w:val="24"/>
          <w:u w:val="single"/>
        </w:rPr>
      </w:pPr>
      <w:r w:rsidRPr="003B4585">
        <w:rPr>
          <w:rFonts w:eastAsia="Calibri" w:cs="Arial"/>
          <w:bCs/>
          <w:szCs w:val="24"/>
        </w:rPr>
        <w:t>«</w:t>
      </w:r>
      <w:r w:rsidR="00B8491C">
        <w:rPr>
          <w:rFonts w:eastAsia="Calibri" w:cs="Arial"/>
          <w:b/>
          <w:szCs w:val="24"/>
          <w:u w:val="single"/>
        </w:rPr>
        <w:t xml:space="preserve">Μείωση του μέγιστου χρόνου ολοκλήρωσης της διαδικασίας αδειοδότησης σταθμών παραγωγής </w:t>
      </w:r>
      <w:r w:rsidR="006D6201">
        <w:rPr>
          <w:rFonts w:eastAsia="Calibri" w:cs="Arial"/>
          <w:b/>
          <w:szCs w:val="24"/>
          <w:u w:val="single"/>
        </w:rPr>
        <w:t>ε</w:t>
      </w:r>
      <w:r w:rsidR="00B8491C">
        <w:rPr>
          <w:rFonts w:eastAsia="Calibri" w:cs="Arial"/>
          <w:b/>
          <w:szCs w:val="24"/>
          <w:u w:val="single"/>
        </w:rPr>
        <w:t>νέργειας από ΑΠΕ</w:t>
      </w:r>
      <w:r>
        <w:rPr>
          <w:rFonts w:eastAsia="Calibri" w:cs="Arial"/>
          <w:b/>
          <w:szCs w:val="24"/>
          <w:u w:val="single"/>
        </w:rPr>
        <w:t>.</w:t>
      </w:r>
    </w:p>
    <w:p w14:paraId="37393158" w14:textId="34C460B8" w:rsidR="00B8491C" w:rsidRDefault="00B8491C" w:rsidP="00875A3E">
      <w:pPr>
        <w:pStyle w:val="BodyText2"/>
        <w:rPr>
          <w:rFonts w:eastAsia="Calibri" w:cs="Arial"/>
          <w:bCs/>
          <w:szCs w:val="24"/>
        </w:rPr>
      </w:pPr>
      <w:r>
        <w:rPr>
          <w:rFonts w:eastAsia="Calibri" w:cs="Arial"/>
          <w:bCs/>
          <w:szCs w:val="24"/>
        </w:rPr>
        <w:tab/>
        <w:t>Στα εδάφια (6) και (7) του άρθρου 18 του υπό αναπομπή Νόμου προβλέπονται μικρότερα μέγιστα αποδεκτά χρονοδιαγράμματα ολοκλήρωσης της διαδικασίας αδειοδότησης έργων ΑΠΕ σε σχέση με αυτά που παρέχονται ως δυνατότητα στο άρθρο 16 της Οδηγίας (ΕΕ) 2018/2001 του Ευρωπαϊκού Κοινοβουλίου και του Συμβουλίου, της 11</w:t>
      </w:r>
      <w:r w:rsidRPr="00B8491C">
        <w:rPr>
          <w:rFonts w:eastAsia="Calibri" w:cs="Arial"/>
          <w:bCs/>
          <w:szCs w:val="24"/>
          <w:vertAlign w:val="superscript"/>
        </w:rPr>
        <w:t>ης</w:t>
      </w:r>
      <w:r>
        <w:rPr>
          <w:rFonts w:eastAsia="Calibri" w:cs="Arial"/>
          <w:bCs/>
          <w:szCs w:val="24"/>
        </w:rPr>
        <w:t xml:space="preserve"> Δεκεμβρίου 2018 για την προώθηση της χρήσης ενέργειας από ανανεώσιμες πηγές </w:t>
      </w:r>
      <w:r w:rsidR="00BC4C53">
        <w:rPr>
          <w:rFonts w:eastAsia="Calibri" w:cs="Arial"/>
          <w:bCs/>
          <w:szCs w:val="24"/>
        </w:rPr>
        <w:t xml:space="preserve">(στο εξής </w:t>
      </w:r>
      <w:r w:rsidR="007D4C26" w:rsidRPr="007D4C26">
        <w:rPr>
          <w:rFonts w:eastAsia="Calibri" w:cs="Arial"/>
          <w:bCs/>
          <w:szCs w:val="24"/>
        </w:rPr>
        <w:t>“</w:t>
      </w:r>
      <w:r w:rsidR="00BC4C53">
        <w:rPr>
          <w:rFonts w:eastAsia="Calibri" w:cs="Arial"/>
          <w:bCs/>
          <w:szCs w:val="24"/>
        </w:rPr>
        <w:t>η Οδηγία</w:t>
      </w:r>
      <w:r w:rsidR="007D4C26" w:rsidRPr="007D4C26">
        <w:rPr>
          <w:rFonts w:eastAsia="Calibri" w:cs="Arial"/>
          <w:bCs/>
          <w:szCs w:val="24"/>
        </w:rPr>
        <w:t>”</w:t>
      </w:r>
      <w:r w:rsidR="00BC4C53">
        <w:rPr>
          <w:rFonts w:eastAsia="Calibri" w:cs="Arial"/>
          <w:bCs/>
          <w:szCs w:val="24"/>
        </w:rPr>
        <w:t>).  Συγκεκριμένα, το άρθρο 16(4) της Οδηγίας προβλέπει ότι η διαδικασία αδειοδότησης δεν υπερβαίνει τα δύο έτη.</w:t>
      </w:r>
    </w:p>
    <w:p w14:paraId="6BB5D02E" w14:textId="55B50265" w:rsidR="00535A18" w:rsidRDefault="00535A18" w:rsidP="00875A3E">
      <w:pPr>
        <w:pStyle w:val="BodyText2"/>
        <w:rPr>
          <w:rFonts w:eastAsia="Calibri" w:cs="Arial"/>
          <w:bCs/>
          <w:szCs w:val="24"/>
        </w:rPr>
      </w:pPr>
      <w:r>
        <w:rPr>
          <w:rFonts w:eastAsia="Calibri" w:cs="Arial"/>
          <w:bCs/>
          <w:szCs w:val="24"/>
        </w:rPr>
        <w:tab/>
        <w:t xml:space="preserve">Επίσης στα εδάφια (6) και (7) του άρθρου 18 του υπό αναπομπή Νόμου έχει προστεθεί διάταξη σύμφωνα με την οποία η εξέταση της πληρότητας της </w:t>
      </w:r>
      <w:r w:rsidR="00075444">
        <w:rPr>
          <w:rFonts w:eastAsia="Calibri" w:cs="Arial"/>
          <w:bCs/>
          <w:szCs w:val="24"/>
        </w:rPr>
        <w:t>αί</w:t>
      </w:r>
      <w:r>
        <w:rPr>
          <w:rFonts w:eastAsia="Calibri" w:cs="Arial"/>
          <w:bCs/>
          <w:szCs w:val="24"/>
        </w:rPr>
        <w:t>τησης για αδειοδότηση σταθμών ΑΠΕ ηλεκτροπαραγωγής, ολοκληρώνεται κατά την ημέρα κατάθεσης της αίτησης.</w:t>
      </w:r>
    </w:p>
    <w:p w14:paraId="03A83248" w14:textId="04D037AE" w:rsidR="00535A18" w:rsidRDefault="00535A18" w:rsidP="00875A3E">
      <w:pPr>
        <w:pStyle w:val="BodyText2"/>
        <w:rPr>
          <w:rFonts w:eastAsia="Calibri" w:cs="Arial"/>
          <w:bCs/>
          <w:szCs w:val="24"/>
        </w:rPr>
      </w:pPr>
      <w:r>
        <w:rPr>
          <w:rFonts w:eastAsia="Calibri" w:cs="Arial"/>
          <w:bCs/>
          <w:szCs w:val="24"/>
        </w:rPr>
        <w:tab/>
        <w:t>Τα εν λόγω χρονοδιαγράμματα κρίνονται ιδιαίτερα περιοριστικά και αναμένεται ότι θα επιφέρουν αύξηση του διοικητικού κόστους στις εμπλεκόμενες αρχές αδειοδότησης σταθμών ΑΠΕ και ενδεχομένως μείωση της ποιότητας των προσφερόμενων υπηρεσι</w:t>
      </w:r>
      <w:r w:rsidR="005F74FA">
        <w:rPr>
          <w:rFonts w:eastAsia="Calibri" w:cs="Arial"/>
          <w:bCs/>
          <w:szCs w:val="24"/>
        </w:rPr>
        <w:t>ώ</w:t>
      </w:r>
      <w:r>
        <w:rPr>
          <w:rFonts w:eastAsia="Calibri" w:cs="Arial"/>
          <w:bCs/>
          <w:szCs w:val="24"/>
        </w:rPr>
        <w:t>ν ή/και σε ορισμένες περιπτώσεις, λόγω πρακτικών δυσκολιών να μην είναι εφικτό να εφαρμοστούν.</w:t>
      </w:r>
    </w:p>
    <w:p w14:paraId="42F4B7A5" w14:textId="00011CCA" w:rsidR="005F74FA" w:rsidRDefault="005F74FA" w:rsidP="00875A3E">
      <w:pPr>
        <w:pStyle w:val="BodyText2"/>
        <w:rPr>
          <w:rFonts w:eastAsia="Calibri" w:cs="Arial"/>
          <w:b/>
          <w:szCs w:val="24"/>
        </w:rPr>
      </w:pPr>
      <w:r>
        <w:rPr>
          <w:rFonts w:eastAsia="Calibri" w:cs="Arial"/>
          <w:b/>
          <w:szCs w:val="24"/>
          <w:u w:val="single"/>
        </w:rPr>
        <w:lastRenderedPageBreak/>
        <w:t>Παροχή αρμοδιότητα</w:t>
      </w:r>
      <w:r w:rsidR="006D6201">
        <w:rPr>
          <w:rFonts w:eastAsia="Calibri" w:cs="Arial"/>
          <w:b/>
          <w:szCs w:val="24"/>
          <w:u w:val="single"/>
        </w:rPr>
        <w:t>ς</w:t>
      </w:r>
      <w:r>
        <w:rPr>
          <w:rFonts w:eastAsia="Calibri" w:cs="Arial"/>
          <w:b/>
          <w:szCs w:val="24"/>
          <w:u w:val="single"/>
        </w:rPr>
        <w:t xml:space="preserve"> στη ΡΑΕΚ αναφορικά με τη διαδικασία αδειοδότησης της εγκατάστασης φωτοβολταϊκών συστημάτων σε υφιστάμενες οικοδομές</w:t>
      </w:r>
      <w:r w:rsidR="007D4C26">
        <w:rPr>
          <w:rFonts w:eastAsia="Calibri" w:cs="Arial"/>
          <w:b/>
          <w:szCs w:val="24"/>
          <w:u w:val="single"/>
        </w:rPr>
        <w:t>.</w:t>
      </w:r>
    </w:p>
    <w:p w14:paraId="4F381300" w14:textId="77D4AF44" w:rsidR="005F74FA" w:rsidRDefault="005F74FA" w:rsidP="00875A3E">
      <w:pPr>
        <w:pStyle w:val="BodyText2"/>
        <w:rPr>
          <w:rFonts w:eastAsia="Calibri" w:cs="Arial"/>
          <w:bCs/>
          <w:szCs w:val="24"/>
        </w:rPr>
      </w:pPr>
      <w:r>
        <w:rPr>
          <w:rFonts w:eastAsia="Calibri" w:cs="Arial"/>
          <w:bCs/>
          <w:szCs w:val="24"/>
        </w:rPr>
        <w:tab/>
        <w:t>Οι διατάξεις της παραγράφου (α) του εδαφίου (9) του άρθρου 18 του υπό αναπομπή Νόμου παραβιάζουν και συγκρούονται με πρόνοιες άλλων νομοθεσιών.  Συγ</w:t>
      </w:r>
      <w:r w:rsidR="007D4C26">
        <w:rPr>
          <w:rFonts w:eastAsia="Calibri" w:cs="Arial"/>
          <w:bCs/>
          <w:szCs w:val="24"/>
        </w:rPr>
        <w:t>κ</w:t>
      </w:r>
      <w:r>
        <w:rPr>
          <w:rFonts w:eastAsia="Calibri" w:cs="Arial"/>
          <w:bCs/>
          <w:szCs w:val="24"/>
        </w:rPr>
        <w:t xml:space="preserve">εκριμένα η εν λόγω παράγραφος αναφέρει ότι </w:t>
      </w:r>
      <w:r w:rsidR="007D4C26" w:rsidRPr="007D4C26">
        <w:rPr>
          <w:rFonts w:eastAsia="Calibri" w:cs="Arial"/>
          <w:bCs/>
          <w:szCs w:val="24"/>
        </w:rPr>
        <w:t>“</w:t>
      </w:r>
      <w:r>
        <w:rPr>
          <w:rFonts w:eastAsia="Calibri" w:cs="Arial"/>
          <w:bCs/>
          <w:szCs w:val="24"/>
        </w:rPr>
        <w:t>η ΡΑΕΚ διασφαλίζει ότι η διαδικασία αδειοδότησης για εγκατάσταση φωτοβολταϊκών συστημάτων επί του κελύφους υφιστάμενης οικοδομής είναι απλουστευμένη, διεκπεραιώνεται μεταξύ ΡΑΕΚ και Διαχειριστή Συστήματος Διανομής και η ολοκλήρωσή της δεν υπερβαίνει το</w:t>
      </w:r>
      <w:r w:rsidR="002D1FE0">
        <w:rPr>
          <w:rFonts w:eastAsia="Calibri" w:cs="Arial"/>
          <w:bCs/>
          <w:szCs w:val="24"/>
        </w:rPr>
        <w:t>ν</w:t>
      </w:r>
      <w:r>
        <w:rPr>
          <w:rFonts w:eastAsia="Calibri" w:cs="Arial"/>
          <w:bCs/>
          <w:szCs w:val="24"/>
        </w:rPr>
        <w:t xml:space="preserve"> ένα (1) μήνα</w:t>
      </w:r>
      <w:r w:rsidR="007D4C26" w:rsidRPr="007D4C26">
        <w:rPr>
          <w:rFonts w:eastAsia="Calibri" w:cs="Arial"/>
          <w:bCs/>
          <w:szCs w:val="24"/>
        </w:rPr>
        <w:t>”</w:t>
      </w:r>
      <w:r>
        <w:rPr>
          <w:rFonts w:eastAsia="Calibri" w:cs="Arial"/>
          <w:bCs/>
          <w:szCs w:val="24"/>
        </w:rPr>
        <w:t>.  Κατ’ αυτό τον τρόπο περιορίζονται οι εξουσίες αρμόδιων αρχών που εμπλέκονται στη διαδικασία αδειοδότησης έρ</w:t>
      </w:r>
      <w:r w:rsidR="004439D9">
        <w:rPr>
          <w:rFonts w:eastAsia="Calibri" w:cs="Arial"/>
          <w:bCs/>
          <w:szCs w:val="24"/>
        </w:rPr>
        <w:t>γ</w:t>
      </w:r>
      <w:r>
        <w:rPr>
          <w:rFonts w:eastAsia="Calibri" w:cs="Arial"/>
          <w:bCs/>
          <w:szCs w:val="24"/>
        </w:rPr>
        <w:t xml:space="preserve">ων ΑΠΕ (Πολεοδομία, Δήμοι/Έπαρχοι, Τμήμα Περιβάλλοντος) καθώς και οι πρόνοιες των αντίστοιχων νόμων (περί Πολεοδομίας και Χωροταξίας Νόμος, περί Ρύθμισης Οδών και Οικοδομών Νόμος, περί της Εκτίμησης των Επιπτώσεων στο Περιβάλλον από </w:t>
      </w:r>
      <w:r w:rsidR="003B4585">
        <w:rPr>
          <w:rFonts w:eastAsia="Calibri" w:cs="Arial"/>
          <w:bCs/>
          <w:szCs w:val="24"/>
        </w:rPr>
        <w:t>Ο</w:t>
      </w:r>
      <w:r>
        <w:rPr>
          <w:rFonts w:eastAsia="Calibri" w:cs="Arial"/>
          <w:bCs/>
          <w:szCs w:val="24"/>
        </w:rPr>
        <w:t>ρισμένα Έργα Νόμος).</w:t>
      </w:r>
    </w:p>
    <w:p w14:paraId="2964A5DA" w14:textId="5C0F9F89" w:rsidR="005F74FA" w:rsidRDefault="005F74FA" w:rsidP="00875A3E">
      <w:pPr>
        <w:pStyle w:val="BodyText2"/>
        <w:rPr>
          <w:rFonts w:eastAsia="Calibri" w:cs="Arial"/>
          <w:bCs/>
          <w:szCs w:val="24"/>
        </w:rPr>
      </w:pPr>
      <w:r>
        <w:rPr>
          <w:rFonts w:eastAsia="Calibri" w:cs="Arial"/>
          <w:bCs/>
          <w:szCs w:val="24"/>
        </w:rPr>
        <w:tab/>
        <w:t>Επιπρόσθετα, υπάρχει ασάφεια ως προς την εφαρμογή της διάταξη</w:t>
      </w:r>
      <w:r w:rsidR="005702BD">
        <w:rPr>
          <w:rFonts w:eastAsia="Calibri" w:cs="Arial"/>
          <w:bCs/>
          <w:szCs w:val="24"/>
        </w:rPr>
        <w:t>ς</w:t>
      </w:r>
      <w:r>
        <w:rPr>
          <w:rFonts w:eastAsia="Calibri" w:cs="Arial"/>
          <w:bCs/>
          <w:szCs w:val="24"/>
        </w:rPr>
        <w:t xml:space="preserve"> στην παράγραφο (β) καθώς και ως προς τη διαδικασία </w:t>
      </w:r>
      <w:r w:rsidR="005702BD">
        <w:rPr>
          <w:rFonts w:eastAsia="Calibri" w:cs="Arial"/>
          <w:bCs/>
          <w:szCs w:val="24"/>
        </w:rPr>
        <w:t>ελέγχου και επιβολής κυρώσεων σε περίπτωση παράβασης.</w:t>
      </w:r>
    </w:p>
    <w:p w14:paraId="66A0F475" w14:textId="1C9DEC44" w:rsidR="005702BD" w:rsidRDefault="005702BD" w:rsidP="00875A3E">
      <w:pPr>
        <w:pStyle w:val="BodyText2"/>
        <w:rPr>
          <w:rFonts w:eastAsia="Calibri" w:cs="Arial"/>
          <w:bCs/>
          <w:szCs w:val="24"/>
        </w:rPr>
      </w:pPr>
      <w:r>
        <w:rPr>
          <w:rFonts w:eastAsia="Calibri" w:cs="Arial"/>
          <w:bCs/>
          <w:szCs w:val="24"/>
        </w:rPr>
        <w:tab/>
        <w:t>Σημειώνεται ότι, ο καθορισμός απλουστευμένης διαδικασίας αδειοδότησης για τη μικρή αποκεντρωμένη ή/και την κατανεμημένη παραγωγή ηλεκτρικής ενέργειας, είναι αρμοδιότητα του Υπουργικού Συμβουλίου σύμφωνα με το άρθρο 25(3) του περί Ρύθμισης της Αγοράς Ηλεκτρισμού Νόμου του 2021, Ν. 130(Ι)/2021.</w:t>
      </w:r>
    </w:p>
    <w:p w14:paraId="717DAFFC" w14:textId="6DBEE37C" w:rsidR="005702BD" w:rsidRDefault="005702BD" w:rsidP="00875A3E">
      <w:pPr>
        <w:pStyle w:val="BodyText2"/>
        <w:rPr>
          <w:rFonts w:eastAsia="Calibri" w:cs="Arial"/>
          <w:bCs/>
          <w:szCs w:val="24"/>
        </w:rPr>
      </w:pPr>
      <w:r>
        <w:rPr>
          <w:rFonts w:eastAsia="Calibri" w:cs="Arial"/>
          <w:b/>
          <w:szCs w:val="24"/>
          <w:u w:val="single"/>
        </w:rPr>
        <w:t>Πρόνοιες στον υπό Αναφορά Νόμο που δεν αποτελούν ορθή εναρμόνιση με τις αντίστοιχες διατάξεις της Οδηγίας (ΕΕ) 2018/2001</w:t>
      </w:r>
      <w:r w:rsidR="002D1FE0">
        <w:rPr>
          <w:rFonts w:eastAsia="Calibri" w:cs="Arial"/>
          <w:b/>
          <w:szCs w:val="24"/>
          <w:u w:val="single"/>
        </w:rPr>
        <w:t>.</w:t>
      </w:r>
    </w:p>
    <w:p w14:paraId="20341EE5" w14:textId="27F58A47" w:rsidR="005702BD" w:rsidRPr="0010290D" w:rsidRDefault="005702BD" w:rsidP="00875A3E">
      <w:pPr>
        <w:pStyle w:val="BodyText2"/>
        <w:rPr>
          <w:rFonts w:eastAsia="Calibri" w:cs="Arial"/>
          <w:bCs/>
          <w:szCs w:val="24"/>
        </w:rPr>
      </w:pPr>
      <w:r>
        <w:rPr>
          <w:rFonts w:eastAsia="Calibri" w:cs="Arial"/>
          <w:bCs/>
          <w:szCs w:val="24"/>
        </w:rPr>
        <w:tab/>
        <w:t>Στο άρθρο 37(2)</w:t>
      </w:r>
      <w:r w:rsidRPr="005702BD">
        <w:rPr>
          <w:rFonts w:eastAsia="Calibri" w:cs="Arial"/>
          <w:bCs/>
          <w:szCs w:val="24"/>
        </w:rPr>
        <w:t>(</w:t>
      </w:r>
      <w:r>
        <w:rPr>
          <w:rFonts w:eastAsia="Calibri" w:cs="Arial"/>
          <w:bCs/>
          <w:szCs w:val="24"/>
          <w:lang w:val="en-US"/>
        </w:rPr>
        <w:t>i</w:t>
      </w:r>
      <w:r w:rsidRPr="005702BD">
        <w:rPr>
          <w:rFonts w:eastAsia="Calibri" w:cs="Arial"/>
          <w:bCs/>
          <w:szCs w:val="24"/>
        </w:rPr>
        <w:t>)</w:t>
      </w:r>
      <w:r>
        <w:rPr>
          <w:rFonts w:eastAsia="Calibri" w:cs="Arial"/>
          <w:bCs/>
          <w:szCs w:val="24"/>
        </w:rPr>
        <w:t xml:space="preserve"> του υπό αναπομπή Νόμου αναφέρει ότι η ΡΑΕΚ για την παροχή ευνοϊκού πλαισίου για την προώθηση και διευκόλυνση της ανάπτυξης κοινοτήτων ανανεώσιμης ενέργειας, εκδίδει ρυθμιστική απόφαση και διασφαλίζει, μεταξύ άλλων ότι: </w:t>
      </w:r>
      <w:r w:rsidR="007D4C26" w:rsidRPr="007D4C26">
        <w:rPr>
          <w:rFonts w:eastAsia="Calibri" w:cs="Arial"/>
          <w:bCs/>
          <w:szCs w:val="24"/>
        </w:rPr>
        <w:lastRenderedPageBreak/>
        <w:t>“</w:t>
      </w:r>
      <w:r w:rsidRPr="005702BD">
        <w:rPr>
          <w:rFonts w:eastAsia="Calibri" w:cs="Arial"/>
          <w:bCs/>
          <w:szCs w:val="24"/>
        </w:rPr>
        <w:t>(</w:t>
      </w:r>
      <w:r>
        <w:rPr>
          <w:rFonts w:eastAsia="Calibri" w:cs="Arial"/>
          <w:bCs/>
          <w:szCs w:val="24"/>
          <w:lang w:val="en-US"/>
        </w:rPr>
        <w:t>i</w:t>
      </w:r>
      <w:r w:rsidRPr="005702BD">
        <w:rPr>
          <w:rFonts w:eastAsia="Calibri" w:cs="Arial"/>
          <w:bCs/>
          <w:szCs w:val="24"/>
        </w:rPr>
        <w:t>)</w:t>
      </w:r>
      <w:r w:rsidR="00CF227D">
        <w:rPr>
          <w:rFonts w:eastAsia="Calibri" w:cs="Arial"/>
          <w:bCs/>
          <w:szCs w:val="24"/>
        </w:rPr>
        <w:t xml:space="preserve"> υπάρχει ισότιμη και χωρίς διακρίσεις μεταχείριση των καταναλωτών που συμμετέχουν </w:t>
      </w:r>
      <w:r w:rsidR="00AC3523">
        <w:rPr>
          <w:rFonts w:eastAsia="Calibri" w:cs="Arial"/>
          <w:bCs/>
          <w:szCs w:val="24"/>
        </w:rPr>
        <w:t>στην κοινότητα ανανεώσιμης ενέργειας.</w:t>
      </w:r>
      <w:r w:rsidR="007D4C26" w:rsidRPr="007D4C26">
        <w:rPr>
          <w:rFonts w:eastAsia="Calibri" w:cs="Arial"/>
          <w:bCs/>
          <w:szCs w:val="24"/>
        </w:rPr>
        <w:t>”</w:t>
      </w:r>
      <w:r w:rsidR="0010290D">
        <w:rPr>
          <w:rFonts w:eastAsia="Calibri" w:cs="Arial"/>
          <w:bCs/>
          <w:szCs w:val="24"/>
        </w:rPr>
        <w:t xml:space="preserve"> ενώ το άρθρο 22(4)(θ) της Οδηγίας αναφέρει: </w:t>
      </w:r>
      <w:r w:rsidR="0010290D" w:rsidRPr="0010290D">
        <w:rPr>
          <w:rFonts w:eastAsia="Calibri" w:cs="Arial"/>
          <w:bCs/>
          <w:szCs w:val="24"/>
        </w:rPr>
        <w:t>“</w:t>
      </w:r>
      <w:r w:rsidR="0010290D" w:rsidRPr="0010290D">
        <w:rPr>
          <w:rFonts w:eastAsia="Calibri" w:cs="Arial"/>
          <w:bCs/>
          <w:szCs w:val="24"/>
          <w:u w:val="single"/>
        </w:rPr>
        <w:t>υπάρχουν κανόνες που</w:t>
      </w:r>
      <w:r w:rsidR="0010290D">
        <w:rPr>
          <w:rFonts w:eastAsia="Calibri" w:cs="Arial"/>
          <w:bCs/>
          <w:szCs w:val="24"/>
        </w:rPr>
        <w:t xml:space="preserve"> διασφαλίζουν την ισότιμη και χωρίς διακρίσεις μεταχείριση των καταναλωτών που συμμετέχουν στην κοινότητα ανανεώσιμης ενέργειας.</w:t>
      </w:r>
      <w:r w:rsidR="0010290D" w:rsidRPr="0010290D">
        <w:rPr>
          <w:rFonts w:eastAsia="Calibri" w:cs="Arial"/>
          <w:bCs/>
          <w:szCs w:val="24"/>
        </w:rPr>
        <w:t>”</w:t>
      </w:r>
      <w:r w:rsidR="0010290D">
        <w:rPr>
          <w:rFonts w:eastAsia="Calibri" w:cs="Arial"/>
          <w:bCs/>
          <w:szCs w:val="24"/>
        </w:rPr>
        <w:t>.</w:t>
      </w:r>
    </w:p>
    <w:p w14:paraId="07F86372" w14:textId="07135EE2" w:rsidR="00AC3523" w:rsidRPr="005702BD" w:rsidRDefault="00AC3523" w:rsidP="00875A3E">
      <w:pPr>
        <w:pStyle w:val="BodyText2"/>
        <w:rPr>
          <w:rFonts w:eastAsia="Calibri" w:cs="Arial"/>
          <w:bCs/>
          <w:szCs w:val="24"/>
        </w:rPr>
      </w:pPr>
      <w:r>
        <w:rPr>
          <w:rFonts w:eastAsia="Calibri" w:cs="Arial"/>
          <w:bCs/>
          <w:szCs w:val="24"/>
        </w:rPr>
        <w:tab/>
        <w:t xml:space="preserve">Στο άρθρο 38(2)(β) του υπό αναπομπή Νόμου χρησιμοποιήθηκε η λέξη </w:t>
      </w:r>
      <w:r w:rsidR="007D4C26" w:rsidRPr="007D4C26">
        <w:rPr>
          <w:rFonts w:eastAsia="Calibri" w:cs="Arial"/>
          <w:bCs/>
          <w:szCs w:val="24"/>
        </w:rPr>
        <w:t>“</w:t>
      </w:r>
      <w:r>
        <w:rPr>
          <w:rFonts w:eastAsia="Calibri" w:cs="Arial"/>
          <w:bCs/>
          <w:szCs w:val="24"/>
        </w:rPr>
        <w:t>δύναται</w:t>
      </w:r>
      <w:r w:rsidR="007D4C26" w:rsidRPr="007D4C26">
        <w:rPr>
          <w:rFonts w:eastAsia="Calibri" w:cs="Arial"/>
          <w:bCs/>
          <w:szCs w:val="24"/>
        </w:rPr>
        <w:t>”</w:t>
      </w:r>
      <w:r>
        <w:rPr>
          <w:rFonts w:eastAsia="Calibri" w:cs="Arial"/>
          <w:bCs/>
          <w:szCs w:val="24"/>
        </w:rPr>
        <w:t xml:space="preserve"> αντί η λέξη </w:t>
      </w:r>
      <w:r w:rsidR="007D4C26" w:rsidRPr="007D4C26">
        <w:rPr>
          <w:rFonts w:eastAsia="Calibri" w:cs="Arial"/>
          <w:bCs/>
          <w:szCs w:val="24"/>
        </w:rPr>
        <w:t>“</w:t>
      </w:r>
      <w:r>
        <w:rPr>
          <w:rFonts w:eastAsia="Calibri" w:cs="Arial"/>
          <w:bCs/>
          <w:szCs w:val="24"/>
        </w:rPr>
        <w:t>δικαιούνται</w:t>
      </w:r>
      <w:r w:rsidR="007D4C26" w:rsidRPr="007D4C26">
        <w:rPr>
          <w:rFonts w:eastAsia="Calibri" w:cs="Arial"/>
          <w:bCs/>
          <w:szCs w:val="24"/>
        </w:rPr>
        <w:t>”</w:t>
      </w:r>
      <w:r>
        <w:rPr>
          <w:rFonts w:eastAsia="Calibri" w:cs="Arial"/>
          <w:bCs/>
          <w:szCs w:val="24"/>
        </w:rPr>
        <w:t xml:space="preserve"> που αναφέρεται στο άρθρο 21(4) της Οδηγίας.  Η χρήση της λέξης </w:t>
      </w:r>
      <w:r w:rsidR="007D4C26" w:rsidRPr="007D4C26">
        <w:rPr>
          <w:rFonts w:eastAsia="Calibri" w:cs="Arial"/>
          <w:bCs/>
          <w:szCs w:val="24"/>
        </w:rPr>
        <w:t>“</w:t>
      </w:r>
      <w:r>
        <w:rPr>
          <w:rFonts w:eastAsia="Calibri" w:cs="Arial"/>
          <w:bCs/>
          <w:szCs w:val="24"/>
        </w:rPr>
        <w:t>δύναται</w:t>
      </w:r>
      <w:r w:rsidR="007D4C26" w:rsidRPr="007D4C26">
        <w:rPr>
          <w:rFonts w:eastAsia="Calibri" w:cs="Arial"/>
          <w:bCs/>
          <w:szCs w:val="24"/>
        </w:rPr>
        <w:t>”</w:t>
      </w:r>
      <w:r>
        <w:rPr>
          <w:rFonts w:eastAsia="Calibri" w:cs="Arial"/>
          <w:bCs/>
          <w:szCs w:val="24"/>
        </w:rPr>
        <w:t xml:space="preserve"> δεν αποδίδει την έννοια του </w:t>
      </w:r>
      <w:r w:rsidRPr="00A64061">
        <w:rPr>
          <w:rFonts w:eastAsia="Calibri" w:cs="Arial"/>
          <w:bCs/>
          <w:i/>
          <w:iCs/>
          <w:szCs w:val="24"/>
        </w:rPr>
        <w:t>δικαιώματος</w:t>
      </w:r>
      <w:r>
        <w:rPr>
          <w:rFonts w:eastAsia="Calibri" w:cs="Arial"/>
          <w:bCs/>
          <w:szCs w:val="24"/>
        </w:rPr>
        <w:t xml:space="preserve"> το οποίο μπορούν να ασκήσουν οι αυτοκαταναλωτές ενέργειας με αποτέλεσμα να μην αποδίδεται ορθ</w:t>
      </w:r>
      <w:r w:rsidR="00A64061">
        <w:rPr>
          <w:rFonts w:eastAsia="Calibri" w:cs="Arial"/>
          <w:bCs/>
          <w:szCs w:val="24"/>
        </w:rPr>
        <w:t>ά</w:t>
      </w:r>
      <w:r>
        <w:rPr>
          <w:rFonts w:eastAsia="Calibri" w:cs="Arial"/>
          <w:bCs/>
          <w:szCs w:val="24"/>
        </w:rPr>
        <w:t xml:space="preserve"> η πρόνοια του άρθρου 21(4) της Οδηγίας</w:t>
      </w:r>
      <w:r w:rsidR="00386AEE">
        <w:rPr>
          <w:rFonts w:eastAsia="Calibri" w:cs="Arial"/>
          <w:bCs/>
          <w:szCs w:val="24"/>
        </w:rPr>
        <w:t>.</w:t>
      </w:r>
      <w:r w:rsidR="00A64061">
        <w:rPr>
          <w:rFonts w:eastAsia="Calibri" w:cs="Arial"/>
          <w:bCs/>
          <w:szCs w:val="24"/>
        </w:rPr>
        <w:t>»</w:t>
      </w:r>
      <w:r w:rsidR="0095373E">
        <w:rPr>
          <w:rFonts w:eastAsia="Calibri" w:cs="Arial"/>
          <w:bCs/>
          <w:szCs w:val="24"/>
        </w:rPr>
        <w:t>.</w:t>
      </w:r>
    </w:p>
    <w:p w14:paraId="3E2351AB" w14:textId="7256BF1C" w:rsidR="00D822AB" w:rsidRPr="00670E1F" w:rsidRDefault="00D822AB" w:rsidP="00875A3E">
      <w:pPr>
        <w:pStyle w:val="BodyText2"/>
        <w:rPr>
          <w:rFonts w:eastAsia="Calibri" w:cs="Arial"/>
          <w:szCs w:val="24"/>
        </w:rPr>
      </w:pPr>
      <w:r w:rsidRPr="00770C55">
        <w:rPr>
          <w:rFonts w:eastAsia="Calibri" w:cs="Arial"/>
          <w:b/>
          <w:szCs w:val="24"/>
        </w:rPr>
        <w:tab/>
      </w:r>
      <w:r w:rsidRPr="00670E1F">
        <w:rPr>
          <w:rFonts w:eastAsia="Calibri" w:cs="Arial"/>
          <w:szCs w:val="24"/>
        </w:rPr>
        <w:t>Ο</w:t>
      </w:r>
      <w:r w:rsidR="00BC6E33" w:rsidRPr="00670E1F">
        <w:rPr>
          <w:rFonts w:eastAsia="Calibri" w:cs="Arial"/>
          <w:szCs w:val="24"/>
        </w:rPr>
        <w:t>ι</w:t>
      </w:r>
      <w:r w:rsidRPr="00670E1F">
        <w:rPr>
          <w:rFonts w:eastAsia="Calibri" w:cs="Arial"/>
          <w:szCs w:val="24"/>
        </w:rPr>
        <w:t xml:space="preserve"> εκπρόσωπο</w:t>
      </w:r>
      <w:r w:rsidR="00BC6E33" w:rsidRPr="00670E1F">
        <w:rPr>
          <w:rFonts w:eastAsia="Calibri" w:cs="Arial"/>
          <w:szCs w:val="24"/>
        </w:rPr>
        <w:t>ι</w:t>
      </w:r>
      <w:r w:rsidRPr="00670E1F">
        <w:rPr>
          <w:rFonts w:eastAsia="Calibri" w:cs="Arial"/>
          <w:szCs w:val="24"/>
        </w:rPr>
        <w:t xml:space="preserve"> του Υπουργείου Ενέργειας, Εμπορίου και Βιομηχανίας </w:t>
      </w:r>
      <w:r w:rsidR="00BC6E33" w:rsidRPr="00670E1F">
        <w:rPr>
          <w:rFonts w:eastAsia="Calibri" w:cs="Arial"/>
          <w:szCs w:val="24"/>
        </w:rPr>
        <w:t xml:space="preserve">και της Νομικής Υπηρεσίας της Δημοκρατίας </w:t>
      </w:r>
      <w:r w:rsidRPr="00670E1F">
        <w:rPr>
          <w:rFonts w:eastAsia="Calibri" w:cs="Arial"/>
          <w:szCs w:val="24"/>
        </w:rPr>
        <w:t>κατά την εξέταση τ</w:t>
      </w:r>
      <w:r w:rsidR="00386AEE" w:rsidRPr="00670E1F">
        <w:rPr>
          <w:rFonts w:eastAsia="Calibri" w:cs="Arial"/>
          <w:szCs w:val="24"/>
        </w:rPr>
        <w:t>ου</w:t>
      </w:r>
      <w:r w:rsidRPr="00670E1F">
        <w:rPr>
          <w:rFonts w:eastAsia="Calibri" w:cs="Arial"/>
          <w:szCs w:val="24"/>
        </w:rPr>
        <w:t xml:space="preserve"> αναπεμφθέντ</w:t>
      </w:r>
      <w:r w:rsidR="00386AEE" w:rsidRPr="00670E1F">
        <w:rPr>
          <w:rFonts w:eastAsia="Calibri" w:cs="Arial"/>
          <w:szCs w:val="24"/>
        </w:rPr>
        <w:t>ος</w:t>
      </w:r>
      <w:r w:rsidRPr="00670E1F">
        <w:rPr>
          <w:rFonts w:eastAsia="Calibri" w:cs="Arial"/>
          <w:szCs w:val="24"/>
        </w:rPr>
        <w:t xml:space="preserve"> νόμ</w:t>
      </w:r>
      <w:r w:rsidR="00386AEE" w:rsidRPr="00670E1F">
        <w:rPr>
          <w:rFonts w:eastAsia="Calibri" w:cs="Arial"/>
          <w:szCs w:val="24"/>
        </w:rPr>
        <w:t>ου</w:t>
      </w:r>
      <w:r w:rsidRPr="00670E1F">
        <w:rPr>
          <w:rFonts w:eastAsia="Calibri" w:cs="Arial"/>
          <w:szCs w:val="24"/>
        </w:rPr>
        <w:t xml:space="preserve"> από την επιτροπή αναφέρθηκ</w:t>
      </w:r>
      <w:r w:rsidR="00EB04FE" w:rsidRPr="00670E1F">
        <w:rPr>
          <w:rFonts w:eastAsia="Calibri" w:cs="Arial"/>
          <w:szCs w:val="24"/>
        </w:rPr>
        <w:t>αν</w:t>
      </w:r>
      <w:r w:rsidR="00CA2C7D" w:rsidRPr="00670E1F">
        <w:rPr>
          <w:rFonts w:eastAsia="Calibri" w:cs="Arial"/>
          <w:szCs w:val="24"/>
        </w:rPr>
        <w:t xml:space="preserve"> αναλυτικά</w:t>
      </w:r>
      <w:r w:rsidRPr="00670E1F">
        <w:rPr>
          <w:rFonts w:eastAsia="Calibri" w:cs="Arial"/>
          <w:szCs w:val="24"/>
        </w:rPr>
        <w:t xml:space="preserve"> στους λόγους για τους οποίους κρίθηκε σκόπιμη η αναπομπή τμ</w:t>
      </w:r>
      <w:r w:rsidR="00DD42F2" w:rsidRPr="00670E1F">
        <w:rPr>
          <w:rFonts w:eastAsia="Calibri" w:cs="Arial"/>
          <w:szCs w:val="24"/>
        </w:rPr>
        <w:t>ημάτων</w:t>
      </w:r>
      <w:r w:rsidRPr="00670E1F">
        <w:rPr>
          <w:rFonts w:eastAsia="Calibri" w:cs="Arial"/>
          <w:szCs w:val="24"/>
        </w:rPr>
        <w:t xml:space="preserve"> του νόμου, στη βάση της πιο πάνω επιστολής</w:t>
      </w:r>
      <w:r w:rsidR="00BC6E33" w:rsidRPr="00670E1F">
        <w:rPr>
          <w:rFonts w:eastAsia="Calibri" w:cs="Arial"/>
          <w:szCs w:val="24"/>
        </w:rPr>
        <w:t>.</w:t>
      </w:r>
    </w:p>
    <w:p w14:paraId="25BDDCD3" w14:textId="7BB3AFEA" w:rsidR="00DD42F2" w:rsidRPr="00042E60" w:rsidRDefault="00DD42F2" w:rsidP="00BC6E33">
      <w:pPr>
        <w:pStyle w:val="BodyText2"/>
        <w:rPr>
          <w:rFonts w:eastAsia="Calibri" w:cs="Arial"/>
          <w:szCs w:val="24"/>
        </w:rPr>
      </w:pPr>
      <w:r w:rsidRPr="00770C55">
        <w:rPr>
          <w:rFonts w:eastAsia="Calibri" w:cs="Arial"/>
          <w:b/>
          <w:szCs w:val="24"/>
        </w:rPr>
        <w:tab/>
      </w:r>
      <w:r w:rsidRPr="00042E60">
        <w:rPr>
          <w:rFonts w:eastAsia="Calibri" w:cs="Arial"/>
          <w:szCs w:val="24"/>
        </w:rPr>
        <w:t>Στ</w:t>
      </w:r>
      <w:r w:rsidR="00042E60" w:rsidRPr="00042E60">
        <w:rPr>
          <w:rFonts w:eastAsia="Calibri" w:cs="Arial"/>
          <w:szCs w:val="24"/>
        </w:rPr>
        <w:t>α</w:t>
      </w:r>
      <w:r w:rsidRPr="00042E60">
        <w:rPr>
          <w:rFonts w:eastAsia="Calibri" w:cs="Arial"/>
          <w:szCs w:val="24"/>
        </w:rPr>
        <w:t xml:space="preserve"> </w:t>
      </w:r>
      <w:r w:rsidR="0019522E" w:rsidRPr="00042E60">
        <w:rPr>
          <w:rFonts w:eastAsia="Calibri" w:cs="Arial"/>
          <w:szCs w:val="24"/>
        </w:rPr>
        <w:t>πλαίσι</w:t>
      </w:r>
      <w:r w:rsidR="00042E60" w:rsidRPr="00042E60">
        <w:rPr>
          <w:rFonts w:eastAsia="Calibri" w:cs="Arial"/>
          <w:szCs w:val="24"/>
        </w:rPr>
        <w:t>α</w:t>
      </w:r>
      <w:r w:rsidR="0019522E" w:rsidRPr="00042E60">
        <w:rPr>
          <w:rFonts w:eastAsia="Calibri" w:cs="Arial"/>
          <w:szCs w:val="24"/>
        </w:rPr>
        <w:t xml:space="preserve"> της συζήτησης</w:t>
      </w:r>
      <w:r w:rsidRPr="00042E60">
        <w:rPr>
          <w:rFonts w:eastAsia="Calibri" w:cs="Arial"/>
          <w:szCs w:val="24"/>
        </w:rPr>
        <w:t>, τα μέλη της επιτροπής υπέβαλαν ερωτήσεις σε σχέση με τους λόγους της αναπομπής.</w:t>
      </w:r>
    </w:p>
    <w:p w14:paraId="6D64E5CC" w14:textId="491AC8D3" w:rsidR="00012908" w:rsidRPr="00042E60" w:rsidRDefault="004F0E7E" w:rsidP="004F0E7E">
      <w:pPr>
        <w:pStyle w:val="BodyText2"/>
        <w:rPr>
          <w:rFonts w:eastAsia="Calibri" w:cs="Arial"/>
          <w:szCs w:val="24"/>
        </w:rPr>
      </w:pPr>
      <w:r w:rsidRPr="00770C55">
        <w:rPr>
          <w:rFonts w:eastAsia="Calibri" w:cs="Arial"/>
          <w:b/>
          <w:szCs w:val="24"/>
        </w:rPr>
        <w:tab/>
      </w:r>
      <w:r w:rsidRPr="00042E60">
        <w:rPr>
          <w:rFonts w:eastAsia="Calibri" w:cs="Arial"/>
          <w:szCs w:val="24"/>
        </w:rPr>
        <w:t xml:space="preserve">Η </w:t>
      </w:r>
      <w:r w:rsidR="00012908" w:rsidRPr="00042E60">
        <w:rPr>
          <w:rFonts w:eastAsia="Calibri" w:cs="Arial"/>
          <w:szCs w:val="24"/>
        </w:rPr>
        <w:t>Κοινοβουλευτική Επιτροπή Ενέργειας, Εμπορίου, Βιομηχανίας και Τουρισμού</w:t>
      </w:r>
      <w:r w:rsidRPr="00042E60">
        <w:rPr>
          <w:rFonts w:eastAsia="Calibri" w:cs="Arial"/>
          <w:szCs w:val="24"/>
        </w:rPr>
        <w:t xml:space="preserve">, αφού έλαβε υπόψη όλα όσα τέθηκαν ενώπιόν της, </w:t>
      </w:r>
      <w:r w:rsidR="00ED1CD0" w:rsidRPr="00042E60">
        <w:rPr>
          <w:rFonts w:eastAsia="Calibri" w:cs="Arial"/>
          <w:szCs w:val="24"/>
        </w:rPr>
        <w:t>ομόφωνα</w:t>
      </w:r>
      <w:r w:rsidR="00867D37" w:rsidRPr="00042E60">
        <w:rPr>
          <w:rFonts w:eastAsia="Calibri" w:cs="Arial"/>
          <w:szCs w:val="24"/>
        </w:rPr>
        <w:t xml:space="preserve"> </w:t>
      </w:r>
      <w:r w:rsidRPr="00042E60">
        <w:rPr>
          <w:rFonts w:eastAsia="Calibri" w:cs="Arial"/>
          <w:szCs w:val="24"/>
        </w:rPr>
        <w:t xml:space="preserve">αποφάσισε όπως αποδεχθεί εν μέρει </w:t>
      </w:r>
      <w:r w:rsidR="00C6411A" w:rsidRPr="00042E60">
        <w:rPr>
          <w:rFonts w:eastAsia="Calibri" w:cs="Arial"/>
          <w:szCs w:val="24"/>
        </w:rPr>
        <w:t>τους λόγους της</w:t>
      </w:r>
      <w:r w:rsidRPr="00042E60">
        <w:rPr>
          <w:rFonts w:eastAsia="Calibri" w:cs="Arial"/>
          <w:szCs w:val="24"/>
        </w:rPr>
        <w:t xml:space="preserve"> αναπομπή</w:t>
      </w:r>
      <w:r w:rsidR="00C6411A" w:rsidRPr="00042E60">
        <w:rPr>
          <w:rFonts w:eastAsia="Calibri" w:cs="Arial"/>
          <w:szCs w:val="24"/>
        </w:rPr>
        <w:t>ς</w:t>
      </w:r>
      <w:r w:rsidRPr="00042E60">
        <w:rPr>
          <w:rFonts w:eastAsia="Calibri" w:cs="Arial"/>
          <w:szCs w:val="24"/>
        </w:rPr>
        <w:t xml:space="preserve"> </w:t>
      </w:r>
      <w:r w:rsidR="00012908" w:rsidRPr="00042E60">
        <w:rPr>
          <w:rFonts w:eastAsia="Calibri" w:cs="Arial"/>
          <w:szCs w:val="24"/>
        </w:rPr>
        <w:t xml:space="preserve">και </w:t>
      </w:r>
      <w:r w:rsidR="00FA0238">
        <w:rPr>
          <w:rFonts w:eastAsia="Calibri" w:cs="Arial"/>
          <w:szCs w:val="24"/>
        </w:rPr>
        <w:t>τροποποιήσει</w:t>
      </w:r>
      <w:r w:rsidR="00012908" w:rsidRPr="00042E60">
        <w:rPr>
          <w:rFonts w:eastAsia="Calibri" w:cs="Arial"/>
          <w:szCs w:val="24"/>
        </w:rPr>
        <w:t xml:space="preserve"> </w:t>
      </w:r>
      <w:r w:rsidR="00C6411A" w:rsidRPr="00042E60">
        <w:rPr>
          <w:rFonts w:eastAsia="Calibri" w:cs="Arial"/>
          <w:szCs w:val="24"/>
        </w:rPr>
        <w:t xml:space="preserve">κατάλληλα </w:t>
      </w:r>
      <w:r w:rsidR="00012908" w:rsidRPr="00042E60">
        <w:rPr>
          <w:rFonts w:eastAsia="Calibri" w:cs="Arial"/>
          <w:szCs w:val="24"/>
        </w:rPr>
        <w:t>το κείμενο του αναπεμφθέντος νόμου</w:t>
      </w:r>
      <w:r w:rsidR="005B28EB" w:rsidRPr="00042E60">
        <w:rPr>
          <w:rFonts w:eastAsia="Calibri" w:cs="Arial"/>
          <w:szCs w:val="24"/>
        </w:rPr>
        <w:t>, ώστε να επιτευχθούν τα ακόλουθα</w:t>
      </w:r>
      <w:r w:rsidR="00012908" w:rsidRPr="00042E60">
        <w:rPr>
          <w:rFonts w:eastAsia="Calibri" w:cs="Arial"/>
          <w:szCs w:val="24"/>
        </w:rPr>
        <w:t>:</w:t>
      </w:r>
    </w:p>
    <w:p w14:paraId="15F0B932" w14:textId="0C3572EB" w:rsidR="001B66DA" w:rsidRPr="000633B7" w:rsidRDefault="00012908" w:rsidP="00A41430">
      <w:pPr>
        <w:pStyle w:val="BodyText2"/>
        <w:numPr>
          <w:ilvl w:val="0"/>
          <w:numId w:val="34"/>
        </w:numPr>
        <w:ind w:left="567" w:hanging="567"/>
        <w:rPr>
          <w:rFonts w:eastAsia="Calibri" w:cs="Arial"/>
          <w:szCs w:val="24"/>
        </w:rPr>
      </w:pPr>
      <w:r w:rsidRPr="000633B7">
        <w:rPr>
          <w:rFonts w:eastAsia="Calibri" w:cs="Arial"/>
          <w:szCs w:val="24"/>
        </w:rPr>
        <w:t>Τροποποίηση</w:t>
      </w:r>
      <w:r w:rsidR="004F0E7E" w:rsidRPr="000633B7">
        <w:rPr>
          <w:rFonts w:eastAsia="Calibri" w:cs="Arial"/>
          <w:szCs w:val="24"/>
        </w:rPr>
        <w:t xml:space="preserve"> των άρθρων 37 και 38 του αναπεμφθέντος νόμου, ώστε η διατύπωσή τους να συνάδει με τις αντίστοιχες διατάξεις της Οδηγίας (ΕΕ) 2018/2001.</w:t>
      </w:r>
    </w:p>
    <w:p w14:paraId="79864E1A" w14:textId="491088BB" w:rsidR="00012908" w:rsidRPr="000633B7" w:rsidRDefault="00012908" w:rsidP="00A41430">
      <w:pPr>
        <w:pStyle w:val="BodyText2"/>
        <w:numPr>
          <w:ilvl w:val="0"/>
          <w:numId w:val="34"/>
        </w:numPr>
        <w:ind w:left="567" w:hanging="567"/>
        <w:rPr>
          <w:rFonts w:eastAsia="Calibri" w:cs="Arial"/>
          <w:szCs w:val="24"/>
        </w:rPr>
      </w:pPr>
      <w:r w:rsidRPr="000633B7">
        <w:rPr>
          <w:rFonts w:eastAsia="Calibri" w:cs="Arial"/>
          <w:szCs w:val="24"/>
        </w:rPr>
        <w:t xml:space="preserve">Αύξηση του μέγιστου χρονικού διαστήματος </w:t>
      </w:r>
      <w:r w:rsidR="005B28EB" w:rsidRPr="000633B7">
        <w:rPr>
          <w:rFonts w:eastAsia="Calibri" w:cs="Arial"/>
          <w:szCs w:val="24"/>
        </w:rPr>
        <w:t xml:space="preserve">της </w:t>
      </w:r>
      <w:r w:rsidRPr="000633B7">
        <w:rPr>
          <w:rFonts w:eastAsia="Calibri" w:cs="Arial"/>
          <w:szCs w:val="24"/>
        </w:rPr>
        <w:t xml:space="preserve">παράτασης της διάρκειας </w:t>
      </w:r>
      <w:r w:rsidR="005B28EB" w:rsidRPr="000633B7">
        <w:rPr>
          <w:rFonts w:eastAsia="Calibri" w:cs="Arial"/>
          <w:szCs w:val="24"/>
        </w:rPr>
        <w:t xml:space="preserve">της </w:t>
      </w:r>
      <w:r w:rsidRPr="000633B7">
        <w:rPr>
          <w:rFonts w:eastAsia="Calibri" w:cs="Arial"/>
          <w:szCs w:val="24"/>
        </w:rPr>
        <w:t>περιόδου αδειοδότησης</w:t>
      </w:r>
      <w:r w:rsidR="005B28EB" w:rsidRPr="000633B7">
        <w:rPr>
          <w:rFonts w:eastAsia="Calibri" w:cs="Arial"/>
          <w:szCs w:val="24"/>
        </w:rPr>
        <w:t xml:space="preserve"> των</w:t>
      </w:r>
      <w:r w:rsidR="0033155D" w:rsidRPr="000633B7">
        <w:rPr>
          <w:rFonts w:eastAsia="Calibri" w:cs="Arial"/>
          <w:szCs w:val="24"/>
        </w:rPr>
        <w:t xml:space="preserve"> σταθμών ηλεκτροπαραγωγής και </w:t>
      </w:r>
      <w:r w:rsidR="005B28EB" w:rsidRPr="000633B7">
        <w:rPr>
          <w:rFonts w:eastAsia="Calibri" w:cs="Arial"/>
          <w:szCs w:val="24"/>
        </w:rPr>
        <w:t xml:space="preserve">των </w:t>
      </w:r>
      <w:r w:rsidR="0033155D" w:rsidRPr="000633B7">
        <w:rPr>
          <w:rFonts w:eastAsia="Calibri" w:cs="Arial"/>
          <w:szCs w:val="24"/>
        </w:rPr>
        <w:t xml:space="preserve">εγκαταστάσεων ανανεώσιμων πηγών με δυναμικότητα ηλεκτρικής ενέργειας μικρότερη από 150 </w:t>
      </w:r>
      <w:r w:rsidR="0033155D" w:rsidRPr="000633B7">
        <w:rPr>
          <w:rFonts w:eastAsia="Calibri" w:cs="Arial"/>
          <w:szCs w:val="24"/>
          <w:lang w:val="en-US"/>
        </w:rPr>
        <w:t>kW</w:t>
      </w:r>
      <w:r w:rsidRPr="000633B7">
        <w:rPr>
          <w:rFonts w:eastAsia="Calibri" w:cs="Arial"/>
          <w:szCs w:val="24"/>
        </w:rPr>
        <w:t xml:space="preserve"> από τρεις (3) σε τέσσερις (4) μήνες.</w:t>
      </w:r>
    </w:p>
    <w:p w14:paraId="32C5F22D" w14:textId="080C8663" w:rsidR="00407269" w:rsidRDefault="00407269" w:rsidP="00875A3E">
      <w:pPr>
        <w:pStyle w:val="BodyText2"/>
        <w:rPr>
          <w:rFonts w:eastAsia="Calibri" w:cs="Arial"/>
          <w:bCs/>
          <w:szCs w:val="24"/>
        </w:rPr>
      </w:pPr>
    </w:p>
    <w:p w14:paraId="638C4A78" w14:textId="77777777" w:rsidR="0056791C" w:rsidRDefault="0056791C" w:rsidP="00875A3E">
      <w:pPr>
        <w:pStyle w:val="BodyText2"/>
        <w:rPr>
          <w:rFonts w:eastAsia="Calibri" w:cs="Arial"/>
          <w:bCs/>
          <w:szCs w:val="24"/>
        </w:rPr>
      </w:pPr>
    </w:p>
    <w:p w14:paraId="6F22E352" w14:textId="11C2A895" w:rsidR="00635866" w:rsidRDefault="00635866" w:rsidP="00875A3E">
      <w:pPr>
        <w:pStyle w:val="BodyText2"/>
        <w:rPr>
          <w:rFonts w:eastAsia="Calibri" w:cs="Arial"/>
          <w:bCs/>
          <w:szCs w:val="24"/>
        </w:rPr>
      </w:pPr>
      <w:r>
        <w:rPr>
          <w:rFonts w:eastAsia="Calibri" w:cs="Arial"/>
          <w:bCs/>
          <w:szCs w:val="24"/>
        </w:rPr>
        <w:t>28 Ιουνίου 2022</w:t>
      </w:r>
    </w:p>
    <w:p w14:paraId="564DDEF0" w14:textId="4ACAC9CB" w:rsidR="004462BE" w:rsidRPr="00407269" w:rsidRDefault="004462BE" w:rsidP="00875A3E">
      <w:pPr>
        <w:pStyle w:val="BodyText2"/>
        <w:rPr>
          <w:rFonts w:eastAsia="Calibri" w:cs="Arial"/>
          <w:bCs/>
          <w:sz w:val="20"/>
        </w:rPr>
      </w:pPr>
      <w:r w:rsidRPr="00407269">
        <w:rPr>
          <w:rFonts w:eastAsia="Calibri" w:cs="Arial"/>
          <w:bCs/>
          <w:sz w:val="20"/>
        </w:rPr>
        <w:t>Αρ. Φακ. 23.01.063.04</w:t>
      </w:r>
      <w:r w:rsidR="006F2406" w:rsidRPr="00407269">
        <w:rPr>
          <w:rFonts w:eastAsia="Calibri" w:cs="Arial"/>
          <w:bCs/>
          <w:sz w:val="20"/>
        </w:rPr>
        <w:t>9</w:t>
      </w:r>
      <w:r w:rsidRPr="00407269">
        <w:rPr>
          <w:rFonts w:eastAsia="Calibri" w:cs="Arial"/>
          <w:bCs/>
          <w:sz w:val="20"/>
        </w:rPr>
        <w:t>-2022</w:t>
      </w:r>
    </w:p>
    <w:p w14:paraId="40162FE6" w14:textId="29C31338" w:rsidR="00875A3E" w:rsidRPr="009B56D7" w:rsidRDefault="004462BE" w:rsidP="006F2406">
      <w:pPr>
        <w:pStyle w:val="BodyText2"/>
        <w:rPr>
          <w:rFonts w:eastAsia="Calibri" w:cs="Arial"/>
          <w:bCs/>
          <w:sz w:val="20"/>
        </w:rPr>
      </w:pPr>
      <w:r w:rsidRPr="00407269">
        <w:rPr>
          <w:rFonts w:eastAsia="Calibri" w:cs="Arial"/>
          <w:bCs/>
          <w:sz w:val="20"/>
        </w:rPr>
        <w:t>ΧΑ/</w:t>
      </w:r>
      <w:r w:rsidR="009B56D7">
        <w:rPr>
          <w:rFonts w:eastAsia="Calibri" w:cs="Arial"/>
          <w:bCs/>
          <w:sz w:val="20"/>
        </w:rPr>
        <w:t>ΣΠ/</w:t>
      </w:r>
      <w:r w:rsidR="001811AF" w:rsidRPr="00407269">
        <w:rPr>
          <w:rFonts w:eastAsia="Calibri" w:cs="Arial"/>
          <w:bCs/>
          <w:sz w:val="20"/>
          <w:lang w:val="en-US"/>
        </w:rPr>
        <w:t>MC</w:t>
      </w:r>
      <w:bookmarkStart w:id="2" w:name="_GoBack"/>
      <w:bookmarkEnd w:id="2"/>
    </w:p>
    <w:sectPr w:rsidR="00875A3E" w:rsidRPr="009B56D7" w:rsidSect="009B56D7">
      <w:headerReference w:type="default" r:id="rId8"/>
      <w:pgSz w:w="11906" w:h="16838" w:code="9"/>
      <w:pgMar w:top="1418" w:right="1134" w:bottom="1560"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5BF2" w14:textId="77777777" w:rsidR="005D7647" w:rsidRDefault="005D7647" w:rsidP="00336E4E">
      <w:pPr>
        <w:spacing w:after="0" w:line="240" w:lineRule="auto"/>
      </w:pPr>
      <w:r>
        <w:separator/>
      </w:r>
    </w:p>
  </w:endnote>
  <w:endnote w:type="continuationSeparator" w:id="0">
    <w:p w14:paraId="7A6A1A00" w14:textId="77777777" w:rsidR="005D7647" w:rsidRDefault="005D7647" w:rsidP="00336E4E">
      <w:pPr>
        <w:spacing w:after="0" w:line="240" w:lineRule="auto"/>
      </w:pPr>
      <w:r>
        <w:continuationSeparator/>
      </w:r>
    </w:p>
  </w:endnote>
  <w:endnote w:type="continuationNotice" w:id="1">
    <w:p w14:paraId="34CF8C54" w14:textId="77777777" w:rsidR="005D7647" w:rsidRDefault="005D7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A16F" w14:textId="77777777" w:rsidR="005D7647" w:rsidRDefault="005D7647" w:rsidP="00336E4E">
      <w:pPr>
        <w:spacing w:after="0" w:line="240" w:lineRule="auto"/>
      </w:pPr>
      <w:r>
        <w:separator/>
      </w:r>
    </w:p>
  </w:footnote>
  <w:footnote w:type="continuationSeparator" w:id="0">
    <w:p w14:paraId="621858E9" w14:textId="77777777" w:rsidR="005D7647" w:rsidRDefault="005D7647" w:rsidP="00336E4E">
      <w:pPr>
        <w:spacing w:after="0" w:line="240" w:lineRule="auto"/>
      </w:pPr>
      <w:r>
        <w:continuationSeparator/>
      </w:r>
    </w:p>
  </w:footnote>
  <w:footnote w:type="continuationNotice" w:id="1">
    <w:p w14:paraId="3D2FFE79" w14:textId="77777777" w:rsidR="005D7647" w:rsidRDefault="005D7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238637978"/>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FD316D"/>
    <w:multiLevelType w:val="hybridMultilevel"/>
    <w:tmpl w:val="893EA3E8"/>
    <w:lvl w:ilvl="0" w:tplc="C15A34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520A2A"/>
    <w:multiLevelType w:val="hybridMultilevel"/>
    <w:tmpl w:val="C16E2116"/>
    <w:lvl w:ilvl="0" w:tplc="B0F077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657DA1"/>
    <w:multiLevelType w:val="hybridMultilevel"/>
    <w:tmpl w:val="4BB2468C"/>
    <w:lvl w:ilvl="0" w:tplc="0876FB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6D6491C"/>
    <w:multiLevelType w:val="hybridMultilevel"/>
    <w:tmpl w:val="247AA2B0"/>
    <w:lvl w:ilvl="0" w:tplc="1F729BE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8622786"/>
    <w:multiLevelType w:val="hybridMultilevel"/>
    <w:tmpl w:val="F192E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5"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281B73"/>
    <w:multiLevelType w:val="hybridMultilevel"/>
    <w:tmpl w:val="79E6DB38"/>
    <w:lvl w:ilvl="0" w:tplc="B45A785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15:restartNumberingAfterBreak="0">
    <w:nsid w:val="376A151B"/>
    <w:multiLevelType w:val="hybridMultilevel"/>
    <w:tmpl w:val="DCD0A97C"/>
    <w:lvl w:ilvl="0" w:tplc="D380763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141BEF"/>
    <w:multiLevelType w:val="hybridMultilevel"/>
    <w:tmpl w:val="D8BA09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71805E8"/>
    <w:multiLevelType w:val="hybridMultilevel"/>
    <w:tmpl w:val="39DE7BE6"/>
    <w:lvl w:ilvl="0" w:tplc="AF50244C">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1" w15:restartNumberingAfterBreak="0">
    <w:nsid w:val="797B3EA6"/>
    <w:multiLevelType w:val="hybridMultilevel"/>
    <w:tmpl w:val="1910D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10"/>
  </w:num>
  <w:num w:numId="3">
    <w:abstractNumId w:val="11"/>
  </w:num>
  <w:num w:numId="4">
    <w:abstractNumId w:val="19"/>
  </w:num>
  <w:num w:numId="5">
    <w:abstractNumId w:val="28"/>
  </w:num>
  <w:num w:numId="6">
    <w:abstractNumId w:val="15"/>
  </w:num>
  <w:num w:numId="7">
    <w:abstractNumId w:val="21"/>
  </w:num>
  <w:num w:numId="8">
    <w:abstractNumId w:val="14"/>
  </w:num>
  <w:num w:numId="9">
    <w:abstractNumId w:val="30"/>
  </w:num>
  <w:num w:numId="10">
    <w:abstractNumId w:val="12"/>
  </w:num>
  <w:num w:numId="11">
    <w:abstractNumId w:val="13"/>
  </w:num>
  <w:num w:numId="12">
    <w:abstractNumId w:val="27"/>
  </w:num>
  <w:num w:numId="13">
    <w:abstractNumId w:val="25"/>
  </w:num>
  <w:num w:numId="14">
    <w:abstractNumId w:val="33"/>
  </w:num>
  <w:num w:numId="15">
    <w:abstractNumId w:val="29"/>
  </w:num>
  <w:num w:numId="16">
    <w:abstractNumId w:val="5"/>
  </w:num>
  <w:num w:numId="17">
    <w:abstractNumId w:val="4"/>
  </w:num>
  <w:num w:numId="18">
    <w:abstractNumId w:val="2"/>
  </w:num>
  <w:num w:numId="19">
    <w:abstractNumId w:val="18"/>
  </w:num>
  <w:num w:numId="20">
    <w:abstractNumId w:val="20"/>
  </w:num>
  <w:num w:numId="21">
    <w:abstractNumId w:val="23"/>
  </w:num>
  <w:num w:numId="22">
    <w:abstractNumId w:val="0"/>
  </w:num>
  <w:num w:numId="23">
    <w:abstractNumId w:val="26"/>
  </w:num>
  <w:num w:numId="24">
    <w:abstractNumId w:val="6"/>
  </w:num>
  <w:num w:numId="25">
    <w:abstractNumId w:val="9"/>
  </w:num>
  <w:num w:numId="26">
    <w:abstractNumId w:val="31"/>
  </w:num>
  <w:num w:numId="27">
    <w:abstractNumId w:val="22"/>
  </w:num>
  <w:num w:numId="28">
    <w:abstractNumId w:val="16"/>
  </w:num>
  <w:num w:numId="29">
    <w:abstractNumId w:val="17"/>
  </w:num>
  <w:num w:numId="30">
    <w:abstractNumId w:val="7"/>
  </w:num>
  <w:num w:numId="31">
    <w:abstractNumId w:val="24"/>
  </w:num>
  <w:num w:numId="32">
    <w:abstractNumId w:val="8"/>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1CFC"/>
    <w:rsid w:val="000050A8"/>
    <w:rsid w:val="000050BF"/>
    <w:rsid w:val="000051B0"/>
    <w:rsid w:val="0000553E"/>
    <w:rsid w:val="00006472"/>
    <w:rsid w:val="000066DD"/>
    <w:rsid w:val="0000716B"/>
    <w:rsid w:val="00007B9E"/>
    <w:rsid w:val="000105BC"/>
    <w:rsid w:val="00011061"/>
    <w:rsid w:val="00012722"/>
    <w:rsid w:val="00012908"/>
    <w:rsid w:val="00012D7F"/>
    <w:rsid w:val="00017BC6"/>
    <w:rsid w:val="00022BAE"/>
    <w:rsid w:val="00023323"/>
    <w:rsid w:val="00023CD7"/>
    <w:rsid w:val="000248A6"/>
    <w:rsid w:val="00025043"/>
    <w:rsid w:val="0002784E"/>
    <w:rsid w:val="000311DF"/>
    <w:rsid w:val="00032841"/>
    <w:rsid w:val="00032D77"/>
    <w:rsid w:val="000331A9"/>
    <w:rsid w:val="00033474"/>
    <w:rsid w:val="00036B07"/>
    <w:rsid w:val="00036C57"/>
    <w:rsid w:val="000412BE"/>
    <w:rsid w:val="0004130A"/>
    <w:rsid w:val="00042E60"/>
    <w:rsid w:val="000455A1"/>
    <w:rsid w:val="000455ED"/>
    <w:rsid w:val="000517ED"/>
    <w:rsid w:val="00052D99"/>
    <w:rsid w:val="0005577D"/>
    <w:rsid w:val="000606A5"/>
    <w:rsid w:val="00062145"/>
    <w:rsid w:val="0006236C"/>
    <w:rsid w:val="000633B7"/>
    <w:rsid w:val="0006552C"/>
    <w:rsid w:val="00066A98"/>
    <w:rsid w:val="00070EAA"/>
    <w:rsid w:val="00071331"/>
    <w:rsid w:val="000713BD"/>
    <w:rsid w:val="0007251C"/>
    <w:rsid w:val="00074429"/>
    <w:rsid w:val="00074CA3"/>
    <w:rsid w:val="00074E88"/>
    <w:rsid w:val="00074F28"/>
    <w:rsid w:val="00075444"/>
    <w:rsid w:val="00076EDF"/>
    <w:rsid w:val="00076FBA"/>
    <w:rsid w:val="00080700"/>
    <w:rsid w:val="00080A60"/>
    <w:rsid w:val="0008276C"/>
    <w:rsid w:val="00082B43"/>
    <w:rsid w:val="00085C48"/>
    <w:rsid w:val="00086182"/>
    <w:rsid w:val="00087045"/>
    <w:rsid w:val="00091805"/>
    <w:rsid w:val="00092C4F"/>
    <w:rsid w:val="000942F8"/>
    <w:rsid w:val="000961C1"/>
    <w:rsid w:val="000A617B"/>
    <w:rsid w:val="000A68FE"/>
    <w:rsid w:val="000B09BB"/>
    <w:rsid w:val="000B155C"/>
    <w:rsid w:val="000B1DB8"/>
    <w:rsid w:val="000B2672"/>
    <w:rsid w:val="000B5E99"/>
    <w:rsid w:val="000C073C"/>
    <w:rsid w:val="000C1637"/>
    <w:rsid w:val="000C38FA"/>
    <w:rsid w:val="000D0E06"/>
    <w:rsid w:val="000D191C"/>
    <w:rsid w:val="000D508B"/>
    <w:rsid w:val="000D7214"/>
    <w:rsid w:val="000D7756"/>
    <w:rsid w:val="000E0152"/>
    <w:rsid w:val="000E2C65"/>
    <w:rsid w:val="000E3B58"/>
    <w:rsid w:val="000E3EA7"/>
    <w:rsid w:val="000E4B21"/>
    <w:rsid w:val="000E598E"/>
    <w:rsid w:val="000E6909"/>
    <w:rsid w:val="000E7AB5"/>
    <w:rsid w:val="000F0716"/>
    <w:rsid w:val="000F11EC"/>
    <w:rsid w:val="000F2645"/>
    <w:rsid w:val="000F2BC8"/>
    <w:rsid w:val="000F3CD8"/>
    <w:rsid w:val="000F5938"/>
    <w:rsid w:val="000F5C8F"/>
    <w:rsid w:val="000F7BD0"/>
    <w:rsid w:val="001001A1"/>
    <w:rsid w:val="00100DC8"/>
    <w:rsid w:val="00100FCF"/>
    <w:rsid w:val="0010213D"/>
    <w:rsid w:val="001022C4"/>
    <w:rsid w:val="0010268E"/>
    <w:rsid w:val="0010290D"/>
    <w:rsid w:val="00103FE1"/>
    <w:rsid w:val="0010731A"/>
    <w:rsid w:val="00111651"/>
    <w:rsid w:val="00111820"/>
    <w:rsid w:val="001134B5"/>
    <w:rsid w:val="001144DB"/>
    <w:rsid w:val="00114780"/>
    <w:rsid w:val="001157B9"/>
    <w:rsid w:val="0011749B"/>
    <w:rsid w:val="00121141"/>
    <w:rsid w:val="001212F9"/>
    <w:rsid w:val="00121D4B"/>
    <w:rsid w:val="00126019"/>
    <w:rsid w:val="00130523"/>
    <w:rsid w:val="00131CEB"/>
    <w:rsid w:val="001345CB"/>
    <w:rsid w:val="001372D8"/>
    <w:rsid w:val="00141924"/>
    <w:rsid w:val="00142DA4"/>
    <w:rsid w:val="00142F06"/>
    <w:rsid w:val="00144810"/>
    <w:rsid w:val="001468E8"/>
    <w:rsid w:val="00147D22"/>
    <w:rsid w:val="001532E9"/>
    <w:rsid w:val="00155277"/>
    <w:rsid w:val="00160970"/>
    <w:rsid w:val="00160A5D"/>
    <w:rsid w:val="001633F6"/>
    <w:rsid w:val="0016621B"/>
    <w:rsid w:val="001669BD"/>
    <w:rsid w:val="00167382"/>
    <w:rsid w:val="00173433"/>
    <w:rsid w:val="00174525"/>
    <w:rsid w:val="001766D1"/>
    <w:rsid w:val="00180EB7"/>
    <w:rsid w:val="001811AF"/>
    <w:rsid w:val="00182497"/>
    <w:rsid w:val="00182EAB"/>
    <w:rsid w:val="00183A81"/>
    <w:rsid w:val="0018506C"/>
    <w:rsid w:val="00185674"/>
    <w:rsid w:val="00185BFE"/>
    <w:rsid w:val="00186561"/>
    <w:rsid w:val="00190141"/>
    <w:rsid w:val="0019125B"/>
    <w:rsid w:val="0019522E"/>
    <w:rsid w:val="00197849"/>
    <w:rsid w:val="001A1428"/>
    <w:rsid w:val="001A1835"/>
    <w:rsid w:val="001A26B0"/>
    <w:rsid w:val="001A5D52"/>
    <w:rsid w:val="001A5E69"/>
    <w:rsid w:val="001A6A6E"/>
    <w:rsid w:val="001B0191"/>
    <w:rsid w:val="001B0714"/>
    <w:rsid w:val="001B10F6"/>
    <w:rsid w:val="001B1C51"/>
    <w:rsid w:val="001B2317"/>
    <w:rsid w:val="001B423B"/>
    <w:rsid w:val="001B4B1B"/>
    <w:rsid w:val="001B66DA"/>
    <w:rsid w:val="001B6EFF"/>
    <w:rsid w:val="001C17AF"/>
    <w:rsid w:val="001C3F40"/>
    <w:rsid w:val="001C458F"/>
    <w:rsid w:val="001C4CC4"/>
    <w:rsid w:val="001C6459"/>
    <w:rsid w:val="001C66EC"/>
    <w:rsid w:val="001C6D84"/>
    <w:rsid w:val="001C6D99"/>
    <w:rsid w:val="001C6FB8"/>
    <w:rsid w:val="001C7D57"/>
    <w:rsid w:val="001D02E0"/>
    <w:rsid w:val="001D0C5F"/>
    <w:rsid w:val="001D17E9"/>
    <w:rsid w:val="001D30A5"/>
    <w:rsid w:val="001D5397"/>
    <w:rsid w:val="001D5526"/>
    <w:rsid w:val="001D7FC0"/>
    <w:rsid w:val="001E32E4"/>
    <w:rsid w:val="001E7B3C"/>
    <w:rsid w:val="001E7C3C"/>
    <w:rsid w:val="001F02E2"/>
    <w:rsid w:val="001F08E3"/>
    <w:rsid w:val="001F191E"/>
    <w:rsid w:val="001F20B5"/>
    <w:rsid w:val="001F2B30"/>
    <w:rsid w:val="001F3C52"/>
    <w:rsid w:val="001F4AAF"/>
    <w:rsid w:val="001F644A"/>
    <w:rsid w:val="00201153"/>
    <w:rsid w:val="002023A4"/>
    <w:rsid w:val="002046EA"/>
    <w:rsid w:val="0020600E"/>
    <w:rsid w:val="00211A51"/>
    <w:rsid w:val="00212ADA"/>
    <w:rsid w:val="00213BCF"/>
    <w:rsid w:val="00214559"/>
    <w:rsid w:val="00214C62"/>
    <w:rsid w:val="00217C5F"/>
    <w:rsid w:val="00217F73"/>
    <w:rsid w:val="00220A78"/>
    <w:rsid w:val="002222E8"/>
    <w:rsid w:val="002239EE"/>
    <w:rsid w:val="0022578A"/>
    <w:rsid w:val="0022599F"/>
    <w:rsid w:val="002268A5"/>
    <w:rsid w:val="00227812"/>
    <w:rsid w:val="002303B1"/>
    <w:rsid w:val="002304CA"/>
    <w:rsid w:val="0023251F"/>
    <w:rsid w:val="002353E7"/>
    <w:rsid w:val="00235883"/>
    <w:rsid w:val="0023608E"/>
    <w:rsid w:val="00237599"/>
    <w:rsid w:val="002416BA"/>
    <w:rsid w:val="00241AC1"/>
    <w:rsid w:val="00242A1C"/>
    <w:rsid w:val="00243FEA"/>
    <w:rsid w:val="00246E5E"/>
    <w:rsid w:val="002470A0"/>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4D06"/>
    <w:rsid w:val="00277B16"/>
    <w:rsid w:val="00280014"/>
    <w:rsid w:val="00287F7B"/>
    <w:rsid w:val="00292EFB"/>
    <w:rsid w:val="00294D25"/>
    <w:rsid w:val="002A2806"/>
    <w:rsid w:val="002A293D"/>
    <w:rsid w:val="002A5A5A"/>
    <w:rsid w:val="002A7EA4"/>
    <w:rsid w:val="002B36A6"/>
    <w:rsid w:val="002C0D55"/>
    <w:rsid w:val="002C1781"/>
    <w:rsid w:val="002D1FE0"/>
    <w:rsid w:val="002D302C"/>
    <w:rsid w:val="002D4C09"/>
    <w:rsid w:val="002E03E5"/>
    <w:rsid w:val="002E160C"/>
    <w:rsid w:val="002E468A"/>
    <w:rsid w:val="002E4720"/>
    <w:rsid w:val="002E522C"/>
    <w:rsid w:val="002E5785"/>
    <w:rsid w:val="002E633D"/>
    <w:rsid w:val="002E674D"/>
    <w:rsid w:val="002E6BAA"/>
    <w:rsid w:val="002E74F4"/>
    <w:rsid w:val="002E7989"/>
    <w:rsid w:val="002F168F"/>
    <w:rsid w:val="002F1A34"/>
    <w:rsid w:val="002F3B52"/>
    <w:rsid w:val="002F3D45"/>
    <w:rsid w:val="002F43AA"/>
    <w:rsid w:val="002F6A7E"/>
    <w:rsid w:val="002F7458"/>
    <w:rsid w:val="0030072E"/>
    <w:rsid w:val="00300AD3"/>
    <w:rsid w:val="003012CA"/>
    <w:rsid w:val="00301A88"/>
    <w:rsid w:val="003033CB"/>
    <w:rsid w:val="003044F7"/>
    <w:rsid w:val="00305593"/>
    <w:rsid w:val="00305A7B"/>
    <w:rsid w:val="003126A1"/>
    <w:rsid w:val="00312F3E"/>
    <w:rsid w:val="00313064"/>
    <w:rsid w:val="00314B34"/>
    <w:rsid w:val="00317DC8"/>
    <w:rsid w:val="00321436"/>
    <w:rsid w:val="00323C76"/>
    <w:rsid w:val="00323E8B"/>
    <w:rsid w:val="00327ACF"/>
    <w:rsid w:val="0033155D"/>
    <w:rsid w:val="00333B3D"/>
    <w:rsid w:val="00334E98"/>
    <w:rsid w:val="00335735"/>
    <w:rsid w:val="00336091"/>
    <w:rsid w:val="00336E4E"/>
    <w:rsid w:val="00336FA6"/>
    <w:rsid w:val="00337119"/>
    <w:rsid w:val="00337D36"/>
    <w:rsid w:val="00340950"/>
    <w:rsid w:val="00344D44"/>
    <w:rsid w:val="003510B8"/>
    <w:rsid w:val="003543C5"/>
    <w:rsid w:val="00355391"/>
    <w:rsid w:val="003557E9"/>
    <w:rsid w:val="003559A0"/>
    <w:rsid w:val="00355A64"/>
    <w:rsid w:val="00356483"/>
    <w:rsid w:val="0035659E"/>
    <w:rsid w:val="00356B7C"/>
    <w:rsid w:val="00356FB8"/>
    <w:rsid w:val="003646D8"/>
    <w:rsid w:val="00364BEC"/>
    <w:rsid w:val="00365438"/>
    <w:rsid w:val="00366651"/>
    <w:rsid w:val="003719D4"/>
    <w:rsid w:val="003720EF"/>
    <w:rsid w:val="003738D5"/>
    <w:rsid w:val="0037452B"/>
    <w:rsid w:val="003745A2"/>
    <w:rsid w:val="003755A5"/>
    <w:rsid w:val="00375BB0"/>
    <w:rsid w:val="00386AEE"/>
    <w:rsid w:val="003903F1"/>
    <w:rsid w:val="0039076E"/>
    <w:rsid w:val="003932D4"/>
    <w:rsid w:val="003936A8"/>
    <w:rsid w:val="00393ABA"/>
    <w:rsid w:val="00393B42"/>
    <w:rsid w:val="003966F8"/>
    <w:rsid w:val="00396E4A"/>
    <w:rsid w:val="003975AC"/>
    <w:rsid w:val="003A08F9"/>
    <w:rsid w:val="003A1151"/>
    <w:rsid w:val="003A52C9"/>
    <w:rsid w:val="003A5F0E"/>
    <w:rsid w:val="003B0E9F"/>
    <w:rsid w:val="003B21AF"/>
    <w:rsid w:val="003B28D6"/>
    <w:rsid w:val="003B4585"/>
    <w:rsid w:val="003B67E3"/>
    <w:rsid w:val="003B7563"/>
    <w:rsid w:val="003B7933"/>
    <w:rsid w:val="003C0EF3"/>
    <w:rsid w:val="003C17F7"/>
    <w:rsid w:val="003C1B14"/>
    <w:rsid w:val="003C25A7"/>
    <w:rsid w:val="003C5E01"/>
    <w:rsid w:val="003C675C"/>
    <w:rsid w:val="003C7A75"/>
    <w:rsid w:val="003D287F"/>
    <w:rsid w:val="003D36EC"/>
    <w:rsid w:val="003D3739"/>
    <w:rsid w:val="003D5212"/>
    <w:rsid w:val="003D59C2"/>
    <w:rsid w:val="003D79C5"/>
    <w:rsid w:val="003E2146"/>
    <w:rsid w:val="003E535E"/>
    <w:rsid w:val="003E56F3"/>
    <w:rsid w:val="003E6125"/>
    <w:rsid w:val="003E6D77"/>
    <w:rsid w:val="003F28E3"/>
    <w:rsid w:val="003F436A"/>
    <w:rsid w:val="003F445A"/>
    <w:rsid w:val="003F4B8B"/>
    <w:rsid w:val="003F5586"/>
    <w:rsid w:val="003F5DB0"/>
    <w:rsid w:val="003F695A"/>
    <w:rsid w:val="003F72AC"/>
    <w:rsid w:val="004011D5"/>
    <w:rsid w:val="00404230"/>
    <w:rsid w:val="00407269"/>
    <w:rsid w:val="004076F9"/>
    <w:rsid w:val="0041376D"/>
    <w:rsid w:val="00413901"/>
    <w:rsid w:val="004154D3"/>
    <w:rsid w:val="00420EEF"/>
    <w:rsid w:val="00422F1B"/>
    <w:rsid w:val="00423257"/>
    <w:rsid w:val="00426884"/>
    <w:rsid w:val="00426C3C"/>
    <w:rsid w:val="00430BA0"/>
    <w:rsid w:val="004313C6"/>
    <w:rsid w:val="00433009"/>
    <w:rsid w:val="004334D5"/>
    <w:rsid w:val="00433E04"/>
    <w:rsid w:val="0043416C"/>
    <w:rsid w:val="0043425E"/>
    <w:rsid w:val="00434E24"/>
    <w:rsid w:val="00440994"/>
    <w:rsid w:val="004439D9"/>
    <w:rsid w:val="0044417A"/>
    <w:rsid w:val="004462BE"/>
    <w:rsid w:val="00450C94"/>
    <w:rsid w:val="00451A01"/>
    <w:rsid w:val="00452CE4"/>
    <w:rsid w:val="00455CDB"/>
    <w:rsid w:val="00456D55"/>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81605"/>
    <w:rsid w:val="00481C82"/>
    <w:rsid w:val="004834BE"/>
    <w:rsid w:val="00483749"/>
    <w:rsid w:val="00483BF0"/>
    <w:rsid w:val="00485360"/>
    <w:rsid w:val="00485CBC"/>
    <w:rsid w:val="004A1104"/>
    <w:rsid w:val="004A4845"/>
    <w:rsid w:val="004A4EF6"/>
    <w:rsid w:val="004A590C"/>
    <w:rsid w:val="004A7DCF"/>
    <w:rsid w:val="004B0E64"/>
    <w:rsid w:val="004B2391"/>
    <w:rsid w:val="004B2638"/>
    <w:rsid w:val="004B6F4E"/>
    <w:rsid w:val="004B772F"/>
    <w:rsid w:val="004C1434"/>
    <w:rsid w:val="004C2320"/>
    <w:rsid w:val="004C5C75"/>
    <w:rsid w:val="004D12BD"/>
    <w:rsid w:val="004D278A"/>
    <w:rsid w:val="004D2DC1"/>
    <w:rsid w:val="004D35FF"/>
    <w:rsid w:val="004D56E1"/>
    <w:rsid w:val="004D65ED"/>
    <w:rsid w:val="004D6FA9"/>
    <w:rsid w:val="004E39FF"/>
    <w:rsid w:val="004E6A9A"/>
    <w:rsid w:val="004E6F99"/>
    <w:rsid w:val="004E7B92"/>
    <w:rsid w:val="004F0D82"/>
    <w:rsid w:val="004F0E7E"/>
    <w:rsid w:val="004F6496"/>
    <w:rsid w:val="004F7D24"/>
    <w:rsid w:val="004F7F10"/>
    <w:rsid w:val="00500C0D"/>
    <w:rsid w:val="00500DAD"/>
    <w:rsid w:val="0050191E"/>
    <w:rsid w:val="00501D9B"/>
    <w:rsid w:val="005022CA"/>
    <w:rsid w:val="00503CE4"/>
    <w:rsid w:val="00510F19"/>
    <w:rsid w:val="00513623"/>
    <w:rsid w:val="00513698"/>
    <w:rsid w:val="00513DD0"/>
    <w:rsid w:val="005155F6"/>
    <w:rsid w:val="005177D8"/>
    <w:rsid w:val="00522C88"/>
    <w:rsid w:val="00522FB3"/>
    <w:rsid w:val="00525E20"/>
    <w:rsid w:val="00534421"/>
    <w:rsid w:val="00535A18"/>
    <w:rsid w:val="00536404"/>
    <w:rsid w:val="00536858"/>
    <w:rsid w:val="00536DAA"/>
    <w:rsid w:val="00542F2E"/>
    <w:rsid w:val="00544924"/>
    <w:rsid w:val="0054640C"/>
    <w:rsid w:val="00551B3F"/>
    <w:rsid w:val="005525E2"/>
    <w:rsid w:val="00552B68"/>
    <w:rsid w:val="00552E6A"/>
    <w:rsid w:val="00554A70"/>
    <w:rsid w:val="0055512E"/>
    <w:rsid w:val="00555E0B"/>
    <w:rsid w:val="00561B6A"/>
    <w:rsid w:val="00563E7E"/>
    <w:rsid w:val="005651EC"/>
    <w:rsid w:val="00565758"/>
    <w:rsid w:val="0056791C"/>
    <w:rsid w:val="005702BD"/>
    <w:rsid w:val="00571426"/>
    <w:rsid w:val="00574C74"/>
    <w:rsid w:val="005819A9"/>
    <w:rsid w:val="00582D7E"/>
    <w:rsid w:val="00583704"/>
    <w:rsid w:val="00583BD0"/>
    <w:rsid w:val="0058544B"/>
    <w:rsid w:val="005869E5"/>
    <w:rsid w:val="00586C49"/>
    <w:rsid w:val="005875D7"/>
    <w:rsid w:val="00591C82"/>
    <w:rsid w:val="0059254D"/>
    <w:rsid w:val="005944F0"/>
    <w:rsid w:val="00595595"/>
    <w:rsid w:val="00596DC9"/>
    <w:rsid w:val="005A1237"/>
    <w:rsid w:val="005B1432"/>
    <w:rsid w:val="005B28EB"/>
    <w:rsid w:val="005B4120"/>
    <w:rsid w:val="005B4A69"/>
    <w:rsid w:val="005B6A1E"/>
    <w:rsid w:val="005B702A"/>
    <w:rsid w:val="005C2559"/>
    <w:rsid w:val="005C31B2"/>
    <w:rsid w:val="005C4A87"/>
    <w:rsid w:val="005C5286"/>
    <w:rsid w:val="005C565A"/>
    <w:rsid w:val="005C6B7A"/>
    <w:rsid w:val="005D0450"/>
    <w:rsid w:val="005D066B"/>
    <w:rsid w:val="005D0BB5"/>
    <w:rsid w:val="005D17E9"/>
    <w:rsid w:val="005D2688"/>
    <w:rsid w:val="005D52B1"/>
    <w:rsid w:val="005D7647"/>
    <w:rsid w:val="005E14D7"/>
    <w:rsid w:val="005E2938"/>
    <w:rsid w:val="005E2AB0"/>
    <w:rsid w:val="005E2B82"/>
    <w:rsid w:val="005E2FC6"/>
    <w:rsid w:val="005E3B08"/>
    <w:rsid w:val="005E6940"/>
    <w:rsid w:val="005E696D"/>
    <w:rsid w:val="005E7F23"/>
    <w:rsid w:val="005F12DA"/>
    <w:rsid w:val="005F17F7"/>
    <w:rsid w:val="005F2651"/>
    <w:rsid w:val="005F3A70"/>
    <w:rsid w:val="005F462C"/>
    <w:rsid w:val="005F493B"/>
    <w:rsid w:val="005F5489"/>
    <w:rsid w:val="005F54D5"/>
    <w:rsid w:val="005F573B"/>
    <w:rsid w:val="005F63A6"/>
    <w:rsid w:val="005F74FA"/>
    <w:rsid w:val="005F75C1"/>
    <w:rsid w:val="00604B91"/>
    <w:rsid w:val="00605A96"/>
    <w:rsid w:val="00605CF9"/>
    <w:rsid w:val="00606E99"/>
    <w:rsid w:val="006153B8"/>
    <w:rsid w:val="00615496"/>
    <w:rsid w:val="00615C5D"/>
    <w:rsid w:val="00615DE9"/>
    <w:rsid w:val="00616197"/>
    <w:rsid w:val="0061724A"/>
    <w:rsid w:val="00617250"/>
    <w:rsid w:val="006230AB"/>
    <w:rsid w:val="00626152"/>
    <w:rsid w:val="006300E5"/>
    <w:rsid w:val="0063043B"/>
    <w:rsid w:val="006307B8"/>
    <w:rsid w:val="00632EAA"/>
    <w:rsid w:val="00633385"/>
    <w:rsid w:val="006342EA"/>
    <w:rsid w:val="00634472"/>
    <w:rsid w:val="00634780"/>
    <w:rsid w:val="006353EF"/>
    <w:rsid w:val="0063541C"/>
    <w:rsid w:val="00635866"/>
    <w:rsid w:val="006363C5"/>
    <w:rsid w:val="00642692"/>
    <w:rsid w:val="0064307F"/>
    <w:rsid w:val="00643840"/>
    <w:rsid w:val="0064548B"/>
    <w:rsid w:val="006509AB"/>
    <w:rsid w:val="00652409"/>
    <w:rsid w:val="00652B81"/>
    <w:rsid w:val="00654CDD"/>
    <w:rsid w:val="00657DBB"/>
    <w:rsid w:val="00660CDD"/>
    <w:rsid w:val="006626DB"/>
    <w:rsid w:val="00665634"/>
    <w:rsid w:val="00667FD6"/>
    <w:rsid w:val="00670113"/>
    <w:rsid w:val="00670E1F"/>
    <w:rsid w:val="00671AE6"/>
    <w:rsid w:val="0067228D"/>
    <w:rsid w:val="00674D49"/>
    <w:rsid w:val="0067690F"/>
    <w:rsid w:val="006805FA"/>
    <w:rsid w:val="00683015"/>
    <w:rsid w:val="00683D89"/>
    <w:rsid w:val="00693FB9"/>
    <w:rsid w:val="00694332"/>
    <w:rsid w:val="00694F99"/>
    <w:rsid w:val="00697809"/>
    <w:rsid w:val="00697A98"/>
    <w:rsid w:val="00697E7C"/>
    <w:rsid w:val="006A0F42"/>
    <w:rsid w:val="006A5BFB"/>
    <w:rsid w:val="006A7F34"/>
    <w:rsid w:val="006B0C70"/>
    <w:rsid w:val="006B1758"/>
    <w:rsid w:val="006B2D01"/>
    <w:rsid w:val="006B3512"/>
    <w:rsid w:val="006C0EE8"/>
    <w:rsid w:val="006C149B"/>
    <w:rsid w:val="006C3160"/>
    <w:rsid w:val="006D1564"/>
    <w:rsid w:val="006D1DE8"/>
    <w:rsid w:val="006D1FC9"/>
    <w:rsid w:val="006D5A56"/>
    <w:rsid w:val="006D61D9"/>
    <w:rsid w:val="006D6201"/>
    <w:rsid w:val="006E14DC"/>
    <w:rsid w:val="006E24CE"/>
    <w:rsid w:val="006E310C"/>
    <w:rsid w:val="006E5391"/>
    <w:rsid w:val="006E77B9"/>
    <w:rsid w:val="006E7A06"/>
    <w:rsid w:val="006F0EE3"/>
    <w:rsid w:val="006F2406"/>
    <w:rsid w:val="006F3749"/>
    <w:rsid w:val="006F4362"/>
    <w:rsid w:val="006F4BBD"/>
    <w:rsid w:val="006F4CFC"/>
    <w:rsid w:val="007006D5"/>
    <w:rsid w:val="00700F76"/>
    <w:rsid w:val="00701842"/>
    <w:rsid w:val="00704029"/>
    <w:rsid w:val="00704695"/>
    <w:rsid w:val="00704832"/>
    <w:rsid w:val="0070574D"/>
    <w:rsid w:val="007058EA"/>
    <w:rsid w:val="00706034"/>
    <w:rsid w:val="007107D0"/>
    <w:rsid w:val="007116C1"/>
    <w:rsid w:val="007128CA"/>
    <w:rsid w:val="0071620C"/>
    <w:rsid w:val="00716E01"/>
    <w:rsid w:val="00717420"/>
    <w:rsid w:val="007202D6"/>
    <w:rsid w:val="007212D4"/>
    <w:rsid w:val="00721D98"/>
    <w:rsid w:val="00721F01"/>
    <w:rsid w:val="00724704"/>
    <w:rsid w:val="00724AD6"/>
    <w:rsid w:val="00725337"/>
    <w:rsid w:val="00726D87"/>
    <w:rsid w:val="00732C9C"/>
    <w:rsid w:val="00733560"/>
    <w:rsid w:val="00734420"/>
    <w:rsid w:val="00734CEB"/>
    <w:rsid w:val="007358F2"/>
    <w:rsid w:val="007401AD"/>
    <w:rsid w:val="00740A99"/>
    <w:rsid w:val="00743618"/>
    <w:rsid w:val="00745F7A"/>
    <w:rsid w:val="00746618"/>
    <w:rsid w:val="007468F1"/>
    <w:rsid w:val="00747479"/>
    <w:rsid w:val="00753E13"/>
    <w:rsid w:val="00754FA4"/>
    <w:rsid w:val="007556E1"/>
    <w:rsid w:val="00760287"/>
    <w:rsid w:val="0076740A"/>
    <w:rsid w:val="007675E7"/>
    <w:rsid w:val="00767824"/>
    <w:rsid w:val="00770811"/>
    <w:rsid w:val="00770C55"/>
    <w:rsid w:val="007725A5"/>
    <w:rsid w:val="00772D1B"/>
    <w:rsid w:val="00777ED4"/>
    <w:rsid w:val="007806FD"/>
    <w:rsid w:val="007824F2"/>
    <w:rsid w:val="00786158"/>
    <w:rsid w:val="00786699"/>
    <w:rsid w:val="00791561"/>
    <w:rsid w:val="00793AAF"/>
    <w:rsid w:val="00793BE7"/>
    <w:rsid w:val="007977C7"/>
    <w:rsid w:val="007A16D0"/>
    <w:rsid w:val="007A2901"/>
    <w:rsid w:val="007A40AC"/>
    <w:rsid w:val="007A473B"/>
    <w:rsid w:val="007A496A"/>
    <w:rsid w:val="007A5421"/>
    <w:rsid w:val="007A6119"/>
    <w:rsid w:val="007A6EF2"/>
    <w:rsid w:val="007A7695"/>
    <w:rsid w:val="007B09C9"/>
    <w:rsid w:val="007B1BB8"/>
    <w:rsid w:val="007B6F46"/>
    <w:rsid w:val="007C1323"/>
    <w:rsid w:val="007C1E27"/>
    <w:rsid w:val="007C20C9"/>
    <w:rsid w:val="007C3F36"/>
    <w:rsid w:val="007C49A5"/>
    <w:rsid w:val="007C72A6"/>
    <w:rsid w:val="007D1A7D"/>
    <w:rsid w:val="007D3E36"/>
    <w:rsid w:val="007D4C26"/>
    <w:rsid w:val="007D533B"/>
    <w:rsid w:val="007D597C"/>
    <w:rsid w:val="007E0217"/>
    <w:rsid w:val="007E0652"/>
    <w:rsid w:val="007E0FE2"/>
    <w:rsid w:val="007E333C"/>
    <w:rsid w:val="007E54FE"/>
    <w:rsid w:val="007E56E3"/>
    <w:rsid w:val="007E6AF8"/>
    <w:rsid w:val="007E7D86"/>
    <w:rsid w:val="007F3413"/>
    <w:rsid w:val="007F5340"/>
    <w:rsid w:val="007F59EF"/>
    <w:rsid w:val="00800D47"/>
    <w:rsid w:val="00801C5F"/>
    <w:rsid w:val="00806702"/>
    <w:rsid w:val="00806DE9"/>
    <w:rsid w:val="00807FC1"/>
    <w:rsid w:val="00810B4A"/>
    <w:rsid w:val="008155AA"/>
    <w:rsid w:val="008170EE"/>
    <w:rsid w:val="00822025"/>
    <w:rsid w:val="00824D67"/>
    <w:rsid w:val="008253B7"/>
    <w:rsid w:val="00825698"/>
    <w:rsid w:val="00831619"/>
    <w:rsid w:val="00831FCB"/>
    <w:rsid w:val="00832C43"/>
    <w:rsid w:val="008335A5"/>
    <w:rsid w:val="00834661"/>
    <w:rsid w:val="00835D3E"/>
    <w:rsid w:val="0083620A"/>
    <w:rsid w:val="00836D6C"/>
    <w:rsid w:val="00837EFB"/>
    <w:rsid w:val="00841617"/>
    <w:rsid w:val="0084228D"/>
    <w:rsid w:val="00843D25"/>
    <w:rsid w:val="008508F1"/>
    <w:rsid w:val="00850EFF"/>
    <w:rsid w:val="008524E6"/>
    <w:rsid w:val="00852892"/>
    <w:rsid w:val="00853785"/>
    <w:rsid w:val="00854691"/>
    <w:rsid w:val="00854E34"/>
    <w:rsid w:val="00855940"/>
    <w:rsid w:val="008615BB"/>
    <w:rsid w:val="0086494F"/>
    <w:rsid w:val="008659F9"/>
    <w:rsid w:val="00867446"/>
    <w:rsid w:val="00867D37"/>
    <w:rsid w:val="008705DF"/>
    <w:rsid w:val="00871A57"/>
    <w:rsid w:val="00872FAF"/>
    <w:rsid w:val="008736CC"/>
    <w:rsid w:val="00873CC3"/>
    <w:rsid w:val="00875A3E"/>
    <w:rsid w:val="00877D31"/>
    <w:rsid w:val="00880510"/>
    <w:rsid w:val="00881BD9"/>
    <w:rsid w:val="00882009"/>
    <w:rsid w:val="00883D5A"/>
    <w:rsid w:val="008848E5"/>
    <w:rsid w:val="0088521E"/>
    <w:rsid w:val="00885D72"/>
    <w:rsid w:val="00886F0E"/>
    <w:rsid w:val="00887ECD"/>
    <w:rsid w:val="00890FCA"/>
    <w:rsid w:val="00891AF4"/>
    <w:rsid w:val="00893B92"/>
    <w:rsid w:val="008946BA"/>
    <w:rsid w:val="0089704C"/>
    <w:rsid w:val="00897AC3"/>
    <w:rsid w:val="008A0778"/>
    <w:rsid w:val="008A2899"/>
    <w:rsid w:val="008A28EF"/>
    <w:rsid w:val="008A3B36"/>
    <w:rsid w:val="008A5321"/>
    <w:rsid w:val="008A622B"/>
    <w:rsid w:val="008A7E40"/>
    <w:rsid w:val="008B2197"/>
    <w:rsid w:val="008B22A8"/>
    <w:rsid w:val="008B3384"/>
    <w:rsid w:val="008B38E1"/>
    <w:rsid w:val="008B3CC5"/>
    <w:rsid w:val="008B5EE5"/>
    <w:rsid w:val="008B62BF"/>
    <w:rsid w:val="008C0AE0"/>
    <w:rsid w:val="008C0E7A"/>
    <w:rsid w:val="008C1DEB"/>
    <w:rsid w:val="008C22A2"/>
    <w:rsid w:val="008C4294"/>
    <w:rsid w:val="008C6D25"/>
    <w:rsid w:val="008C7097"/>
    <w:rsid w:val="008C7CD9"/>
    <w:rsid w:val="008D1AE9"/>
    <w:rsid w:val="008D2CE6"/>
    <w:rsid w:val="008D3E85"/>
    <w:rsid w:val="008E0730"/>
    <w:rsid w:val="008E2240"/>
    <w:rsid w:val="008E32E7"/>
    <w:rsid w:val="008E45B2"/>
    <w:rsid w:val="008E6162"/>
    <w:rsid w:val="008E72E6"/>
    <w:rsid w:val="008F1C19"/>
    <w:rsid w:val="008F4E77"/>
    <w:rsid w:val="008F5087"/>
    <w:rsid w:val="008F55BC"/>
    <w:rsid w:val="008F6071"/>
    <w:rsid w:val="009001EA"/>
    <w:rsid w:val="00900B03"/>
    <w:rsid w:val="0090532A"/>
    <w:rsid w:val="009119E2"/>
    <w:rsid w:val="00913B05"/>
    <w:rsid w:val="00915509"/>
    <w:rsid w:val="00915E4A"/>
    <w:rsid w:val="00915ED2"/>
    <w:rsid w:val="00916771"/>
    <w:rsid w:val="00917765"/>
    <w:rsid w:val="00920AEC"/>
    <w:rsid w:val="009215C1"/>
    <w:rsid w:val="00923DBA"/>
    <w:rsid w:val="0092528D"/>
    <w:rsid w:val="00926D0C"/>
    <w:rsid w:val="00930598"/>
    <w:rsid w:val="009328D5"/>
    <w:rsid w:val="0093696B"/>
    <w:rsid w:val="0093706F"/>
    <w:rsid w:val="009401F1"/>
    <w:rsid w:val="009406E4"/>
    <w:rsid w:val="00943ABC"/>
    <w:rsid w:val="00944ADD"/>
    <w:rsid w:val="0094569A"/>
    <w:rsid w:val="00946E57"/>
    <w:rsid w:val="00950D28"/>
    <w:rsid w:val="00951F87"/>
    <w:rsid w:val="0095373E"/>
    <w:rsid w:val="00954270"/>
    <w:rsid w:val="00955238"/>
    <w:rsid w:val="0095591D"/>
    <w:rsid w:val="00956A0C"/>
    <w:rsid w:val="00963565"/>
    <w:rsid w:val="0096358D"/>
    <w:rsid w:val="00963E2C"/>
    <w:rsid w:val="00964814"/>
    <w:rsid w:val="009664B3"/>
    <w:rsid w:val="00967295"/>
    <w:rsid w:val="00974406"/>
    <w:rsid w:val="009761DD"/>
    <w:rsid w:val="00976659"/>
    <w:rsid w:val="009771AA"/>
    <w:rsid w:val="00977D83"/>
    <w:rsid w:val="00981D11"/>
    <w:rsid w:val="00982B1C"/>
    <w:rsid w:val="009830A6"/>
    <w:rsid w:val="009835C8"/>
    <w:rsid w:val="00984F40"/>
    <w:rsid w:val="00985DBE"/>
    <w:rsid w:val="00986DF3"/>
    <w:rsid w:val="00991E4B"/>
    <w:rsid w:val="00994E6A"/>
    <w:rsid w:val="00994EDD"/>
    <w:rsid w:val="009958EA"/>
    <w:rsid w:val="00996025"/>
    <w:rsid w:val="009A3067"/>
    <w:rsid w:val="009A584F"/>
    <w:rsid w:val="009A650A"/>
    <w:rsid w:val="009A6C8E"/>
    <w:rsid w:val="009B133F"/>
    <w:rsid w:val="009B1B7A"/>
    <w:rsid w:val="009B56D7"/>
    <w:rsid w:val="009B5764"/>
    <w:rsid w:val="009B65A2"/>
    <w:rsid w:val="009B7824"/>
    <w:rsid w:val="009C1E99"/>
    <w:rsid w:val="009C30CA"/>
    <w:rsid w:val="009C31DE"/>
    <w:rsid w:val="009C3337"/>
    <w:rsid w:val="009C37EA"/>
    <w:rsid w:val="009C479C"/>
    <w:rsid w:val="009C4E3D"/>
    <w:rsid w:val="009C6859"/>
    <w:rsid w:val="009C759A"/>
    <w:rsid w:val="009D0E63"/>
    <w:rsid w:val="009D1962"/>
    <w:rsid w:val="009D3C33"/>
    <w:rsid w:val="009D4BC6"/>
    <w:rsid w:val="009D5AE1"/>
    <w:rsid w:val="009D75AF"/>
    <w:rsid w:val="009E422E"/>
    <w:rsid w:val="009E623B"/>
    <w:rsid w:val="009E7CCE"/>
    <w:rsid w:val="009F015A"/>
    <w:rsid w:val="009F0A6F"/>
    <w:rsid w:val="009F5294"/>
    <w:rsid w:val="009F5F22"/>
    <w:rsid w:val="009F6392"/>
    <w:rsid w:val="00A002CB"/>
    <w:rsid w:val="00A008A4"/>
    <w:rsid w:val="00A025BF"/>
    <w:rsid w:val="00A04587"/>
    <w:rsid w:val="00A04929"/>
    <w:rsid w:val="00A05B45"/>
    <w:rsid w:val="00A06753"/>
    <w:rsid w:val="00A1004C"/>
    <w:rsid w:val="00A139E3"/>
    <w:rsid w:val="00A14914"/>
    <w:rsid w:val="00A1520E"/>
    <w:rsid w:val="00A1703C"/>
    <w:rsid w:val="00A17BF2"/>
    <w:rsid w:val="00A209E0"/>
    <w:rsid w:val="00A21059"/>
    <w:rsid w:val="00A218A4"/>
    <w:rsid w:val="00A26011"/>
    <w:rsid w:val="00A265E8"/>
    <w:rsid w:val="00A307A6"/>
    <w:rsid w:val="00A31276"/>
    <w:rsid w:val="00A3414E"/>
    <w:rsid w:val="00A35086"/>
    <w:rsid w:val="00A352E6"/>
    <w:rsid w:val="00A41430"/>
    <w:rsid w:val="00A41B9F"/>
    <w:rsid w:val="00A42BD2"/>
    <w:rsid w:val="00A43451"/>
    <w:rsid w:val="00A43616"/>
    <w:rsid w:val="00A4670E"/>
    <w:rsid w:val="00A50E7A"/>
    <w:rsid w:val="00A5150A"/>
    <w:rsid w:val="00A52FC1"/>
    <w:rsid w:val="00A603E5"/>
    <w:rsid w:val="00A607CC"/>
    <w:rsid w:val="00A61B47"/>
    <w:rsid w:val="00A64061"/>
    <w:rsid w:val="00A645B1"/>
    <w:rsid w:val="00A660B4"/>
    <w:rsid w:val="00A6741B"/>
    <w:rsid w:val="00A71291"/>
    <w:rsid w:val="00A71835"/>
    <w:rsid w:val="00A71B5E"/>
    <w:rsid w:val="00A72435"/>
    <w:rsid w:val="00A72CA7"/>
    <w:rsid w:val="00A72E34"/>
    <w:rsid w:val="00A744D5"/>
    <w:rsid w:val="00A76FE7"/>
    <w:rsid w:val="00A77B3C"/>
    <w:rsid w:val="00A77FF4"/>
    <w:rsid w:val="00A81B95"/>
    <w:rsid w:val="00A81E1D"/>
    <w:rsid w:val="00A820E5"/>
    <w:rsid w:val="00A82E2B"/>
    <w:rsid w:val="00A8302F"/>
    <w:rsid w:val="00A8460A"/>
    <w:rsid w:val="00A8539B"/>
    <w:rsid w:val="00A91C61"/>
    <w:rsid w:val="00A92DD4"/>
    <w:rsid w:val="00A931D3"/>
    <w:rsid w:val="00A93BE1"/>
    <w:rsid w:val="00A9455C"/>
    <w:rsid w:val="00A96313"/>
    <w:rsid w:val="00A963B7"/>
    <w:rsid w:val="00AA129E"/>
    <w:rsid w:val="00AA217D"/>
    <w:rsid w:val="00AA3571"/>
    <w:rsid w:val="00AA4450"/>
    <w:rsid w:val="00AB039B"/>
    <w:rsid w:val="00AB5AF2"/>
    <w:rsid w:val="00AB7178"/>
    <w:rsid w:val="00AC0353"/>
    <w:rsid w:val="00AC1646"/>
    <w:rsid w:val="00AC1747"/>
    <w:rsid w:val="00AC2F0F"/>
    <w:rsid w:val="00AC3523"/>
    <w:rsid w:val="00AC441C"/>
    <w:rsid w:val="00AC48FC"/>
    <w:rsid w:val="00AC7134"/>
    <w:rsid w:val="00AD0149"/>
    <w:rsid w:val="00AD1066"/>
    <w:rsid w:val="00AD3FDD"/>
    <w:rsid w:val="00AD5C4A"/>
    <w:rsid w:val="00AD6DA0"/>
    <w:rsid w:val="00AE0EBD"/>
    <w:rsid w:val="00AE1988"/>
    <w:rsid w:val="00AE2F0F"/>
    <w:rsid w:val="00AE38B9"/>
    <w:rsid w:val="00AE4113"/>
    <w:rsid w:val="00AE50B9"/>
    <w:rsid w:val="00AE610F"/>
    <w:rsid w:val="00AF15A9"/>
    <w:rsid w:val="00AF2388"/>
    <w:rsid w:val="00AF2791"/>
    <w:rsid w:val="00AF45CE"/>
    <w:rsid w:val="00AF4630"/>
    <w:rsid w:val="00AF4944"/>
    <w:rsid w:val="00B002D4"/>
    <w:rsid w:val="00B06293"/>
    <w:rsid w:val="00B07216"/>
    <w:rsid w:val="00B07909"/>
    <w:rsid w:val="00B07D5D"/>
    <w:rsid w:val="00B10A8A"/>
    <w:rsid w:val="00B11AFC"/>
    <w:rsid w:val="00B125E1"/>
    <w:rsid w:val="00B12AFF"/>
    <w:rsid w:val="00B12FE2"/>
    <w:rsid w:val="00B151D5"/>
    <w:rsid w:val="00B1614D"/>
    <w:rsid w:val="00B1628C"/>
    <w:rsid w:val="00B17650"/>
    <w:rsid w:val="00B22011"/>
    <w:rsid w:val="00B22173"/>
    <w:rsid w:val="00B22F73"/>
    <w:rsid w:val="00B2567D"/>
    <w:rsid w:val="00B25A13"/>
    <w:rsid w:val="00B279F3"/>
    <w:rsid w:val="00B31CB1"/>
    <w:rsid w:val="00B31EA8"/>
    <w:rsid w:val="00B3249A"/>
    <w:rsid w:val="00B333E3"/>
    <w:rsid w:val="00B33614"/>
    <w:rsid w:val="00B33878"/>
    <w:rsid w:val="00B33D8E"/>
    <w:rsid w:val="00B34388"/>
    <w:rsid w:val="00B35556"/>
    <w:rsid w:val="00B37754"/>
    <w:rsid w:val="00B40B07"/>
    <w:rsid w:val="00B41838"/>
    <w:rsid w:val="00B43D14"/>
    <w:rsid w:val="00B446F0"/>
    <w:rsid w:val="00B4573C"/>
    <w:rsid w:val="00B4623F"/>
    <w:rsid w:val="00B52267"/>
    <w:rsid w:val="00B523C4"/>
    <w:rsid w:val="00B52F6A"/>
    <w:rsid w:val="00B55D9B"/>
    <w:rsid w:val="00B601C3"/>
    <w:rsid w:val="00B60827"/>
    <w:rsid w:val="00B61BDA"/>
    <w:rsid w:val="00B63BCA"/>
    <w:rsid w:val="00B649D9"/>
    <w:rsid w:val="00B66C51"/>
    <w:rsid w:val="00B71D9E"/>
    <w:rsid w:val="00B72337"/>
    <w:rsid w:val="00B72363"/>
    <w:rsid w:val="00B7300C"/>
    <w:rsid w:val="00B735C9"/>
    <w:rsid w:val="00B73F4C"/>
    <w:rsid w:val="00B74643"/>
    <w:rsid w:val="00B76874"/>
    <w:rsid w:val="00B8238E"/>
    <w:rsid w:val="00B8491C"/>
    <w:rsid w:val="00B85BF7"/>
    <w:rsid w:val="00B86E20"/>
    <w:rsid w:val="00B90524"/>
    <w:rsid w:val="00B9565A"/>
    <w:rsid w:val="00B96263"/>
    <w:rsid w:val="00B967A2"/>
    <w:rsid w:val="00BA3CA2"/>
    <w:rsid w:val="00BA606E"/>
    <w:rsid w:val="00BB1A87"/>
    <w:rsid w:val="00BB584D"/>
    <w:rsid w:val="00BC007A"/>
    <w:rsid w:val="00BC13E4"/>
    <w:rsid w:val="00BC198E"/>
    <w:rsid w:val="00BC2B16"/>
    <w:rsid w:val="00BC323B"/>
    <w:rsid w:val="00BC32E7"/>
    <w:rsid w:val="00BC4C53"/>
    <w:rsid w:val="00BC5878"/>
    <w:rsid w:val="00BC6E33"/>
    <w:rsid w:val="00BC7FB7"/>
    <w:rsid w:val="00BD64C1"/>
    <w:rsid w:val="00BE495B"/>
    <w:rsid w:val="00BE6BC5"/>
    <w:rsid w:val="00BF1465"/>
    <w:rsid w:val="00BF684B"/>
    <w:rsid w:val="00C00D5E"/>
    <w:rsid w:val="00C018C5"/>
    <w:rsid w:val="00C03364"/>
    <w:rsid w:val="00C0381C"/>
    <w:rsid w:val="00C03C66"/>
    <w:rsid w:val="00C03D73"/>
    <w:rsid w:val="00C05DBF"/>
    <w:rsid w:val="00C0625C"/>
    <w:rsid w:val="00C065D1"/>
    <w:rsid w:val="00C076D2"/>
    <w:rsid w:val="00C07A7C"/>
    <w:rsid w:val="00C10AB5"/>
    <w:rsid w:val="00C1224E"/>
    <w:rsid w:val="00C15A14"/>
    <w:rsid w:val="00C15E02"/>
    <w:rsid w:val="00C17AFC"/>
    <w:rsid w:val="00C2277C"/>
    <w:rsid w:val="00C24479"/>
    <w:rsid w:val="00C24FC0"/>
    <w:rsid w:val="00C2656B"/>
    <w:rsid w:val="00C265D6"/>
    <w:rsid w:val="00C266A9"/>
    <w:rsid w:val="00C2677A"/>
    <w:rsid w:val="00C274A7"/>
    <w:rsid w:val="00C31223"/>
    <w:rsid w:val="00C31F00"/>
    <w:rsid w:val="00C32DC0"/>
    <w:rsid w:val="00C34E80"/>
    <w:rsid w:val="00C35919"/>
    <w:rsid w:val="00C36ABF"/>
    <w:rsid w:val="00C3727E"/>
    <w:rsid w:val="00C3740D"/>
    <w:rsid w:val="00C37FD4"/>
    <w:rsid w:val="00C44133"/>
    <w:rsid w:val="00C44170"/>
    <w:rsid w:val="00C44341"/>
    <w:rsid w:val="00C476B6"/>
    <w:rsid w:val="00C54813"/>
    <w:rsid w:val="00C54891"/>
    <w:rsid w:val="00C54BD9"/>
    <w:rsid w:val="00C55D54"/>
    <w:rsid w:val="00C55FE8"/>
    <w:rsid w:val="00C571D4"/>
    <w:rsid w:val="00C57AD7"/>
    <w:rsid w:val="00C60A65"/>
    <w:rsid w:val="00C616C5"/>
    <w:rsid w:val="00C631BE"/>
    <w:rsid w:val="00C6411A"/>
    <w:rsid w:val="00C651D5"/>
    <w:rsid w:val="00C658DC"/>
    <w:rsid w:val="00C6666D"/>
    <w:rsid w:val="00C66999"/>
    <w:rsid w:val="00C706E0"/>
    <w:rsid w:val="00C70B97"/>
    <w:rsid w:val="00C72510"/>
    <w:rsid w:val="00C74CAA"/>
    <w:rsid w:val="00C75BC7"/>
    <w:rsid w:val="00C82607"/>
    <w:rsid w:val="00C84ADF"/>
    <w:rsid w:val="00C85E93"/>
    <w:rsid w:val="00C86BEE"/>
    <w:rsid w:val="00C870EF"/>
    <w:rsid w:val="00C87E59"/>
    <w:rsid w:val="00C915D7"/>
    <w:rsid w:val="00C9253A"/>
    <w:rsid w:val="00C95E9A"/>
    <w:rsid w:val="00C96B28"/>
    <w:rsid w:val="00C97726"/>
    <w:rsid w:val="00C97D98"/>
    <w:rsid w:val="00CA0DA4"/>
    <w:rsid w:val="00CA13B4"/>
    <w:rsid w:val="00CA1859"/>
    <w:rsid w:val="00CA18AB"/>
    <w:rsid w:val="00CA1B21"/>
    <w:rsid w:val="00CA2C7D"/>
    <w:rsid w:val="00CA614D"/>
    <w:rsid w:val="00CA6433"/>
    <w:rsid w:val="00CA786D"/>
    <w:rsid w:val="00CA7BDB"/>
    <w:rsid w:val="00CB1B57"/>
    <w:rsid w:val="00CB45D8"/>
    <w:rsid w:val="00CB59B0"/>
    <w:rsid w:val="00CC147D"/>
    <w:rsid w:val="00CC2565"/>
    <w:rsid w:val="00CC29CB"/>
    <w:rsid w:val="00CC46D2"/>
    <w:rsid w:val="00CC52FA"/>
    <w:rsid w:val="00CC5CB7"/>
    <w:rsid w:val="00CC6407"/>
    <w:rsid w:val="00CC6F71"/>
    <w:rsid w:val="00CD0F7A"/>
    <w:rsid w:val="00CD1847"/>
    <w:rsid w:val="00CD1995"/>
    <w:rsid w:val="00CD2DC8"/>
    <w:rsid w:val="00CD33F0"/>
    <w:rsid w:val="00CD424D"/>
    <w:rsid w:val="00CD4FA7"/>
    <w:rsid w:val="00CE0725"/>
    <w:rsid w:val="00CE0F0B"/>
    <w:rsid w:val="00CE2820"/>
    <w:rsid w:val="00CE43D8"/>
    <w:rsid w:val="00CF01CC"/>
    <w:rsid w:val="00CF0BBC"/>
    <w:rsid w:val="00CF13DE"/>
    <w:rsid w:val="00CF19D3"/>
    <w:rsid w:val="00CF213D"/>
    <w:rsid w:val="00CF227D"/>
    <w:rsid w:val="00CF38D9"/>
    <w:rsid w:val="00CF3D7F"/>
    <w:rsid w:val="00CF434A"/>
    <w:rsid w:val="00CF44DA"/>
    <w:rsid w:val="00CF459B"/>
    <w:rsid w:val="00D000EE"/>
    <w:rsid w:val="00D0169E"/>
    <w:rsid w:val="00D01F2B"/>
    <w:rsid w:val="00D037BE"/>
    <w:rsid w:val="00D03C1E"/>
    <w:rsid w:val="00D051E0"/>
    <w:rsid w:val="00D11835"/>
    <w:rsid w:val="00D124A1"/>
    <w:rsid w:val="00D13A0A"/>
    <w:rsid w:val="00D15651"/>
    <w:rsid w:val="00D15C6A"/>
    <w:rsid w:val="00D165FC"/>
    <w:rsid w:val="00D1711B"/>
    <w:rsid w:val="00D22141"/>
    <w:rsid w:val="00D23BDC"/>
    <w:rsid w:val="00D23E1C"/>
    <w:rsid w:val="00D26BDE"/>
    <w:rsid w:val="00D27296"/>
    <w:rsid w:val="00D27382"/>
    <w:rsid w:val="00D30792"/>
    <w:rsid w:val="00D3190E"/>
    <w:rsid w:val="00D328F1"/>
    <w:rsid w:val="00D3368F"/>
    <w:rsid w:val="00D34B47"/>
    <w:rsid w:val="00D410C1"/>
    <w:rsid w:val="00D436D7"/>
    <w:rsid w:val="00D44C50"/>
    <w:rsid w:val="00D44FE0"/>
    <w:rsid w:val="00D46F4E"/>
    <w:rsid w:val="00D47115"/>
    <w:rsid w:val="00D479FE"/>
    <w:rsid w:val="00D50AF4"/>
    <w:rsid w:val="00D50E2B"/>
    <w:rsid w:val="00D50FEA"/>
    <w:rsid w:val="00D51D3C"/>
    <w:rsid w:val="00D53D5B"/>
    <w:rsid w:val="00D5516E"/>
    <w:rsid w:val="00D56591"/>
    <w:rsid w:val="00D60A56"/>
    <w:rsid w:val="00D60F02"/>
    <w:rsid w:val="00D6112F"/>
    <w:rsid w:val="00D62F27"/>
    <w:rsid w:val="00D63AC7"/>
    <w:rsid w:val="00D663BC"/>
    <w:rsid w:val="00D6649E"/>
    <w:rsid w:val="00D66D90"/>
    <w:rsid w:val="00D70806"/>
    <w:rsid w:val="00D751B1"/>
    <w:rsid w:val="00D751DC"/>
    <w:rsid w:val="00D755E3"/>
    <w:rsid w:val="00D759D5"/>
    <w:rsid w:val="00D75DBF"/>
    <w:rsid w:val="00D8035C"/>
    <w:rsid w:val="00D805AF"/>
    <w:rsid w:val="00D8219E"/>
    <w:rsid w:val="00D822AB"/>
    <w:rsid w:val="00D82756"/>
    <w:rsid w:val="00D82886"/>
    <w:rsid w:val="00D82E96"/>
    <w:rsid w:val="00D84141"/>
    <w:rsid w:val="00D905C5"/>
    <w:rsid w:val="00D908EF"/>
    <w:rsid w:val="00D92688"/>
    <w:rsid w:val="00D94D7F"/>
    <w:rsid w:val="00DA0AF8"/>
    <w:rsid w:val="00DA0CF9"/>
    <w:rsid w:val="00DA169A"/>
    <w:rsid w:val="00DA4672"/>
    <w:rsid w:val="00DA4EA3"/>
    <w:rsid w:val="00DA5A6C"/>
    <w:rsid w:val="00DB050B"/>
    <w:rsid w:val="00DB0FB4"/>
    <w:rsid w:val="00DB4834"/>
    <w:rsid w:val="00DB722C"/>
    <w:rsid w:val="00DB73D1"/>
    <w:rsid w:val="00DB7CDE"/>
    <w:rsid w:val="00DC2246"/>
    <w:rsid w:val="00DC4888"/>
    <w:rsid w:val="00DC581F"/>
    <w:rsid w:val="00DD0177"/>
    <w:rsid w:val="00DD258F"/>
    <w:rsid w:val="00DD37C9"/>
    <w:rsid w:val="00DD42F2"/>
    <w:rsid w:val="00DD48DD"/>
    <w:rsid w:val="00DD5D16"/>
    <w:rsid w:val="00DE0779"/>
    <w:rsid w:val="00DE16A0"/>
    <w:rsid w:val="00DE7D8A"/>
    <w:rsid w:val="00DF20D2"/>
    <w:rsid w:val="00DF2B00"/>
    <w:rsid w:val="00DF47E4"/>
    <w:rsid w:val="00DF5AD8"/>
    <w:rsid w:val="00DF5E65"/>
    <w:rsid w:val="00DF69ED"/>
    <w:rsid w:val="00DF705D"/>
    <w:rsid w:val="00E011DF"/>
    <w:rsid w:val="00E017EF"/>
    <w:rsid w:val="00E02149"/>
    <w:rsid w:val="00E021D1"/>
    <w:rsid w:val="00E03808"/>
    <w:rsid w:val="00E0496F"/>
    <w:rsid w:val="00E05181"/>
    <w:rsid w:val="00E0796F"/>
    <w:rsid w:val="00E07C42"/>
    <w:rsid w:val="00E10E88"/>
    <w:rsid w:val="00E136A0"/>
    <w:rsid w:val="00E1560A"/>
    <w:rsid w:val="00E214E2"/>
    <w:rsid w:val="00E21840"/>
    <w:rsid w:val="00E22ADC"/>
    <w:rsid w:val="00E22B0F"/>
    <w:rsid w:val="00E24C4D"/>
    <w:rsid w:val="00E26A34"/>
    <w:rsid w:val="00E3047A"/>
    <w:rsid w:val="00E3292F"/>
    <w:rsid w:val="00E32F4A"/>
    <w:rsid w:val="00E33051"/>
    <w:rsid w:val="00E3607D"/>
    <w:rsid w:val="00E410BB"/>
    <w:rsid w:val="00E41E59"/>
    <w:rsid w:val="00E424F6"/>
    <w:rsid w:val="00E43172"/>
    <w:rsid w:val="00E43BAA"/>
    <w:rsid w:val="00E44B6D"/>
    <w:rsid w:val="00E47466"/>
    <w:rsid w:val="00E507AD"/>
    <w:rsid w:val="00E50E7D"/>
    <w:rsid w:val="00E510F5"/>
    <w:rsid w:val="00E515D7"/>
    <w:rsid w:val="00E521BD"/>
    <w:rsid w:val="00E52F57"/>
    <w:rsid w:val="00E53622"/>
    <w:rsid w:val="00E54EFC"/>
    <w:rsid w:val="00E55C7D"/>
    <w:rsid w:val="00E5628B"/>
    <w:rsid w:val="00E60015"/>
    <w:rsid w:val="00E639DD"/>
    <w:rsid w:val="00E64F81"/>
    <w:rsid w:val="00E71877"/>
    <w:rsid w:val="00E721DA"/>
    <w:rsid w:val="00E72C06"/>
    <w:rsid w:val="00E72CCF"/>
    <w:rsid w:val="00E7390D"/>
    <w:rsid w:val="00E75282"/>
    <w:rsid w:val="00E752CC"/>
    <w:rsid w:val="00E76B4A"/>
    <w:rsid w:val="00E76D50"/>
    <w:rsid w:val="00E808DC"/>
    <w:rsid w:val="00E80BF0"/>
    <w:rsid w:val="00E85D65"/>
    <w:rsid w:val="00E919F9"/>
    <w:rsid w:val="00E91BA1"/>
    <w:rsid w:val="00EA04A3"/>
    <w:rsid w:val="00EA0FE7"/>
    <w:rsid w:val="00EA12D7"/>
    <w:rsid w:val="00EA2803"/>
    <w:rsid w:val="00EA6027"/>
    <w:rsid w:val="00EA7902"/>
    <w:rsid w:val="00EB04FE"/>
    <w:rsid w:val="00EB258F"/>
    <w:rsid w:val="00EB5947"/>
    <w:rsid w:val="00EB613A"/>
    <w:rsid w:val="00EB72A0"/>
    <w:rsid w:val="00EC18DB"/>
    <w:rsid w:val="00EC2D32"/>
    <w:rsid w:val="00EC5FF4"/>
    <w:rsid w:val="00EC619E"/>
    <w:rsid w:val="00EC6224"/>
    <w:rsid w:val="00EC681B"/>
    <w:rsid w:val="00EC6FE6"/>
    <w:rsid w:val="00EC7A65"/>
    <w:rsid w:val="00ED1CD0"/>
    <w:rsid w:val="00ED2727"/>
    <w:rsid w:val="00ED3F05"/>
    <w:rsid w:val="00ED7194"/>
    <w:rsid w:val="00EE0258"/>
    <w:rsid w:val="00EE3046"/>
    <w:rsid w:val="00EE33DB"/>
    <w:rsid w:val="00EE4A3B"/>
    <w:rsid w:val="00EE4AA3"/>
    <w:rsid w:val="00EE4F6A"/>
    <w:rsid w:val="00EF048C"/>
    <w:rsid w:val="00EF05FD"/>
    <w:rsid w:val="00EF06CC"/>
    <w:rsid w:val="00EF17BB"/>
    <w:rsid w:val="00EF1C20"/>
    <w:rsid w:val="00EF3053"/>
    <w:rsid w:val="00EF3336"/>
    <w:rsid w:val="00EF4CE3"/>
    <w:rsid w:val="00EF5C32"/>
    <w:rsid w:val="00EF7D04"/>
    <w:rsid w:val="00F02B80"/>
    <w:rsid w:val="00F03654"/>
    <w:rsid w:val="00F03D50"/>
    <w:rsid w:val="00F07F24"/>
    <w:rsid w:val="00F103EF"/>
    <w:rsid w:val="00F106AC"/>
    <w:rsid w:val="00F10AB9"/>
    <w:rsid w:val="00F11112"/>
    <w:rsid w:val="00F12AFD"/>
    <w:rsid w:val="00F15206"/>
    <w:rsid w:val="00F1534F"/>
    <w:rsid w:val="00F153BA"/>
    <w:rsid w:val="00F20CB5"/>
    <w:rsid w:val="00F2193B"/>
    <w:rsid w:val="00F22E2E"/>
    <w:rsid w:val="00F23C52"/>
    <w:rsid w:val="00F24DC6"/>
    <w:rsid w:val="00F25B00"/>
    <w:rsid w:val="00F2692B"/>
    <w:rsid w:val="00F34FB7"/>
    <w:rsid w:val="00F3679F"/>
    <w:rsid w:val="00F36B0D"/>
    <w:rsid w:val="00F371A7"/>
    <w:rsid w:val="00F377F6"/>
    <w:rsid w:val="00F37DA4"/>
    <w:rsid w:val="00F40805"/>
    <w:rsid w:val="00F425A0"/>
    <w:rsid w:val="00F44E4C"/>
    <w:rsid w:val="00F456D7"/>
    <w:rsid w:val="00F45A77"/>
    <w:rsid w:val="00F50BD6"/>
    <w:rsid w:val="00F51D9C"/>
    <w:rsid w:val="00F522C5"/>
    <w:rsid w:val="00F545F4"/>
    <w:rsid w:val="00F56366"/>
    <w:rsid w:val="00F5720F"/>
    <w:rsid w:val="00F61F97"/>
    <w:rsid w:val="00F62B3C"/>
    <w:rsid w:val="00F64331"/>
    <w:rsid w:val="00F6524E"/>
    <w:rsid w:val="00F65DC6"/>
    <w:rsid w:val="00F7271C"/>
    <w:rsid w:val="00F743F2"/>
    <w:rsid w:val="00F753B6"/>
    <w:rsid w:val="00F814EF"/>
    <w:rsid w:val="00F81C19"/>
    <w:rsid w:val="00F8298A"/>
    <w:rsid w:val="00F840F6"/>
    <w:rsid w:val="00F871CD"/>
    <w:rsid w:val="00F87E46"/>
    <w:rsid w:val="00F92C2A"/>
    <w:rsid w:val="00F9424B"/>
    <w:rsid w:val="00FA0238"/>
    <w:rsid w:val="00FA0981"/>
    <w:rsid w:val="00FA185A"/>
    <w:rsid w:val="00FA2314"/>
    <w:rsid w:val="00FA5112"/>
    <w:rsid w:val="00FA562E"/>
    <w:rsid w:val="00FA7099"/>
    <w:rsid w:val="00FB06B1"/>
    <w:rsid w:val="00FB1F98"/>
    <w:rsid w:val="00FD18B5"/>
    <w:rsid w:val="00FD44A6"/>
    <w:rsid w:val="00FD4A26"/>
    <w:rsid w:val="00FD6E03"/>
    <w:rsid w:val="00FE0356"/>
    <w:rsid w:val="00FE2DE4"/>
    <w:rsid w:val="00FE3E9D"/>
    <w:rsid w:val="00FE5DEB"/>
    <w:rsid w:val="00FF03DA"/>
    <w:rsid w:val="00FF07F1"/>
    <w:rsid w:val="00FF19C6"/>
    <w:rsid w:val="00FF1D84"/>
    <w:rsid w:val="00FF3202"/>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73832942">
      <w:bodyDiv w:val="1"/>
      <w:marLeft w:val="0"/>
      <w:marRight w:val="0"/>
      <w:marTop w:val="0"/>
      <w:marBottom w:val="0"/>
      <w:divBdr>
        <w:top w:val="none" w:sz="0" w:space="0" w:color="auto"/>
        <w:left w:val="none" w:sz="0" w:space="0" w:color="auto"/>
        <w:bottom w:val="none" w:sz="0" w:space="0" w:color="auto"/>
        <w:right w:val="none" w:sz="0" w:space="0" w:color="auto"/>
      </w:divBdr>
    </w:div>
    <w:div w:id="1412309307">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 w:id="20979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1915-9011-4CA9-B0CC-5D0A62FB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1075</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Sophia Papadopoulou</cp:lastModifiedBy>
  <cp:revision>69</cp:revision>
  <cp:lastPrinted>2022-05-24T07:40:00Z</cp:lastPrinted>
  <dcterms:created xsi:type="dcterms:W3CDTF">2022-05-24T07:42:00Z</dcterms:created>
  <dcterms:modified xsi:type="dcterms:W3CDTF">2022-06-28T12:09:00Z</dcterms:modified>
</cp:coreProperties>
</file>