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D6D9" w14:textId="1F94E5CC" w:rsidR="004C5C75" w:rsidRPr="000F3CD8" w:rsidRDefault="00B649D9" w:rsidP="00CB333F">
      <w:pPr>
        <w:widowControl w:val="0"/>
        <w:tabs>
          <w:tab w:val="left" w:pos="567"/>
          <w:tab w:val="left" w:pos="4961"/>
        </w:tabs>
        <w:spacing w:after="0" w:line="480" w:lineRule="auto"/>
        <w:jc w:val="center"/>
        <w:rPr>
          <w:rFonts w:ascii="Arial" w:hAnsi="Arial" w:cs="Arial"/>
          <w:b/>
          <w:bCs/>
          <w:sz w:val="24"/>
          <w:szCs w:val="24"/>
        </w:rPr>
      </w:pPr>
      <w:bookmarkStart w:id="0" w:name="_GoBack"/>
      <w:bookmarkEnd w:id="0"/>
      <w:r w:rsidRPr="00582D7E">
        <w:rPr>
          <w:rFonts w:ascii="Arial" w:hAnsi="Arial" w:cs="Arial"/>
          <w:b/>
          <w:bCs/>
          <w:sz w:val="24"/>
          <w:szCs w:val="24"/>
        </w:rPr>
        <w:t xml:space="preserve">Έκθεση της </w:t>
      </w:r>
      <w:bookmarkStart w:id="1"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1"/>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FE5DEB">
        <w:rPr>
          <w:rFonts w:ascii="Arial" w:hAnsi="Arial" w:cs="Arial"/>
          <w:b/>
          <w:bCs/>
          <w:sz w:val="24"/>
          <w:szCs w:val="24"/>
        </w:rPr>
        <w:t>«</w:t>
      </w:r>
      <w:r w:rsidR="00FE5DEB" w:rsidRPr="00FE5DEB">
        <w:rPr>
          <w:rFonts w:ascii="Arial" w:hAnsi="Arial" w:cs="Arial"/>
          <w:b/>
          <w:bCs/>
          <w:sz w:val="24"/>
          <w:szCs w:val="24"/>
        </w:rPr>
        <w:t>Ο περί της Λειτουργίας Ταμείου Ανανεώσιμων Πηγών Ενέργειας και Εξοικονόμησης Ενέργειας Νόμος του 2022</w:t>
      </w:r>
      <w:r w:rsidR="00FE5DEB">
        <w:rPr>
          <w:rFonts w:ascii="Arial" w:hAnsi="Arial" w:cs="Arial"/>
          <w:b/>
          <w:bCs/>
          <w:sz w:val="24"/>
          <w:szCs w:val="24"/>
        </w:rPr>
        <w:t xml:space="preserve">» </w:t>
      </w:r>
    </w:p>
    <w:p w14:paraId="4B7EEEA6" w14:textId="32056369" w:rsidR="00B649D9" w:rsidRPr="00582D7E" w:rsidRDefault="00B649D9" w:rsidP="00CB333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455BF93C" w:rsidR="001F02E2" w:rsidRPr="00582D7E"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2"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C17B83">
        <w:rPr>
          <w:rFonts w:ascii="Arial" w:eastAsia="Simsun (Founder Extended)" w:hAnsi="Arial" w:cs="Arial"/>
          <w:bCs/>
          <w:sz w:val="24"/>
          <w:szCs w:val="24"/>
          <w:lang w:eastAsia="zh-CN"/>
        </w:rPr>
        <w:t>Ανδρέας Πασιουρτίδης</w:t>
      </w:r>
    </w:p>
    <w:p w14:paraId="7DB87722" w14:textId="6E3219F5" w:rsidR="008A622B"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Ονούφριος Κουλλά</w:t>
      </w:r>
      <w:r w:rsidR="008A622B" w:rsidRPr="008A622B">
        <w:rPr>
          <w:rFonts w:ascii="Arial" w:eastAsia="Simsun (Founder Extended)" w:hAnsi="Arial" w:cs="Arial"/>
          <w:bCs/>
          <w:sz w:val="24"/>
          <w:szCs w:val="24"/>
          <w:lang w:eastAsia="zh-CN"/>
        </w:rPr>
        <w:t xml:space="preserve"> </w:t>
      </w:r>
      <w:r w:rsidR="008A622B">
        <w:rPr>
          <w:rFonts w:ascii="Arial" w:eastAsia="Simsun (Founder Extended)" w:hAnsi="Arial" w:cs="Arial"/>
          <w:bCs/>
          <w:sz w:val="24"/>
          <w:szCs w:val="24"/>
          <w:lang w:eastAsia="zh-CN"/>
        </w:rPr>
        <w:tab/>
      </w:r>
      <w:r w:rsidR="00C17B83">
        <w:rPr>
          <w:rFonts w:ascii="Arial" w:eastAsia="Simsun (Founder Extended)" w:hAnsi="Arial" w:cs="Arial"/>
          <w:bCs/>
          <w:sz w:val="24"/>
          <w:szCs w:val="24"/>
          <w:lang w:eastAsia="zh-CN"/>
        </w:rPr>
        <w:t>Πανίκος Λεωνίδου</w:t>
      </w:r>
    </w:p>
    <w:p w14:paraId="5E18674F" w14:textId="6631414C" w:rsidR="001F02E2" w:rsidRPr="00582D7E" w:rsidRDefault="008A622B"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Νίκος Σύκας</w:t>
      </w:r>
      <w:r w:rsidR="001F02E2" w:rsidRPr="00582D7E">
        <w:rPr>
          <w:rFonts w:ascii="Arial" w:eastAsia="Simsun (Founder Extended)" w:hAnsi="Arial" w:cs="Arial"/>
          <w:bCs/>
          <w:sz w:val="24"/>
          <w:szCs w:val="24"/>
          <w:lang w:eastAsia="zh-CN"/>
        </w:rPr>
        <w:tab/>
      </w:r>
      <w:r w:rsidR="00C17B83" w:rsidRPr="00582D7E">
        <w:rPr>
          <w:rFonts w:ascii="Arial" w:eastAsia="Simsun (Founder Extended)" w:hAnsi="Arial" w:cs="Arial"/>
          <w:bCs/>
          <w:sz w:val="24"/>
          <w:szCs w:val="24"/>
          <w:lang w:eastAsia="zh-CN"/>
        </w:rPr>
        <w:t>Μιχάλης Γιακουμή</w:t>
      </w:r>
    </w:p>
    <w:p w14:paraId="6B6EB7F1" w14:textId="4A00DF5E" w:rsidR="004C5C75" w:rsidRPr="0022578A" w:rsidRDefault="001F02E2" w:rsidP="00C17B8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C17B83" w:rsidRPr="00582D7E">
        <w:rPr>
          <w:rFonts w:ascii="Arial" w:eastAsia="Simsun (Founder Extended)" w:hAnsi="Arial" w:cs="Arial"/>
          <w:bCs/>
          <w:sz w:val="24"/>
          <w:szCs w:val="24"/>
          <w:lang w:eastAsia="zh-CN"/>
        </w:rPr>
        <w:t>Γιαννάκης Γαβριήλ</w:t>
      </w:r>
      <w:r w:rsidR="00167382" w:rsidRPr="00582D7E">
        <w:rPr>
          <w:rFonts w:ascii="Arial" w:eastAsia="Simsun (Founder Extended)" w:hAnsi="Arial" w:cs="Arial"/>
          <w:sz w:val="24"/>
          <w:szCs w:val="24"/>
          <w:lang w:eastAsia="zh-CN"/>
        </w:rPr>
        <w:tab/>
      </w:r>
      <w:r w:rsidR="00C17B83" w:rsidRPr="00582D7E">
        <w:rPr>
          <w:rFonts w:ascii="Arial" w:eastAsia="Simsun (Founder Extended)" w:hAnsi="Arial" w:cs="Arial"/>
          <w:bCs/>
          <w:sz w:val="24"/>
          <w:szCs w:val="24"/>
          <w:lang w:eastAsia="zh-CN"/>
        </w:rPr>
        <w:t>Σταύρος Παπαδούρης</w:t>
      </w:r>
    </w:p>
    <w:p w14:paraId="1E5926CB" w14:textId="2F0C7C01" w:rsidR="00967295" w:rsidRPr="00582D7E" w:rsidRDefault="004D65ED" w:rsidP="00875A3E">
      <w:pPr>
        <w:pStyle w:val="BodyText2"/>
        <w:rPr>
          <w:rFonts w:cs="Arial"/>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2"/>
      <w:r w:rsidR="00875A3E">
        <w:rPr>
          <w:rFonts w:cs="Arial"/>
          <w:szCs w:val="24"/>
        </w:rPr>
        <w:t>επανεξέτασε σε συνεδρία της, που πραγματοποιήθηκε στις 28 Ιουνίου 2022, τον πιο πάνω νόμο, τον οποίο η Βουλή των Αντιπροσώπων ψήφισε στις 2 Ιουνίου 2022 και τ</w:t>
      </w:r>
      <w:r w:rsidR="00635866">
        <w:rPr>
          <w:rFonts w:cs="Arial"/>
          <w:szCs w:val="24"/>
        </w:rPr>
        <w:t>ου</w:t>
      </w:r>
      <w:r w:rsidR="00875A3E">
        <w:rPr>
          <w:rFonts w:cs="Arial"/>
          <w:szCs w:val="24"/>
        </w:rPr>
        <w:t xml:space="preserve"> οποί</w:t>
      </w:r>
      <w:r w:rsidR="00635866">
        <w:rPr>
          <w:rFonts w:cs="Arial"/>
          <w:szCs w:val="24"/>
        </w:rPr>
        <w:t>ου</w:t>
      </w:r>
      <w:r w:rsidR="00875A3E">
        <w:rPr>
          <w:rFonts w:cs="Arial"/>
          <w:szCs w:val="24"/>
        </w:rPr>
        <w:t xml:space="preserve"> τμήμα αναπέμφθηκε </w:t>
      </w:r>
      <w:r w:rsidR="00697A98">
        <w:rPr>
          <w:rFonts w:cs="Arial"/>
          <w:szCs w:val="24"/>
        </w:rPr>
        <w:t>από την Προεδρεύουσα</w:t>
      </w:r>
      <w:r w:rsidR="00875A3E">
        <w:rPr>
          <w:rFonts w:cs="Arial"/>
          <w:szCs w:val="24"/>
        </w:rPr>
        <w:t xml:space="preserve"> της Δημοκρατίας κατ’ επίκληση του Άρθρου 51.1 του Συντάγματος της Κυπριακής Δημοκρατίας.</w:t>
      </w:r>
      <w:r w:rsidR="00875A3E">
        <w:rPr>
          <w:rFonts w:cs="Arial"/>
        </w:rPr>
        <w:t xml:space="preserve"> Στη συνεδρίαση αυτή κλήθηκαν και παρευρέθηκαν εκπρόσωποι του Υπουργείου Ενέργειας, Εμπορίου και Βιομηχανίας, της Νομικής Υπηρεσίας της Δημοκρατίας και της Ρυθμιστικής Αρχής Ενέργειας Κύπρου.</w:t>
      </w:r>
    </w:p>
    <w:p w14:paraId="69B8FD59" w14:textId="3B2CFE58" w:rsidR="003738D5" w:rsidRDefault="002D4C09" w:rsidP="00875A3E">
      <w:pPr>
        <w:pStyle w:val="BodyText2"/>
        <w:rPr>
          <w:rFonts w:eastAsia="Calibri" w:cs="Arial"/>
          <w:bCs/>
          <w:szCs w:val="24"/>
        </w:rPr>
      </w:pPr>
      <w:r w:rsidRPr="00582D7E">
        <w:rPr>
          <w:rFonts w:cs="Arial"/>
        </w:rPr>
        <w:tab/>
      </w:r>
      <w:r w:rsidR="00875A3E">
        <w:rPr>
          <w:rFonts w:cs="Arial"/>
        </w:rPr>
        <w:t>Όπως είναι γνωστό</w:t>
      </w:r>
      <w:r w:rsidR="005664AE">
        <w:rPr>
          <w:rFonts w:cs="Arial"/>
        </w:rPr>
        <w:t>,</w:t>
      </w:r>
      <w:r w:rsidR="00875A3E">
        <w:rPr>
          <w:rFonts w:cs="Arial"/>
        </w:rPr>
        <w:t xml:space="preserve"> με τον αναπεμφθέντα νόμο σκοπείται </w:t>
      </w:r>
      <w:r w:rsidR="003738D5" w:rsidRPr="00582D7E">
        <w:rPr>
          <w:rFonts w:eastAsia="Calibri" w:cs="Arial"/>
          <w:bCs/>
          <w:szCs w:val="24"/>
        </w:rPr>
        <w:t xml:space="preserve">η </w:t>
      </w:r>
      <w:r w:rsidR="0006552C">
        <w:rPr>
          <w:rFonts w:eastAsia="Calibri" w:cs="Arial"/>
          <w:bCs/>
          <w:szCs w:val="24"/>
        </w:rPr>
        <w:t>θέσπιση</w:t>
      </w:r>
      <w:r w:rsidR="002C0D55">
        <w:rPr>
          <w:rFonts w:eastAsia="Calibri" w:cs="Arial"/>
          <w:bCs/>
          <w:szCs w:val="24"/>
        </w:rPr>
        <w:t xml:space="preserve"> νέας</w:t>
      </w:r>
      <w:r w:rsidR="0006552C">
        <w:rPr>
          <w:rFonts w:eastAsia="Calibri" w:cs="Arial"/>
          <w:bCs/>
          <w:szCs w:val="24"/>
        </w:rPr>
        <w:t xml:space="preserve"> νομοθεσ</w:t>
      </w:r>
      <w:r w:rsidR="002C0D55">
        <w:rPr>
          <w:rFonts w:eastAsia="Calibri" w:cs="Arial"/>
          <w:bCs/>
          <w:szCs w:val="24"/>
        </w:rPr>
        <w:t xml:space="preserve">ίας για τη </w:t>
      </w:r>
      <w:r w:rsidR="00C97726">
        <w:rPr>
          <w:rFonts w:eastAsia="Calibri" w:cs="Arial"/>
          <w:bCs/>
          <w:szCs w:val="24"/>
        </w:rPr>
        <w:t xml:space="preserve">βελτίωση της λειτουργίας του </w:t>
      </w:r>
      <w:r w:rsidR="00A002CB">
        <w:rPr>
          <w:rFonts w:eastAsia="Calibri" w:cs="Arial"/>
          <w:bCs/>
          <w:szCs w:val="24"/>
        </w:rPr>
        <w:t>Ταμείου Ανανεώσιμων Πηγών Ενέργειας και Εξοικονόμησης Ενέργειας</w:t>
      </w:r>
      <w:r w:rsidR="00A10EB4">
        <w:rPr>
          <w:rFonts w:eastAsia="Calibri" w:cs="Arial"/>
          <w:bCs/>
          <w:szCs w:val="24"/>
        </w:rPr>
        <w:t xml:space="preserve"> </w:t>
      </w:r>
      <w:r w:rsidR="00A002CB">
        <w:rPr>
          <w:rFonts w:eastAsia="Calibri" w:cs="Arial"/>
          <w:bCs/>
          <w:szCs w:val="24"/>
        </w:rPr>
        <w:t xml:space="preserve">και </w:t>
      </w:r>
      <w:r w:rsidR="002C0D55">
        <w:rPr>
          <w:rFonts w:eastAsia="Calibri" w:cs="Arial"/>
          <w:bCs/>
          <w:szCs w:val="24"/>
        </w:rPr>
        <w:t xml:space="preserve">την </w:t>
      </w:r>
      <w:r w:rsidR="00A002CB">
        <w:rPr>
          <w:rFonts w:eastAsia="Calibri" w:cs="Arial"/>
          <w:bCs/>
          <w:szCs w:val="24"/>
        </w:rPr>
        <w:t>ενίσχυση της αποτελεσματικότητ</w:t>
      </w:r>
      <w:r w:rsidR="000F5938">
        <w:rPr>
          <w:rFonts w:eastAsia="Calibri" w:cs="Arial"/>
          <w:bCs/>
          <w:szCs w:val="24"/>
        </w:rPr>
        <w:t>ά</w:t>
      </w:r>
      <w:r w:rsidR="00A002CB">
        <w:rPr>
          <w:rFonts w:eastAsia="Calibri" w:cs="Arial"/>
          <w:bCs/>
          <w:szCs w:val="24"/>
        </w:rPr>
        <w:t xml:space="preserve">ς του για την προώθηση των </w:t>
      </w:r>
      <w:r w:rsidR="00076EDF">
        <w:rPr>
          <w:rFonts w:eastAsia="Calibri" w:cs="Arial"/>
          <w:bCs/>
          <w:szCs w:val="24"/>
        </w:rPr>
        <w:t>ανανεώσιμων πηγών ενέργειας</w:t>
      </w:r>
      <w:r w:rsidR="00697A98">
        <w:rPr>
          <w:rFonts w:eastAsia="Calibri" w:cs="Arial"/>
          <w:bCs/>
          <w:szCs w:val="24"/>
        </w:rPr>
        <w:t xml:space="preserve"> </w:t>
      </w:r>
      <w:r w:rsidR="00A002CB">
        <w:rPr>
          <w:rFonts w:eastAsia="Calibri" w:cs="Arial"/>
          <w:bCs/>
          <w:szCs w:val="24"/>
        </w:rPr>
        <w:t>και τη</w:t>
      </w:r>
      <w:r w:rsidR="00652409">
        <w:rPr>
          <w:rFonts w:eastAsia="Calibri" w:cs="Arial"/>
          <w:bCs/>
          <w:szCs w:val="24"/>
        </w:rPr>
        <w:t>ν</w:t>
      </w:r>
      <w:r w:rsidR="00A002CB">
        <w:rPr>
          <w:rFonts w:eastAsia="Calibri" w:cs="Arial"/>
          <w:bCs/>
          <w:szCs w:val="24"/>
        </w:rPr>
        <w:t xml:space="preserve"> εξοικονόμηση ενέργειας, καθώς και για την επίτευξη των αντίστοιχων εθνικών δεσμευτικών στόχων.</w:t>
      </w:r>
    </w:p>
    <w:p w14:paraId="5BB98AB0" w14:textId="3617AB70" w:rsidR="00875A3E" w:rsidRDefault="00875A3E" w:rsidP="00875A3E">
      <w:pPr>
        <w:pStyle w:val="BodyText2"/>
        <w:rPr>
          <w:rFonts w:eastAsia="Calibri" w:cs="Arial"/>
          <w:bCs/>
          <w:szCs w:val="24"/>
        </w:rPr>
      </w:pPr>
      <w:r>
        <w:rPr>
          <w:rFonts w:eastAsia="Calibri" w:cs="Arial"/>
          <w:bCs/>
          <w:szCs w:val="24"/>
        </w:rPr>
        <w:tab/>
        <w:t xml:space="preserve">Υπενθυμίζεται ότι στο στάδιο της συζήτησης του σχετικού νομοσχεδίου η επιτροπή, λαμβάνοντας υπόψη όλα όσα τέθηκαν ενώπιόν της, επέφερε σημαντικές τροποποιήσεις, προκειμένου να επέλθουν σε αυτό οι δέουσες νομοτεχνικές και επί της </w:t>
      </w:r>
      <w:r>
        <w:rPr>
          <w:rFonts w:eastAsia="Calibri" w:cs="Arial"/>
          <w:bCs/>
          <w:szCs w:val="24"/>
        </w:rPr>
        <w:lastRenderedPageBreak/>
        <w:t xml:space="preserve">ουσίας βελτιώσεις και να επιτευχθούν κατά το δυνατόν </w:t>
      </w:r>
      <w:r w:rsidR="00D822AB">
        <w:rPr>
          <w:rFonts w:eastAsia="Calibri" w:cs="Arial"/>
          <w:bCs/>
          <w:szCs w:val="24"/>
        </w:rPr>
        <w:t xml:space="preserve">οι απαραίτητες συγκλίσεις επί των θεμάτων για τα οποία εκφράστηκαν διαφωνίες και επιφυλάξεις από μέρους των ενδιαφερόμενων πλευρών. </w:t>
      </w:r>
    </w:p>
    <w:p w14:paraId="38DAFBE5" w14:textId="1B958163" w:rsidR="00D822AB" w:rsidRDefault="00D822AB" w:rsidP="00875A3E">
      <w:pPr>
        <w:pStyle w:val="BodyText2"/>
        <w:rPr>
          <w:rFonts w:eastAsia="Calibri" w:cs="Arial"/>
          <w:bCs/>
          <w:szCs w:val="24"/>
        </w:rPr>
      </w:pPr>
      <w:r>
        <w:rPr>
          <w:rFonts w:eastAsia="Calibri" w:cs="Arial"/>
          <w:bCs/>
          <w:szCs w:val="24"/>
        </w:rPr>
        <w:tab/>
        <w:t>Οι κυριότεροι λόγοι της αναπομπής τμήματος τ</w:t>
      </w:r>
      <w:r w:rsidR="00177693">
        <w:rPr>
          <w:rFonts w:eastAsia="Calibri" w:cs="Arial"/>
          <w:bCs/>
          <w:szCs w:val="24"/>
        </w:rPr>
        <w:t>ου</w:t>
      </w:r>
      <w:r>
        <w:rPr>
          <w:rFonts w:eastAsia="Calibri" w:cs="Arial"/>
          <w:bCs/>
          <w:szCs w:val="24"/>
        </w:rPr>
        <w:t xml:space="preserve"> υπό αναφορά νόμ</w:t>
      </w:r>
      <w:r w:rsidR="00177693">
        <w:rPr>
          <w:rFonts w:eastAsia="Calibri" w:cs="Arial"/>
          <w:bCs/>
          <w:szCs w:val="24"/>
        </w:rPr>
        <w:t>ου</w:t>
      </w:r>
      <w:r>
        <w:rPr>
          <w:rFonts w:eastAsia="Calibri" w:cs="Arial"/>
          <w:bCs/>
          <w:szCs w:val="24"/>
        </w:rPr>
        <w:t xml:space="preserve"> από τ</w:t>
      </w:r>
      <w:r w:rsidR="00177693">
        <w:rPr>
          <w:rFonts w:eastAsia="Calibri" w:cs="Arial"/>
          <w:bCs/>
          <w:szCs w:val="24"/>
        </w:rPr>
        <w:t>η</w:t>
      </w:r>
      <w:r>
        <w:rPr>
          <w:rFonts w:eastAsia="Calibri" w:cs="Arial"/>
          <w:bCs/>
          <w:szCs w:val="24"/>
        </w:rPr>
        <w:t xml:space="preserve">ν </w:t>
      </w:r>
      <w:r w:rsidR="00177693">
        <w:rPr>
          <w:rFonts w:eastAsia="Calibri" w:cs="Arial"/>
          <w:bCs/>
          <w:szCs w:val="24"/>
        </w:rPr>
        <w:t xml:space="preserve">Προεδρεύουσα </w:t>
      </w:r>
      <w:r>
        <w:rPr>
          <w:rFonts w:eastAsia="Calibri" w:cs="Arial"/>
          <w:bCs/>
          <w:szCs w:val="24"/>
        </w:rPr>
        <w:t>της Δημοκρατίας, όπως αυτοί εξάγονται από την επιστολή της προς τον Προεδρεύ</w:t>
      </w:r>
      <w:r w:rsidR="00177693">
        <w:rPr>
          <w:rFonts w:eastAsia="Calibri" w:cs="Arial"/>
          <w:bCs/>
          <w:szCs w:val="24"/>
        </w:rPr>
        <w:t>οντα</w:t>
      </w:r>
      <w:r>
        <w:rPr>
          <w:rFonts w:eastAsia="Calibri" w:cs="Arial"/>
          <w:bCs/>
          <w:szCs w:val="24"/>
        </w:rPr>
        <w:t xml:space="preserve"> της Βουλής των Αντιπροσώπων, ημερομηνίας 23 Ιουνίου 2022, παρατίθενται ακολούθως αυτούσιοι:</w:t>
      </w:r>
    </w:p>
    <w:p w14:paraId="0CA7D284" w14:textId="778F1E09" w:rsidR="001650F2" w:rsidRPr="001650F2" w:rsidRDefault="00E6287C" w:rsidP="00E6287C">
      <w:pPr>
        <w:pStyle w:val="BodyText2"/>
        <w:rPr>
          <w:rFonts w:eastAsia="Calibri" w:cs="Arial"/>
          <w:bCs/>
          <w:i/>
          <w:iCs/>
          <w:szCs w:val="24"/>
        </w:rPr>
      </w:pPr>
      <w:r>
        <w:rPr>
          <w:rFonts w:eastAsia="Calibri" w:cs="Arial"/>
          <w:bCs/>
          <w:szCs w:val="24"/>
        </w:rPr>
        <w:tab/>
      </w:r>
      <w:r w:rsidR="00D822AB">
        <w:rPr>
          <w:rFonts w:eastAsia="Calibri" w:cs="Arial"/>
          <w:bCs/>
          <w:szCs w:val="24"/>
        </w:rPr>
        <w:t>«</w:t>
      </w:r>
      <w:r w:rsidR="001650F2" w:rsidRPr="001650F2">
        <w:rPr>
          <w:rFonts w:eastAsia="Calibri" w:cs="Arial"/>
          <w:bCs/>
          <w:szCs w:val="24"/>
        </w:rPr>
        <w:t>Η Βουλή των Αντιπροσώπων, εισήγαγε, στον υπό αναπομπή Νόμο, το άρθρο 7(1)(ζ), σύμφωνα με το οποίο, ως μέλος της Επιτροπής Διαχείρισης του Ταμείου</w:t>
      </w:r>
      <w:r>
        <w:rPr>
          <w:rFonts w:eastAsia="Calibri" w:cs="Arial"/>
          <w:bCs/>
          <w:szCs w:val="24"/>
        </w:rPr>
        <w:t xml:space="preserve"> </w:t>
      </w:r>
      <w:r w:rsidR="001650F2" w:rsidRPr="001650F2">
        <w:rPr>
          <w:rFonts w:eastAsia="Calibri" w:cs="Arial"/>
          <w:bCs/>
          <w:szCs w:val="24"/>
        </w:rPr>
        <w:t xml:space="preserve">Ανανεώσιμων Πηγών Ενέργειας και Εξοικονόμησης Ενέργειας (στο εξής «η Επιτροπή»), έχει συμπεριληφθεί </w:t>
      </w:r>
      <w:r w:rsidR="00177693" w:rsidRPr="00177693">
        <w:rPr>
          <w:rFonts w:eastAsia="Calibri" w:cs="Arial"/>
          <w:bCs/>
          <w:i/>
          <w:iCs/>
          <w:szCs w:val="24"/>
        </w:rPr>
        <w:t>“</w:t>
      </w:r>
      <w:r w:rsidR="001650F2" w:rsidRPr="001650F2">
        <w:rPr>
          <w:rFonts w:eastAsia="Calibri" w:cs="Arial"/>
          <w:bCs/>
          <w:i/>
          <w:iCs/>
          <w:szCs w:val="24"/>
        </w:rPr>
        <w:t>εκπρόσωπος των καταναλωτών, κατόπιν εισήγησης των νόμιμα συσταθέντων οργανισμών ή συνδέσμων που εκπροσωπούν τους καταναλωτές</w:t>
      </w:r>
      <w:r w:rsidR="00177693" w:rsidRPr="00177693">
        <w:rPr>
          <w:rFonts w:eastAsia="Calibri" w:cs="Arial"/>
          <w:bCs/>
          <w:i/>
          <w:iCs/>
          <w:szCs w:val="24"/>
        </w:rPr>
        <w:t>”</w:t>
      </w:r>
      <w:r w:rsidR="001650F2" w:rsidRPr="001650F2">
        <w:rPr>
          <w:rFonts w:eastAsia="Calibri" w:cs="Arial"/>
          <w:bCs/>
          <w:i/>
          <w:iCs/>
          <w:szCs w:val="24"/>
        </w:rPr>
        <w:t>.</w:t>
      </w:r>
    </w:p>
    <w:p w14:paraId="1D43D8FD" w14:textId="01BF1C79" w:rsidR="001650F2" w:rsidRPr="001650F2" w:rsidRDefault="00E6287C" w:rsidP="00E6287C">
      <w:pPr>
        <w:pStyle w:val="BodyText2"/>
        <w:rPr>
          <w:rFonts w:eastAsia="Calibri" w:cs="Arial"/>
          <w:bCs/>
          <w:szCs w:val="24"/>
        </w:rPr>
      </w:pPr>
      <w:r>
        <w:rPr>
          <w:rFonts w:eastAsia="Calibri" w:cs="Arial"/>
          <w:bCs/>
          <w:szCs w:val="24"/>
        </w:rPr>
        <w:tab/>
      </w:r>
      <w:r w:rsidR="001650F2" w:rsidRPr="001650F2">
        <w:rPr>
          <w:rFonts w:eastAsia="Calibri" w:cs="Arial"/>
          <w:bCs/>
          <w:szCs w:val="24"/>
        </w:rPr>
        <w:t>Η νέα αυτή διάταξη, αφορά στη νόμιμη συγκρότηση, του διοικητικού οργάνου. Η νόμιμη συγκρότηση του οργάνου, θεμελιώνεται σε έγκυρο κανόνα δικαίου, καθώς και στο νόμιμο διορισμό ή εκλογή, των υπό του Νόμου, προβλεπομένων μελών και του προεδρείου αυτού, ενώ η νόμιμη σύνθεση, σε αντίθεση προς τη νόμιμη συγκρότηση, αναφέρεται στη συγκεκριμένη περίπτωση λειτουργίας του συλλογικού οργάνου (</w:t>
      </w:r>
      <w:r w:rsidR="001650F2" w:rsidRPr="001650F2">
        <w:rPr>
          <w:rFonts w:eastAsia="Calibri" w:cs="Arial"/>
          <w:b/>
          <w:i/>
          <w:iCs/>
          <w:szCs w:val="24"/>
        </w:rPr>
        <w:t>Πειθαρχικό Συμβούλιο Ιατρών ν. Παυλίδη κ.ά.</w:t>
      </w:r>
      <w:r w:rsidR="001650F2" w:rsidRPr="001650F2">
        <w:rPr>
          <w:rFonts w:eastAsia="Calibri" w:cs="Arial"/>
          <w:bCs/>
          <w:i/>
          <w:iCs/>
          <w:szCs w:val="24"/>
        </w:rPr>
        <w:t xml:space="preserve"> </w:t>
      </w:r>
      <w:r w:rsidR="001650F2" w:rsidRPr="001650F2">
        <w:rPr>
          <w:rFonts w:eastAsia="Calibri" w:cs="Arial"/>
          <w:bCs/>
          <w:i/>
          <w:iCs/>
          <w:szCs w:val="24"/>
          <w:u w:val="single"/>
        </w:rPr>
        <w:t>(2010) 3 Α.Α.Δ. 251</w:t>
      </w:r>
      <w:r w:rsidR="001650F2" w:rsidRPr="001650F2">
        <w:rPr>
          <w:rFonts w:eastAsia="Calibri" w:cs="Arial"/>
          <w:bCs/>
          <w:szCs w:val="24"/>
        </w:rPr>
        <w:t xml:space="preserve"> </w:t>
      </w:r>
      <w:r w:rsidR="001650F2" w:rsidRPr="001650F2">
        <w:rPr>
          <w:rFonts w:eastAsia="Calibri" w:cs="Arial"/>
          <w:b/>
          <w:szCs w:val="24"/>
        </w:rPr>
        <w:t xml:space="preserve">και </w:t>
      </w:r>
      <w:r w:rsidR="001650F2" w:rsidRPr="001650F2">
        <w:rPr>
          <w:rFonts w:eastAsia="Calibri" w:cs="Arial"/>
          <w:b/>
          <w:i/>
          <w:iCs/>
          <w:szCs w:val="24"/>
        </w:rPr>
        <w:t>Π.Δ. Δαγτόγλου: «Γενικό Διοικητικό Δίκαιο»</w:t>
      </w:r>
      <w:r w:rsidR="001650F2" w:rsidRPr="001650F2">
        <w:rPr>
          <w:rFonts w:eastAsia="Calibri" w:cs="Arial"/>
          <w:bCs/>
          <w:szCs w:val="24"/>
        </w:rPr>
        <w:t xml:space="preserve"> 5</w:t>
      </w:r>
      <w:r w:rsidR="001650F2" w:rsidRPr="001650F2">
        <w:rPr>
          <w:rFonts w:eastAsia="Calibri" w:cs="Arial"/>
          <w:bCs/>
          <w:szCs w:val="24"/>
          <w:vertAlign w:val="superscript"/>
        </w:rPr>
        <w:t>η</w:t>
      </w:r>
      <w:r w:rsidR="009E6A30" w:rsidRPr="009E6A30">
        <w:rPr>
          <w:rFonts w:eastAsia="Calibri" w:cs="Arial"/>
          <w:bCs/>
          <w:szCs w:val="24"/>
        </w:rPr>
        <w:t xml:space="preserve"> </w:t>
      </w:r>
      <w:r w:rsidR="001650F2" w:rsidRPr="001650F2">
        <w:rPr>
          <w:rFonts w:eastAsia="Calibri" w:cs="Arial"/>
          <w:bCs/>
          <w:szCs w:val="24"/>
        </w:rPr>
        <w:t>Έκδ. σελ. 552-553, παρ. 955 και 957).</w:t>
      </w:r>
    </w:p>
    <w:p w14:paraId="4EE81CE1" w14:textId="1F2B0DE3" w:rsidR="001650F2" w:rsidRPr="001650F2" w:rsidRDefault="009E6A30" w:rsidP="00E6287C">
      <w:pPr>
        <w:pStyle w:val="BodyText2"/>
        <w:rPr>
          <w:rFonts w:eastAsia="Calibri" w:cs="Arial"/>
          <w:bCs/>
          <w:szCs w:val="24"/>
        </w:rPr>
      </w:pPr>
      <w:r>
        <w:rPr>
          <w:rFonts w:eastAsia="Calibri" w:cs="Arial"/>
          <w:bCs/>
          <w:szCs w:val="24"/>
        </w:rPr>
        <w:tab/>
      </w:r>
      <w:r w:rsidR="001650F2" w:rsidRPr="001650F2">
        <w:rPr>
          <w:rFonts w:eastAsia="Calibri" w:cs="Arial"/>
          <w:bCs/>
          <w:szCs w:val="24"/>
        </w:rPr>
        <w:t xml:space="preserve">Η νέα αυτή διάταξη η οποία εισάγεται με τον υπό αναπομπή Νόμο, ενδεχομένως να επηρεάσει δυσμενώς τη νόμιμη συγκρότηση και σύνθεση της Επιτροπής, εφόσον η διάταξη αυτή, είναι γενική και αόριστη. Ειδικότερα, οι σύνδεσμοι ή οργανώσεις, που εκπροσωπούν καταναλωτές, δεν ορίζονται από την κείμενη νομοθεσία και ούτε ο υπό αναπομπή Νόμος, ορίζει ποιοι είναι οι σύνδεσμοι αυτοί ή οι οργανώσεις καταναλωτών. </w:t>
      </w:r>
      <w:r w:rsidR="001650F2" w:rsidRPr="001650F2">
        <w:rPr>
          <w:rFonts w:eastAsia="Calibri" w:cs="Arial"/>
          <w:bCs/>
          <w:szCs w:val="24"/>
        </w:rPr>
        <w:lastRenderedPageBreak/>
        <w:t>Ως εκ τούτου, η εκτελεστική εξουσία, δεν γνωρίζει, σε ποιους συνδέσμους ή οργανισμούς, θα πρέπει να αποταθεί, ώστε αυτοί να προτείνουν εκπροσώπους τους ως μέλη της Επιτροπής. Περαιτέρω, αναφέρεται ότι, σε περίπτωση, κατά την οποία, οι σύνδεσμοι ή οργανώσεις καταναλωτών, δεν καταλήξουν σε συμφωνία, ως προς τον εκπρόσωπό τους, αυτό θα επηρεάσει την νόμιμη συγκρότηση της Επιτροπής και εν γένει τη λειτουργία της, εφόσον λόγω αυτού, ενδεχομένως η Επιτροπή, να μην συγκροτηθεί σε σώμα, ως οφείλει να πράξει.</w:t>
      </w:r>
    </w:p>
    <w:p w14:paraId="39A8BBB4" w14:textId="63DB441E" w:rsidR="001650F2" w:rsidRPr="001650F2" w:rsidRDefault="000B7742" w:rsidP="00E6287C">
      <w:pPr>
        <w:pStyle w:val="BodyText2"/>
        <w:rPr>
          <w:rFonts w:eastAsia="Calibri" w:cs="Arial"/>
          <w:bCs/>
          <w:szCs w:val="24"/>
        </w:rPr>
      </w:pPr>
      <w:r>
        <w:rPr>
          <w:rFonts w:eastAsia="Calibri" w:cs="Arial"/>
          <w:bCs/>
          <w:szCs w:val="24"/>
        </w:rPr>
        <w:tab/>
      </w:r>
      <w:r w:rsidR="001650F2" w:rsidRPr="001650F2">
        <w:rPr>
          <w:rFonts w:eastAsia="Calibri" w:cs="Arial"/>
          <w:bCs/>
          <w:szCs w:val="24"/>
        </w:rPr>
        <w:t>Επιπρόσθετα, ο υπό αναπομπή Νόμος, εισήγαγε διάταξη, σύμφωνα με την οποία, αυξήθηκαν τα μέλη της Επιτροπής, από πέντε, σε επτά, εντούτοις, για σκοπούς απαρτίας, παρέμεινε η αναφορά στον Νόμο, σε παρουσία του Προέδρου και δύο μελών (άρθρο 9(3) του υπό αναπομπή Νόμου).</w:t>
      </w:r>
    </w:p>
    <w:p w14:paraId="06679E5D" w14:textId="631E66F9" w:rsidR="001650F2" w:rsidRPr="001650F2" w:rsidRDefault="000B7742" w:rsidP="00E6287C">
      <w:pPr>
        <w:pStyle w:val="BodyText2"/>
        <w:rPr>
          <w:rFonts w:eastAsia="Calibri" w:cs="Arial"/>
          <w:bCs/>
          <w:szCs w:val="24"/>
        </w:rPr>
      </w:pPr>
      <w:r>
        <w:rPr>
          <w:rFonts w:eastAsia="Calibri" w:cs="Arial"/>
          <w:bCs/>
          <w:szCs w:val="24"/>
        </w:rPr>
        <w:tab/>
      </w:r>
      <w:r w:rsidR="001650F2" w:rsidRPr="001650F2">
        <w:rPr>
          <w:rFonts w:eastAsia="Calibri" w:cs="Arial"/>
          <w:bCs/>
          <w:szCs w:val="24"/>
        </w:rPr>
        <w:t xml:space="preserve">Η απαρτία αποτελεί μέρος της </w:t>
      </w:r>
      <w:r>
        <w:rPr>
          <w:rFonts w:eastAsia="Calibri" w:cs="Arial"/>
          <w:bCs/>
          <w:szCs w:val="24"/>
          <w:lang w:val="en-US"/>
        </w:rPr>
        <w:t>ad</w:t>
      </w:r>
      <w:r w:rsidRPr="000B7742">
        <w:rPr>
          <w:rFonts w:eastAsia="Calibri" w:cs="Arial"/>
          <w:bCs/>
          <w:szCs w:val="24"/>
        </w:rPr>
        <w:t xml:space="preserve"> </w:t>
      </w:r>
      <w:r>
        <w:rPr>
          <w:rFonts w:eastAsia="Calibri" w:cs="Arial"/>
          <w:bCs/>
          <w:szCs w:val="24"/>
          <w:lang w:val="en-US"/>
        </w:rPr>
        <w:t>hoc</w:t>
      </w:r>
      <w:r w:rsidR="001650F2" w:rsidRPr="001650F2">
        <w:rPr>
          <w:rFonts w:eastAsia="Calibri" w:cs="Arial"/>
          <w:bCs/>
          <w:szCs w:val="24"/>
        </w:rPr>
        <w:t xml:space="preserve"> λειτουργίας του διοικητικού οργάνου και αποτελεί έννοια συνδεδεμένη με τη νόμιμη σύνθεση, (</w:t>
      </w:r>
      <w:r w:rsidR="001650F2" w:rsidRPr="001650F2">
        <w:rPr>
          <w:rFonts w:eastAsia="Calibri" w:cs="Arial"/>
          <w:b/>
          <w:i/>
          <w:iCs/>
          <w:szCs w:val="24"/>
        </w:rPr>
        <w:t>Π.Δ. Δαγτόγλου: «Γενικό</w:t>
      </w:r>
      <w:r w:rsidRPr="000B7742">
        <w:rPr>
          <w:rFonts w:eastAsia="Calibri" w:cs="Arial"/>
          <w:b/>
          <w:i/>
          <w:iCs/>
          <w:szCs w:val="24"/>
        </w:rPr>
        <w:t xml:space="preserve"> </w:t>
      </w:r>
      <w:r w:rsidR="001650F2" w:rsidRPr="001650F2">
        <w:rPr>
          <w:rFonts w:eastAsia="Calibri" w:cs="Arial"/>
          <w:b/>
          <w:i/>
          <w:iCs/>
          <w:szCs w:val="24"/>
        </w:rPr>
        <w:t>Διοικητικό Δίκαιο»</w:t>
      </w:r>
      <w:r w:rsidR="001650F2" w:rsidRPr="001650F2">
        <w:rPr>
          <w:rFonts w:eastAsia="Calibri" w:cs="Arial"/>
          <w:bCs/>
          <w:szCs w:val="24"/>
        </w:rPr>
        <w:t xml:space="preserve"> (1977), σελ. 216-217). Η απαρτία παραπέμπει, στην κατά περίπτωση σύνθεση, του συλλογικού οργάνου, προς εξέταση ορισμένου θέματος. Η απαρτία, καθορίζεται από τον κανόνα λειτουργίας του συλλογικού οργάνου, (άρθρο 23 του περί Γενικών Αρχών του Διοικητικού Δικαίου Νόμου Ν. 158(Ι)/1999).</w:t>
      </w:r>
    </w:p>
    <w:p w14:paraId="5E66B1F4" w14:textId="0513CE87" w:rsidR="00D822AB" w:rsidRDefault="000B7742" w:rsidP="001650F2">
      <w:pPr>
        <w:pStyle w:val="BodyText2"/>
        <w:rPr>
          <w:rFonts w:eastAsia="Calibri" w:cs="Arial"/>
          <w:bCs/>
          <w:szCs w:val="24"/>
        </w:rPr>
      </w:pPr>
      <w:r>
        <w:rPr>
          <w:rFonts w:eastAsia="Calibri" w:cs="Arial"/>
          <w:bCs/>
          <w:szCs w:val="24"/>
        </w:rPr>
        <w:tab/>
      </w:r>
      <w:r w:rsidR="001650F2" w:rsidRPr="001650F2">
        <w:rPr>
          <w:rFonts w:eastAsia="Calibri" w:cs="Arial"/>
          <w:bCs/>
          <w:szCs w:val="24"/>
        </w:rPr>
        <w:t xml:space="preserve">Σύμφωνα με νομολογία του Δικαστηρίου, είναι δυνατό τα νομοθετήματα, να καθορίζουν απαρτία, λιγότερη από το σύνολο των μελών που συγκροτούν το συλλογικό όργανο για σκοπούς ευελιξίας, τηρούμενης όμως της ελάχιστης απαρτίας. Η δε τήρηση της απαρτίας όπως αυτή προδιαγράφεται στα νομοθετήματα, είναι αναγκαία για λήψη νόμιμης απόφασης από το διοικητικό όργανο. Έστω και εάν ο υπό αναπομπή Νόμος, καθορίζει το τι αποτελεί απαρτία, ως μικρότερο αριθμό, από το ήμισυ των μελών της Επιτροπής, εντούτοις, απαρτία συνήθως, συνιστά, το ήμισυ πλέον ενός, των μελών που συγκροτούν το διοικητικό όργανο. Ως εκ τούτου, η </w:t>
      </w:r>
      <w:r w:rsidR="001650F2" w:rsidRPr="001650F2">
        <w:rPr>
          <w:rFonts w:eastAsia="Calibri" w:cs="Arial"/>
          <w:bCs/>
          <w:szCs w:val="24"/>
        </w:rPr>
        <w:lastRenderedPageBreak/>
        <w:t>αναφορά στο άρθρο 9(3) του υπό αναπομπή Νόμου θα πρέπει να τροποποιηθεί, ώστε να αυξηθεί ο αριθμός των προσώπων, που προβλέπει ο Νόμος ότι πρέπει να παρίστανται στις συνεδρίες της Επιτροπής, για σκοπούς απαρτίας αυτής, με στόχο τη διασφάλιση της νομιμότητας των συνεδριών της Επιτροπής</w:t>
      </w:r>
      <w:r w:rsidR="00CC3D14">
        <w:rPr>
          <w:rFonts w:eastAsia="Calibri" w:cs="Arial"/>
          <w:bCs/>
          <w:szCs w:val="24"/>
        </w:rPr>
        <w:t>.</w:t>
      </w:r>
      <w:r w:rsidR="00D822AB">
        <w:rPr>
          <w:rFonts w:eastAsia="Calibri" w:cs="Arial"/>
          <w:bCs/>
          <w:szCs w:val="24"/>
        </w:rPr>
        <w:t>».</w:t>
      </w:r>
    </w:p>
    <w:p w14:paraId="159ED3CB" w14:textId="310003A4" w:rsidR="002416BA" w:rsidRPr="006E581C" w:rsidRDefault="00D822AB" w:rsidP="00E31BFC">
      <w:pPr>
        <w:pStyle w:val="BodyText2"/>
        <w:rPr>
          <w:rFonts w:eastAsia="Calibri" w:cs="Arial"/>
          <w:szCs w:val="24"/>
        </w:rPr>
      </w:pPr>
      <w:r>
        <w:rPr>
          <w:rFonts w:eastAsia="Calibri" w:cs="Arial"/>
          <w:bCs/>
          <w:szCs w:val="24"/>
        </w:rPr>
        <w:tab/>
      </w:r>
      <w:r w:rsidRPr="006E581C">
        <w:rPr>
          <w:rFonts w:eastAsia="Calibri" w:cs="Arial"/>
          <w:szCs w:val="24"/>
        </w:rPr>
        <w:t>Ο</w:t>
      </w:r>
      <w:r w:rsidR="00F82D6D" w:rsidRPr="006E581C">
        <w:rPr>
          <w:rFonts w:eastAsia="Calibri" w:cs="Arial"/>
          <w:szCs w:val="24"/>
        </w:rPr>
        <w:t>ι</w:t>
      </w:r>
      <w:r w:rsidRPr="006E581C">
        <w:rPr>
          <w:rFonts w:eastAsia="Calibri" w:cs="Arial"/>
          <w:szCs w:val="24"/>
        </w:rPr>
        <w:t xml:space="preserve"> εκπρόσωπο</w:t>
      </w:r>
      <w:r w:rsidR="00F82D6D" w:rsidRPr="006E581C">
        <w:rPr>
          <w:rFonts w:eastAsia="Calibri" w:cs="Arial"/>
          <w:szCs w:val="24"/>
        </w:rPr>
        <w:t>ι</w:t>
      </w:r>
      <w:r w:rsidRPr="006E581C">
        <w:rPr>
          <w:rFonts w:eastAsia="Calibri" w:cs="Arial"/>
          <w:szCs w:val="24"/>
        </w:rPr>
        <w:t xml:space="preserve"> του Υπουργείου Ενέργειας, Εμπορίου και Βιομηχανίας</w:t>
      </w:r>
      <w:r w:rsidR="00F82D6D" w:rsidRPr="006E581C">
        <w:rPr>
          <w:rFonts w:eastAsia="Calibri" w:cs="Arial"/>
          <w:szCs w:val="24"/>
        </w:rPr>
        <w:t xml:space="preserve"> και</w:t>
      </w:r>
      <w:r w:rsidRPr="006E581C">
        <w:rPr>
          <w:rFonts w:eastAsia="Calibri" w:cs="Arial"/>
          <w:szCs w:val="24"/>
        </w:rPr>
        <w:t xml:space="preserve"> </w:t>
      </w:r>
      <w:r w:rsidR="00F82D6D" w:rsidRPr="006E581C">
        <w:rPr>
          <w:rFonts w:eastAsia="Calibri" w:cs="Arial"/>
          <w:szCs w:val="24"/>
        </w:rPr>
        <w:t xml:space="preserve">της Νομικής Υπηρεσίας της Δημοκρατίας </w:t>
      </w:r>
      <w:r w:rsidRPr="006E581C">
        <w:rPr>
          <w:rFonts w:eastAsia="Calibri" w:cs="Arial"/>
          <w:szCs w:val="24"/>
        </w:rPr>
        <w:t>κατά την εξέταση τ</w:t>
      </w:r>
      <w:r w:rsidR="00CB2670" w:rsidRPr="006E581C">
        <w:rPr>
          <w:rFonts w:eastAsia="Calibri" w:cs="Arial"/>
          <w:szCs w:val="24"/>
        </w:rPr>
        <w:t>ου</w:t>
      </w:r>
      <w:r w:rsidRPr="006E581C">
        <w:rPr>
          <w:rFonts w:eastAsia="Calibri" w:cs="Arial"/>
          <w:szCs w:val="24"/>
        </w:rPr>
        <w:t xml:space="preserve"> αναπεμφθέντ</w:t>
      </w:r>
      <w:r w:rsidR="00CB2670" w:rsidRPr="006E581C">
        <w:rPr>
          <w:rFonts w:eastAsia="Calibri" w:cs="Arial"/>
          <w:szCs w:val="24"/>
        </w:rPr>
        <w:t>ος</w:t>
      </w:r>
      <w:r w:rsidRPr="006E581C">
        <w:rPr>
          <w:rFonts w:eastAsia="Calibri" w:cs="Arial"/>
          <w:szCs w:val="24"/>
        </w:rPr>
        <w:t xml:space="preserve"> νόμ</w:t>
      </w:r>
      <w:r w:rsidR="00CB2670" w:rsidRPr="006E581C">
        <w:rPr>
          <w:rFonts w:eastAsia="Calibri" w:cs="Arial"/>
          <w:szCs w:val="24"/>
        </w:rPr>
        <w:t>ου</w:t>
      </w:r>
      <w:r w:rsidRPr="006E581C">
        <w:rPr>
          <w:rFonts w:eastAsia="Calibri" w:cs="Arial"/>
          <w:szCs w:val="24"/>
        </w:rPr>
        <w:t xml:space="preserve"> από την επιτροπή αναφέρθηκ</w:t>
      </w:r>
      <w:r w:rsidR="00BB696F" w:rsidRPr="006E581C">
        <w:rPr>
          <w:rFonts w:eastAsia="Calibri" w:cs="Arial"/>
          <w:szCs w:val="24"/>
        </w:rPr>
        <w:t>αν</w:t>
      </w:r>
      <w:r w:rsidR="00AB21D8" w:rsidRPr="006E581C">
        <w:rPr>
          <w:rFonts w:eastAsia="Calibri" w:cs="Arial"/>
          <w:szCs w:val="24"/>
        </w:rPr>
        <w:t xml:space="preserve"> αναλυτικά</w:t>
      </w:r>
      <w:r w:rsidRPr="006E581C">
        <w:rPr>
          <w:rFonts w:eastAsia="Calibri" w:cs="Arial"/>
          <w:szCs w:val="24"/>
        </w:rPr>
        <w:t xml:space="preserve"> στους λόγους για τους οποίους κρίθηκε σκόπιμη η αναπομπή τμ</w:t>
      </w:r>
      <w:r w:rsidR="00DD42F2" w:rsidRPr="006E581C">
        <w:rPr>
          <w:rFonts w:eastAsia="Calibri" w:cs="Arial"/>
          <w:szCs w:val="24"/>
        </w:rPr>
        <w:t>ημάτων</w:t>
      </w:r>
      <w:r w:rsidRPr="006E581C">
        <w:rPr>
          <w:rFonts w:eastAsia="Calibri" w:cs="Arial"/>
          <w:szCs w:val="24"/>
        </w:rPr>
        <w:t xml:space="preserve"> του νόμου, στη βάση της πιο πάνω επιστολής</w:t>
      </w:r>
      <w:r w:rsidR="00E31BFC" w:rsidRPr="006E581C">
        <w:rPr>
          <w:rFonts w:eastAsia="Calibri" w:cs="Arial"/>
          <w:szCs w:val="24"/>
        </w:rPr>
        <w:t>.</w:t>
      </w:r>
    </w:p>
    <w:p w14:paraId="25BDDCD3" w14:textId="46925478" w:rsidR="00DD42F2" w:rsidRPr="006E581C" w:rsidRDefault="00DD42F2" w:rsidP="00875A3E">
      <w:pPr>
        <w:pStyle w:val="BodyText2"/>
        <w:rPr>
          <w:rFonts w:eastAsia="Calibri" w:cs="Arial"/>
          <w:szCs w:val="24"/>
        </w:rPr>
      </w:pPr>
      <w:r>
        <w:rPr>
          <w:rFonts w:eastAsia="Calibri" w:cs="Arial"/>
          <w:bCs/>
          <w:szCs w:val="24"/>
        </w:rPr>
        <w:tab/>
      </w:r>
      <w:r w:rsidRPr="006E581C">
        <w:rPr>
          <w:rFonts w:eastAsia="Calibri" w:cs="Arial"/>
          <w:szCs w:val="24"/>
        </w:rPr>
        <w:t>Στ</w:t>
      </w:r>
      <w:r w:rsidR="006E581C" w:rsidRPr="006E581C">
        <w:rPr>
          <w:rFonts w:eastAsia="Calibri" w:cs="Arial"/>
          <w:szCs w:val="24"/>
        </w:rPr>
        <w:t>α</w:t>
      </w:r>
      <w:r w:rsidRPr="006E581C">
        <w:rPr>
          <w:rFonts w:eastAsia="Calibri" w:cs="Arial"/>
          <w:szCs w:val="24"/>
        </w:rPr>
        <w:t xml:space="preserve"> </w:t>
      </w:r>
      <w:r w:rsidR="00315126" w:rsidRPr="006E581C">
        <w:rPr>
          <w:rFonts w:eastAsia="Calibri" w:cs="Arial"/>
          <w:szCs w:val="24"/>
        </w:rPr>
        <w:t>πλαίσι</w:t>
      </w:r>
      <w:r w:rsidR="006E581C" w:rsidRPr="006E581C">
        <w:rPr>
          <w:rFonts w:eastAsia="Calibri" w:cs="Arial"/>
          <w:szCs w:val="24"/>
        </w:rPr>
        <w:t>α</w:t>
      </w:r>
      <w:r w:rsidR="00315126" w:rsidRPr="006E581C">
        <w:rPr>
          <w:rFonts w:eastAsia="Calibri" w:cs="Arial"/>
          <w:szCs w:val="24"/>
        </w:rPr>
        <w:t xml:space="preserve"> της συζήτησης</w:t>
      </w:r>
      <w:r w:rsidRPr="006E581C">
        <w:rPr>
          <w:rFonts w:eastAsia="Calibri" w:cs="Arial"/>
          <w:szCs w:val="24"/>
        </w:rPr>
        <w:t>, τα μέλη της επιτροπής υπέβαλαν ερωτήσεις σε σχέση με τους λόγους της αναπομπής.</w:t>
      </w:r>
    </w:p>
    <w:p w14:paraId="661E53EF" w14:textId="539E021E" w:rsidR="00E31BFC" w:rsidRPr="00D7068A" w:rsidRDefault="00E31BFC" w:rsidP="00875A3E">
      <w:pPr>
        <w:pStyle w:val="BodyText2"/>
        <w:rPr>
          <w:rFonts w:eastAsia="Calibri" w:cs="Arial"/>
          <w:szCs w:val="24"/>
        </w:rPr>
      </w:pPr>
      <w:r w:rsidRPr="006729A8">
        <w:rPr>
          <w:rFonts w:eastAsia="Calibri" w:cs="Arial"/>
          <w:b/>
          <w:szCs w:val="24"/>
        </w:rPr>
        <w:tab/>
      </w:r>
      <w:r w:rsidRPr="00D7068A">
        <w:rPr>
          <w:rFonts w:eastAsia="Calibri" w:cs="Arial"/>
          <w:szCs w:val="24"/>
        </w:rPr>
        <w:t xml:space="preserve">Η </w:t>
      </w:r>
      <w:r w:rsidR="00477D1F" w:rsidRPr="00D7068A">
        <w:rPr>
          <w:rFonts w:eastAsia="Calibri" w:cs="Arial"/>
          <w:szCs w:val="24"/>
        </w:rPr>
        <w:t>Κοινοβουλευτική Επιτροπή Ενέργειας, Εμπορίου, Βιομηχανίας και Τουρισμού</w:t>
      </w:r>
      <w:r w:rsidRPr="00D7068A">
        <w:rPr>
          <w:rFonts w:eastAsia="Calibri" w:cs="Arial"/>
          <w:szCs w:val="24"/>
        </w:rPr>
        <w:t>, αφού έλαβε υπόψη όλα όσα τέθηκαν ενώπιόν της,</w:t>
      </w:r>
      <w:r w:rsidR="00845AAD" w:rsidRPr="00D7068A">
        <w:rPr>
          <w:rFonts w:eastAsia="Calibri" w:cs="Arial"/>
          <w:szCs w:val="24"/>
        </w:rPr>
        <w:t xml:space="preserve"> ομόφωνα </w:t>
      </w:r>
      <w:r w:rsidRPr="00D7068A">
        <w:rPr>
          <w:rFonts w:eastAsia="Calibri" w:cs="Arial"/>
          <w:szCs w:val="24"/>
        </w:rPr>
        <w:t xml:space="preserve">αποφάσισε </w:t>
      </w:r>
      <w:r w:rsidR="00B901FD" w:rsidRPr="00D7068A">
        <w:rPr>
          <w:rFonts w:eastAsia="Calibri" w:cs="Arial"/>
          <w:szCs w:val="24"/>
        </w:rPr>
        <w:t>να</w:t>
      </w:r>
      <w:r w:rsidRPr="00D7068A">
        <w:rPr>
          <w:rFonts w:eastAsia="Calibri" w:cs="Arial"/>
          <w:szCs w:val="24"/>
        </w:rPr>
        <w:t xml:space="preserve"> αποδεχθεί την αναπομπή </w:t>
      </w:r>
      <w:r w:rsidR="00477D1F" w:rsidRPr="00D7068A">
        <w:rPr>
          <w:rFonts w:eastAsia="Calibri" w:cs="Arial"/>
          <w:szCs w:val="24"/>
        </w:rPr>
        <w:t xml:space="preserve">και </w:t>
      </w:r>
      <w:r w:rsidR="00E76A2F" w:rsidRPr="00D7068A">
        <w:rPr>
          <w:rFonts w:eastAsia="Calibri" w:cs="Arial"/>
          <w:szCs w:val="24"/>
        </w:rPr>
        <w:t xml:space="preserve">ως εκ τούτου </w:t>
      </w:r>
      <w:r w:rsidR="00D7068A" w:rsidRPr="00D7068A">
        <w:rPr>
          <w:rFonts w:eastAsia="Calibri" w:cs="Arial"/>
          <w:szCs w:val="24"/>
        </w:rPr>
        <w:t>τροποποίησε</w:t>
      </w:r>
      <w:r w:rsidR="00477D1F" w:rsidRPr="00D7068A">
        <w:rPr>
          <w:rFonts w:eastAsia="Calibri" w:cs="Arial"/>
          <w:szCs w:val="24"/>
        </w:rPr>
        <w:t xml:space="preserve"> το κείμενο του</w:t>
      </w:r>
      <w:r w:rsidR="0099452E" w:rsidRPr="00D7068A">
        <w:rPr>
          <w:rFonts w:eastAsia="Calibri" w:cs="Arial"/>
          <w:szCs w:val="24"/>
        </w:rPr>
        <w:t xml:space="preserve"> αναπε</w:t>
      </w:r>
      <w:r w:rsidR="00104146" w:rsidRPr="00D7068A">
        <w:rPr>
          <w:rFonts w:eastAsia="Calibri" w:cs="Arial"/>
          <w:szCs w:val="24"/>
        </w:rPr>
        <w:t>μ</w:t>
      </w:r>
      <w:r w:rsidR="0099452E" w:rsidRPr="00D7068A">
        <w:rPr>
          <w:rFonts w:eastAsia="Calibri" w:cs="Arial"/>
          <w:szCs w:val="24"/>
        </w:rPr>
        <w:t xml:space="preserve">φθέντος νόμου </w:t>
      </w:r>
      <w:r w:rsidR="00477D1F" w:rsidRPr="00D7068A">
        <w:rPr>
          <w:rFonts w:eastAsia="Calibri" w:cs="Arial"/>
          <w:szCs w:val="24"/>
        </w:rPr>
        <w:t>ως ακολούθως:</w:t>
      </w:r>
    </w:p>
    <w:p w14:paraId="294C6256" w14:textId="2CDC15C7" w:rsidR="00477D1F" w:rsidRPr="00BF673A" w:rsidRDefault="00477D1F" w:rsidP="00DE1B89">
      <w:pPr>
        <w:pStyle w:val="BodyText2"/>
        <w:numPr>
          <w:ilvl w:val="0"/>
          <w:numId w:val="32"/>
        </w:numPr>
        <w:ind w:left="567" w:hanging="567"/>
        <w:rPr>
          <w:rFonts w:eastAsia="Calibri" w:cs="Arial"/>
          <w:szCs w:val="24"/>
        </w:rPr>
      </w:pPr>
      <w:r w:rsidRPr="00BF673A">
        <w:rPr>
          <w:rFonts w:eastAsia="Calibri" w:cs="Arial"/>
          <w:szCs w:val="24"/>
        </w:rPr>
        <w:t xml:space="preserve">Αύξηση του αριθμού των μελών της Επιτροπής Διαχείρισης του </w:t>
      </w:r>
      <w:r w:rsidR="00D7068A" w:rsidRPr="00BF673A">
        <w:rPr>
          <w:rFonts w:eastAsia="Calibri" w:cs="Arial"/>
          <w:szCs w:val="24"/>
        </w:rPr>
        <w:t>τ</w:t>
      </w:r>
      <w:r w:rsidRPr="00BF673A">
        <w:rPr>
          <w:rFonts w:eastAsia="Calibri" w:cs="Arial"/>
          <w:szCs w:val="24"/>
        </w:rPr>
        <w:t xml:space="preserve">αμείου που απαιτείται για </w:t>
      </w:r>
      <w:r w:rsidR="00E76A2F" w:rsidRPr="00BF673A">
        <w:rPr>
          <w:rFonts w:eastAsia="Calibri" w:cs="Arial"/>
          <w:szCs w:val="24"/>
        </w:rPr>
        <w:t>σκοπούς</w:t>
      </w:r>
      <w:r w:rsidRPr="00BF673A">
        <w:rPr>
          <w:rFonts w:eastAsia="Calibri" w:cs="Arial"/>
          <w:szCs w:val="24"/>
        </w:rPr>
        <w:t xml:space="preserve"> απαρτίας, ώστε η παρουσία του </w:t>
      </w:r>
      <w:r w:rsidR="00BF673A" w:rsidRPr="00BF673A">
        <w:rPr>
          <w:rFonts w:eastAsia="Calibri" w:cs="Arial"/>
          <w:szCs w:val="24"/>
        </w:rPr>
        <w:t>π</w:t>
      </w:r>
      <w:r w:rsidRPr="00BF673A">
        <w:rPr>
          <w:rFonts w:eastAsia="Calibri" w:cs="Arial"/>
          <w:szCs w:val="24"/>
        </w:rPr>
        <w:t>ροέδρου και τριών (3)</w:t>
      </w:r>
      <w:r w:rsidR="005D13F9" w:rsidRPr="00BF673A">
        <w:rPr>
          <w:rFonts w:eastAsia="Calibri" w:cs="Arial"/>
          <w:szCs w:val="24"/>
        </w:rPr>
        <w:t xml:space="preserve"> </w:t>
      </w:r>
      <w:r w:rsidR="007A2A36" w:rsidRPr="00BF673A">
        <w:rPr>
          <w:rFonts w:eastAsia="Calibri" w:cs="Arial"/>
          <w:szCs w:val="24"/>
        </w:rPr>
        <w:t xml:space="preserve">μελών, </w:t>
      </w:r>
      <w:r w:rsidRPr="00BF673A">
        <w:rPr>
          <w:rFonts w:eastAsia="Calibri" w:cs="Arial"/>
          <w:szCs w:val="24"/>
        </w:rPr>
        <w:t>αντί δύο (2)</w:t>
      </w:r>
      <w:r w:rsidR="007A2A36" w:rsidRPr="00BF673A">
        <w:rPr>
          <w:rFonts w:eastAsia="Calibri" w:cs="Arial"/>
          <w:szCs w:val="24"/>
        </w:rPr>
        <w:t>,</w:t>
      </w:r>
      <w:r w:rsidRPr="00BF673A">
        <w:rPr>
          <w:rFonts w:eastAsia="Calibri" w:cs="Arial"/>
          <w:szCs w:val="24"/>
        </w:rPr>
        <w:t xml:space="preserve"> να αποτελεί απαρτία.</w:t>
      </w:r>
    </w:p>
    <w:p w14:paraId="4311ACA9" w14:textId="29A81531" w:rsidR="00DD42F2" w:rsidRPr="00471604" w:rsidRDefault="00477D1F" w:rsidP="00875A3E">
      <w:pPr>
        <w:pStyle w:val="BodyText2"/>
        <w:numPr>
          <w:ilvl w:val="0"/>
          <w:numId w:val="32"/>
        </w:numPr>
        <w:ind w:left="567" w:hanging="567"/>
        <w:rPr>
          <w:rFonts w:eastAsia="Calibri" w:cs="Arial"/>
          <w:szCs w:val="24"/>
        </w:rPr>
      </w:pPr>
      <w:r w:rsidRPr="00471604">
        <w:rPr>
          <w:rFonts w:eastAsia="Calibri" w:cs="Arial"/>
          <w:szCs w:val="24"/>
        </w:rPr>
        <w:t>Προσθήκη πρόνοιας σύμφωνα με την οποία</w:t>
      </w:r>
      <w:r w:rsidR="00471604" w:rsidRPr="00471604">
        <w:rPr>
          <w:rFonts w:eastAsia="Calibri" w:cs="Arial"/>
          <w:szCs w:val="24"/>
        </w:rPr>
        <w:t>,</w:t>
      </w:r>
      <w:r w:rsidRPr="00471604">
        <w:rPr>
          <w:rFonts w:eastAsia="Calibri" w:cs="Arial"/>
          <w:szCs w:val="24"/>
        </w:rPr>
        <w:t xml:space="preserve"> σε περίπτωση που δεν υποβληθεί εισήγηση εκ μέρους των νόμιμα συσταθέντων οργανισμών ή συνδέσμων που εκπροσωπούν τους καταναλωτές </w:t>
      </w:r>
      <w:r w:rsidR="007A2A36" w:rsidRPr="00471604">
        <w:rPr>
          <w:rFonts w:eastAsia="Calibri" w:cs="Arial"/>
          <w:szCs w:val="24"/>
        </w:rPr>
        <w:t>όσον αφορά</w:t>
      </w:r>
      <w:r w:rsidRPr="00471604">
        <w:rPr>
          <w:rFonts w:eastAsia="Calibri" w:cs="Arial"/>
          <w:szCs w:val="24"/>
        </w:rPr>
        <w:t xml:space="preserve"> τον εκπρόσωπό τους που θα συμμετέχει ως μέλος στην Επιτροπή Διαχείρισης του </w:t>
      </w:r>
      <w:r w:rsidR="00471604" w:rsidRPr="00471604">
        <w:rPr>
          <w:rFonts w:eastAsia="Calibri" w:cs="Arial"/>
          <w:szCs w:val="24"/>
        </w:rPr>
        <w:t>τ</w:t>
      </w:r>
      <w:r w:rsidRPr="00471604">
        <w:rPr>
          <w:rFonts w:eastAsia="Calibri" w:cs="Arial"/>
          <w:szCs w:val="24"/>
        </w:rPr>
        <w:t>αμείου εντός τριάντα (30) ημερών από την ημερομηνία έναρξης της ισχύος του αναπεμφθέντος νόμου, ο Υπουργός Ενέργειας, Εμπορίου και Βιομηχανίας</w:t>
      </w:r>
      <w:r w:rsidR="002B2CA4" w:rsidRPr="00471604">
        <w:rPr>
          <w:rFonts w:eastAsia="Calibri" w:cs="Arial"/>
          <w:szCs w:val="24"/>
        </w:rPr>
        <w:t xml:space="preserve"> θα </w:t>
      </w:r>
      <w:r w:rsidR="007A2A36" w:rsidRPr="00471604">
        <w:rPr>
          <w:rFonts w:eastAsia="Calibri" w:cs="Arial"/>
          <w:szCs w:val="24"/>
        </w:rPr>
        <w:t>προβεί στον</w:t>
      </w:r>
      <w:r w:rsidR="002B2CA4" w:rsidRPr="00471604">
        <w:rPr>
          <w:rFonts w:eastAsia="Calibri" w:cs="Arial"/>
          <w:szCs w:val="24"/>
        </w:rPr>
        <w:t xml:space="preserve"> καθορισμό του εν λόγω εκπροσώπου.</w:t>
      </w:r>
    </w:p>
    <w:p w14:paraId="30396182" w14:textId="383E6CE6" w:rsidR="004462BE" w:rsidRDefault="004462BE" w:rsidP="00875A3E">
      <w:pPr>
        <w:pStyle w:val="BodyText2"/>
        <w:rPr>
          <w:rFonts w:eastAsia="Calibri" w:cs="Arial"/>
          <w:bCs/>
          <w:szCs w:val="24"/>
        </w:rPr>
      </w:pPr>
    </w:p>
    <w:p w14:paraId="4DE4818E" w14:textId="77777777" w:rsidR="00CC3D14" w:rsidRDefault="00CC3D14" w:rsidP="00875A3E">
      <w:pPr>
        <w:pStyle w:val="BodyText2"/>
        <w:rPr>
          <w:rFonts w:eastAsia="Calibri" w:cs="Arial"/>
          <w:bCs/>
          <w:szCs w:val="24"/>
        </w:rPr>
      </w:pPr>
    </w:p>
    <w:p w14:paraId="6F22E352" w14:textId="11C2A895" w:rsidR="00635866" w:rsidRDefault="00635866" w:rsidP="00875A3E">
      <w:pPr>
        <w:pStyle w:val="BodyText2"/>
        <w:rPr>
          <w:rFonts w:eastAsia="Calibri" w:cs="Arial"/>
          <w:bCs/>
          <w:szCs w:val="24"/>
        </w:rPr>
      </w:pPr>
      <w:r>
        <w:rPr>
          <w:rFonts w:eastAsia="Calibri" w:cs="Arial"/>
          <w:bCs/>
          <w:szCs w:val="24"/>
        </w:rPr>
        <w:t>28 Ιουνίου 2022</w:t>
      </w:r>
    </w:p>
    <w:p w14:paraId="564DDEF0" w14:textId="48A2B4E5" w:rsidR="004462BE" w:rsidRDefault="004462BE" w:rsidP="00CC3D14">
      <w:pPr>
        <w:pStyle w:val="BodyText2"/>
        <w:spacing w:line="360" w:lineRule="auto"/>
        <w:rPr>
          <w:rFonts w:eastAsia="Calibri" w:cs="Arial"/>
          <w:bCs/>
          <w:szCs w:val="24"/>
        </w:rPr>
      </w:pPr>
      <w:r>
        <w:rPr>
          <w:rFonts w:eastAsia="Calibri" w:cs="Arial"/>
          <w:bCs/>
          <w:szCs w:val="24"/>
        </w:rPr>
        <w:t>Αρ. Φακ. 23.01.063.048-2022</w:t>
      </w:r>
    </w:p>
    <w:p w14:paraId="25028FA2" w14:textId="6AD10FE5" w:rsidR="004462BE" w:rsidRPr="00582D7E" w:rsidRDefault="004462BE" w:rsidP="00CC3D14">
      <w:pPr>
        <w:pStyle w:val="BodyText2"/>
        <w:spacing w:line="360" w:lineRule="auto"/>
        <w:rPr>
          <w:rFonts w:eastAsia="Calibri" w:cs="Arial"/>
          <w:bCs/>
          <w:szCs w:val="24"/>
        </w:rPr>
      </w:pPr>
      <w:r>
        <w:rPr>
          <w:rFonts w:eastAsia="Calibri" w:cs="Arial"/>
          <w:bCs/>
          <w:szCs w:val="24"/>
        </w:rPr>
        <w:t>ΧΑ/</w:t>
      </w:r>
      <w:r w:rsidR="00792F6C">
        <w:rPr>
          <w:rFonts w:eastAsia="Calibri" w:cs="Arial"/>
          <w:bCs/>
          <w:szCs w:val="24"/>
        </w:rPr>
        <w:t>ΧΜ/</w:t>
      </w:r>
      <w:r w:rsidR="00CC3D14">
        <w:rPr>
          <w:rFonts w:eastAsia="Calibri" w:cs="Arial"/>
          <w:bCs/>
          <w:szCs w:val="24"/>
        </w:rPr>
        <w:t>ΧΧ</w:t>
      </w:r>
    </w:p>
    <w:p w14:paraId="4A9D0A1F" w14:textId="45073456" w:rsidR="00BC323B" w:rsidRDefault="007A6119" w:rsidP="00875A3E">
      <w:pPr>
        <w:tabs>
          <w:tab w:val="left" w:pos="567"/>
        </w:tabs>
        <w:spacing w:after="0" w:line="480" w:lineRule="auto"/>
        <w:jc w:val="both"/>
        <w:rPr>
          <w:rFonts w:ascii="Arial" w:eastAsia="Calibri" w:hAnsi="Arial" w:cs="Arial"/>
          <w:bCs/>
          <w:sz w:val="24"/>
          <w:szCs w:val="24"/>
        </w:rPr>
      </w:pPr>
      <w:r w:rsidRPr="00582D7E">
        <w:rPr>
          <w:rFonts w:ascii="Arial" w:eastAsia="Calibri" w:hAnsi="Arial" w:cs="Arial"/>
          <w:bCs/>
          <w:sz w:val="24"/>
          <w:szCs w:val="24"/>
        </w:rPr>
        <w:tab/>
      </w:r>
    </w:p>
    <w:sectPr w:rsidR="00BC323B" w:rsidSect="001650F2">
      <w:headerReference w:type="default" r:id="rId8"/>
      <w:pgSz w:w="11906" w:h="16838"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B331" w14:textId="77777777" w:rsidR="00BA5789" w:rsidRDefault="00BA5789" w:rsidP="00336E4E">
      <w:pPr>
        <w:spacing w:after="0" w:line="240" w:lineRule="auto"/>
      </w:pPr>
      <w:r>
        <w:separator/>
      </w:r>
    </w:p>
  </w:endnote>
  <w:endnote w:type="continuationSeparator" w:id="0">
    <w:p w14:paraId="1BA68317" w14:textId="77777777" w:rsidR="00BA5789" w:rsidRDefault="00BA5789" w:rsidP="00336E4E">
      <w:pPr>
        <w:spacing w:after="0" w:line="240" w:lineRule="auto"/>
      </w:pPr>
      <w:r>
        <w:continuationSeparator/>
      </w:r>
    </w:p>
  </w:endnote>
  <w:endnote w:type="continuationNotice" w:id="1">
    <w:p w14:paraId="36F6494F" w14:textId="77777777" w:rsidR="00BA5789" w:rsidRDefault="00BA5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1E5E" w14:textId="77777777" w:rsidR="00BA5789" w:rsidRDefault="00BA5789" w:rsidP="00336E4E">
      <w:pPr>
        <w:spacing w:after="0" w:line="240" w:lineRule="auto"/>
      </w:pPr>
      <w:r>
        <w:separator/>
      </w:r>
    </w:p>
  </w:footnote>
  <w:footnote w:type="continuationSeparator" w:id="0">
    <w:p w14:paraId="2AA34D53" w14:textId="77777777" w:rsidR="00BA5789" w:rsidRDefault="00BA5789" w:rsidP="00336E4E">
      <w:pPr>
        <w:spacing w:after="0" w:line="240" w:lineRule="auto"/>
      </w:pPr>
      <w:r>
        <w:continuationSeparator/>
      </w:r>
    </w:p>
  </w:footnote>
  <w:footnote w:type="continuationNotice" w:id="1">
    <w:p w14:paraId="2D550978" w14:textId="77777777" w:rsidR="00BA5789" w:rsidRDefault="00BA5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20A2A"/>
    <w:multiLevelType w:val="hybridMultilevel"/>
    <w:tmpl w:val="C16E2116"/>
    <w:lvl w:ilvl="0" w:tplc="B0F077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8"/>
  </w:num>
  <w:num w:numId="3">
    <w:abstractNumId w:val="9"/>
  </w:num>
  <w:num w:numId="4">
    <w:abstractNumId w:val="17"/>
  </w:num>
  <w:num w:numId="5">
    <w:abstractNumId w:val="26"/>
  </w:num>
  <w:num w:numId="6">
    <w:abstractNumId w:val="13"/>
  </w:num>
  <w:num w:numId="7">
    <w:abstractNumId w:val="19"/>
  </w:num>
  <w:num w:numId="8">
    <w:abstractNumId w:val="12"/>
  </w:num>
  <w:num w:numId="9">
    <w:abstractNumId w:val="28"/>
  </w:num>
  <w:num w:numId="10">
    <w:abstractNumId w:val="10"/>
  </w:num>
  <w:num w:numId="11">
    <w:abstractNumId w:val="11"/>
  </w:num>
  <w:num w:numId="12">
    <w:abstractNumId w:val="25"/>
  </w:num>
  <w:num w:numId="13">
    <w:abstractNumId w:val="23"/>
  </w:num>
  <w:num w:numId="14">
    <w:abstractNumId w:val="31"/>
  </w:num>
  <w:num w:numId="15">
    <w:abstractNumId w:val="27"/>
  </w:num>
  <w:num w:numId="16">
    <w:abstractNumId w:val="4"/>
  </w:num>
  <w:num w:numId="17">
    <w:abstractNumId w:val="3"/>
  </w:num>
  <w:num w:numId="18">
    <w:abstractNumId w:val="1"/>
  </w:num>
  <w:num w:numId="19">
    <w:abstractNumId w:val="16"/>
  </w:num>
  <w:num w:numId="20">
    <w:abstractNumId w:val="18"/>
  </w:num>
  <w:num w:numId="21">
    <w:abstractNumId w:val="21"/>
  </w:num>
  <w:num w:numId="22">
    <w:abstractNumId w:val="0"/>
  </w:num>
  <w:num w:numId="23">
    <w:abstractNumId w:val="24"/>
  </w:num>
  <w:num w:numId="24">
    <w:abstractNumId w:val="5"/>
  </w:num>
  <w:num w:numId="25">
    <w:abstractNumId w:val="7"/>
  </w:num>
  <w:num w:numId="26">
    <w:abstractNumId w:val="29"/>
  </w:num>
  <w:num w:numId="27">
    <w:abstractNumId w:val="20"/>
  </w:num>
  <w:num w:numId="28">
    <w:abstractNumId w:val="14"/>
  </w:num>
  <w:num w:numId="29">
    <w:abstractNumId w:val="15"/>
  </w:num>
  <w:num w:numId="30">
    <w:abstractNumId w:val="6"/>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2722"/>
    <w:rsid w:val="00012D7F"/>
    <w:rsid w:val="00017BC6"/>
    <w:rsid w:val="00020783"/>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55A1"/>
    <w:rsid w:val="000455ED"/>
    <w:rsid w:val="000517ED"/>
    <w:rsid w:val="00052D99"/>
    <w:rsid w:val="0005577D"/>
    <w:rsid w:val="000606A5"/>
    <w:rsid w:val="00062145"/>
    <w:rsid w:val="0006552C"/>
    <w:rsid w:val="00066A98"/>
    <w:rsid w:val="00070EAA"/>
    <w:rsid w:val="00071331"/>
    <w:rsid w:val="000713BD"/>
    <w:rsid w:val="0007251C"/>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42F8"/>
    <w:rsid w:val="000961C1"/>
    <w:rsid w:val="000A617B"/>
    <w:rsid w:val="000A68FE"/>
    <w:rsid w:val="000A6A65"/>
    <w:rsid w:val="000B09BB"/>
    <w:rsid w:val="000B155C"/>
    <w:rsid w:val="000B1DB8"/>
    <w:rsid w:val="000B2672"/>
    <w:rsid w:val="000B5E99"/>
    <w:rsid w:val="000B7742"/>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4146"/>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50F2"/>
    <w:rsid w:val="0016621B"/>
    <w:rsid w:val="001669BD"/>
    <w:rsid w:val="00167382"/>
    <w:rsid w:val="00173433"/>
    <w:rsid w:val="00174525"/>
    <w:rsid w:val="001766D1"/>
    <w:rsid w:val="00177693"/>
    <w:rsid w:val="00180EB7"/>
    <w:rsid w:val="00182497"/>
    <w:rsid w:val="00182EAB"/>
    <w:rsid w:val="00183A81"/>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6CD7"/>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9EE"/>
    <w:rsid w:val="0022578A"/>
    <w:rsid w:val="0022599F"/>
    <w:rsid w:val="002268A5"/>
    <w:rsid w:val="00227812"/>
    <w:rsid w:val="002303B1"/>
    <w:rsid w:val="002304CA"/>
    <w:rsid w:val="0023251F"/>
    <w:rsid w:val="002350F7"/>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2CA4"/>
    <w:rsid w:val="002B36A6"/>
    <w:rsid w:val="002C0D55"/>
    <w:rsid w:val="002C1781"/>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1DD5"/>
    <w:rsid w:val="003033CB"/>
    <w:rsid w:val="003044F7"/>
    <w:rsid w:val="00305593"/>
    <w:rsid w:val="00305A7B"/>
    <w:rsid w:val="003126A1"/>
    <w:rsid w:val="00312F3E"/>
    <w:rsid w:val="00313064"/>
    <w:rsid w:val="00314B34"/>
    <w:rsid w:val="00315126"/>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A08F9"/>
    <w:rsid w:val="003A115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79C5"/>
    <w:rsid w:val="003E2146"/>
    <w:rsid w:val="003E535E"/>
    <w:rsid w:val="003E56F3"/>
    <w:rsid w:val="003E6125"/>
    <w:rsid w:val="003E6D77"/>
    <w:rsid w:val="003F28E3"/>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1A01"/>
    <w:rsid w:val="00452CE4"/>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1604"/>
    <w:rsid w:val="00473F01"/>
    <w:rsid w:val="00477D1F"/>
    <w:rsid w:val="00481605"/>
    <w:rsid w:val="00481C82"/>
    <w:rsid w:val="004834BE"/>
    <w:rsid w:val="00483749"/>
    <w:rsid w:val="00483BF0"/>
    <w:rsid w:val="00485360"/>
    <w:rsid w:val="00485CBC"/>
    <w:rsid w:val="004A110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65ED"/>
    <w:rsid w:val="004D6FA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E20"/>
    <w:rsid w:val="00534421"/>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664AE"/>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4120"/>
    <w:rsid w:val="005B4A69"/>
    <w:rsid w:val="005B6A1E"/>
    <w:rsid w:val="005B702A"/>
    <w:rsid w:val="005C2559"/>
    <w:rsid w:val="005C31B2"/>
    <w:rsid w:val="005C4A87"/>
    <w:rsid w:val="005C5286"/>
    <w:rsid w:val="005C565A"/>
    <w:rsid w:val="005D0450"/>
    <w:rsid w:val="005D066B"/>
    <w:rsid w:val="005D13F9"/>
    <w:rsid w:val="005D17E9"/>
    <w:rsid w:val="005D2688"/>
    <w:rsid w:val="005D52B1"/>
    <w:rsid w:val="005E14D7"/>
    <w:rsid w:val="005E2938"/>
    <w:rsid w:val="005E2AB0"/>
    <w:rsid w:val="005E2B82"/>
    <w:rsid w:val="005E2FC6"/>
    <w:rsid w:val="005E3B08"/>
    <w:rsid w:val="005E6940"/>
    <w:rsid w:val="005E696D"/>
    <w:rsid w:val="005E7F23"/>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4CDD"/>
    <w:rsid w:val="00657DBB"/>
    <w:rsid w:val="00660CDD"/>
    <w:rsid w:val="006626DB"/>
    <w:rsid w:val="00665634"/>
    <w:rsid w:val="00667FD6"/>
    <w:rsid w:val="00670113"/>
    <w:rsid w:val="00671AE6"/>
    <w:rsid w:val="0067228D"/>
    <w:rsid w:val="006729A8"/>
    <w:rsid w:val="00674D49"/>
    <w:rsid w:val="0067690F"/>
    <w:rsid w:val="006805FA"/>
    <w:rsid w:val="00683015"/>
    <w:rsid w:val="00683D89"/>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5A56"/>
    <w:rsid w:val="006D61D9"/>
    <w:rsid w:val="006E24CE"/>
    <w:rsid w:val="006E310C"/>
    <w:rsid w:val="006E5391"/>
    <w:rsid w:val="006E581C"/>
    <w:rsid w:val="006E77B9"/>
    <w:rsid w:val="006E7A06"/>
    <w:rsid w:val="006F0EE3"/>
    <w:rsid w:val="006F3749"/>
    <w:rsid w:val="006F4362"/>
    <w:rsid w:val="006F4BBD"/>
    <w:rsid w:val="006F4CFC"/>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0F65"/>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7ED4"/>
    <w:rsid w:val="007806FD"/>
    <w:rsid w:val="007824F2"/>
    <w:rsid w:val="00786158"/>
    <w:rsid w:val="00786699"/>
    <w:rsid w:val="00791561"/>
    <w:rsid w:val="00792F6C"/>
    <w:rsid w:val="00793AAF"/>
    <w:rsid w:val="00793BE7"/>
    <w:rsid w:val="007977C7"/>
    <w:rsid w:val="007A16D0"/>
    <w:rsid w:val="007A2901"/>
    <w:rsid w:val="007A2A36"/>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6702"/>
    <w:rsid w:val="00806DE9"/>
    <w:rsid w:val="00807FC1"/>
    <w:rsid w:val="00810B4A"/>
    <w:rsid w:val="008155AA"/>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3D25"/>
    <w:rsid w:val="00845AAD"/>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FCA"/>
    <w:rsid w:val="00891AF4"/>
    <w:rsid w:val="00893B92"/>
    <w:rsid w:val="008946BA"/>
    <w:rsid w:val="0089704C"/>
    <w:rsid w:val="00897AC3"/>
    <w:rsid w:val="008A0778"/>
    <w:rsid w:val="008A2899"/>
    <w:rsid w:val="008A28EF"/>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D11"/>
    <w:rsid w:val="00982B1C"/>
    <w:rsid w:val="009830A6"/>
    <w:rsid w:val="009835C8"/>
    <w:rsid w:val="00984F40"/>
    <w:rsid w:val="00985DBE"/>
    <w:rsid w:val="00986DF3"/>
    <w:rsid w:val="00991E4B"/>
    <w:rsid w:val="0099452E"/>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E422E"/>
    <w:rsid w:val="009E623B"/>
    <w:rsid w:val="009E6A30"/>
    <w:rsid w:val="009E7CCE"/>
    <w:rsid w:val="009F015A"/>
    <w:rsid w:val="009F0A6F"/>
    <w:rsid w:val="009F5294"/>
    <w:rsid w:val="009F5F22"/>
    <w:rsid w:val="009F6392"/>
    <w:rsid w:val="00A002CB"/>
    <w:rsid w:val="00A008A4"/>
    <w:rsid w:val="00A025BF"/>
    <w:rsid w:val="00A04587"/>
    <w:rsid w:val="00A04929"/>
    <w:rsid w:val="00A05B45"/>
    <w:rsid w:val="00A06753"/>
    <w:rsid w:val="00A1004C"/>
    <w:rsid w:val="00A10EB4"/>
    <w:rsid w:val="00A139E3"/>
    <w:rsid w:val="00A14914"/>
    <w:rsid w:val="00A1520E"/>
    <w:rsid w:val="00A1703C"/>
    <w:rsid w:val="00A17BF2"/>
    <w:rsid w:val="00A209E0"/>
    <w:rsid w:val="00A21059"/>
    <w:rsid w:val="00A218A4"/>
    <w:rsid w:val="00A26011"/>
    <w:rsid w:val="00A265E8"/>
    <w:rsid w:val="00A307A6"/>
    <w:rsid w:val="00A31276"/>
    <w:rsid w:val="00A3414E"/>
    <w:rsid w:val="00A35086"/>
    <w:rsid w:val="00A352E6"/>
    <w:rsid w:val="00A41B9F"/>
    <w:rsid w:val="00A42BD2"/>
    <w:rsid w:val="00A43451"/>
    <w:rsid w:val="00A43616"/>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21D8"/>
    <w:rsid w:val="00AB5AF2"/>
    <w:rsid w:val="00AB7178"/>
    <w:rsid w:val="00AC0353"/>
    <w:rsid w:val="00AC1646"/>
    <w:rsid w:val="00AC174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4565"/>
    <w:rsid w:val="00AF45CE"/>
    <w:rsid w:val="00AF4630"/>
    <w:rsid w:val="00AF4944"/>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E20"/>
    <w:rsid w:val="00B901FD"/>
    <w:rsid w:val="00B90524"/>
    <w:rsid w:val="00B9565A"/>
    <w:rsid w:val="00B96263"/>
    <w:rsid w:val="00B967A2"/>
    <w:rsid w:val="00BA3CA2"/>
    <w:rsid w:val="00BA5789"/>
    <w:rsid w:val="00BA606E"/>
    <w:rsid w:val="00BB1A87"/>
    <w:rsid w:val="00BB584D"/>
    <w:rsid w:val="00BB696F"/>
    <w:rsid w:val="00BC007A"/>
    <w:rsid w:val="00BC13E4"/>
    <w:rsid w:val="00BC198E"/>
    <w:rsid w:val="00BC2B16"/>
    <w:rsid w:val="00BC323B"/>
    <w:rsid w:val="00BC32E7"/>
    <w:rsid w:val="00BC5878"/>
    <w:rsid w:val="00BC7FB7"/>
    <w:rsid w:val="00BD64C1"/>
    <w:rsid w:val="00BE6BC5"/>
    <w:rsid w:val="00BF1465"/>
    <w:rsid w:val="00BF673A"/>
    <w:rsid w:val="00BF684B"/>
    <w:rsid w:val="00C00D5E"/>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17B83"/>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3728"/>
    <w:rsid w:val="00C54813"/>
    <w:rsid w:val="00C54891"/>
    <w:rsid w:val="00C54BD9"/>
    <w:rsid w:val="00C55D54"/>
    <w:rsid w:val="00C55FE8"/>
    <w:rsid w:val="00C571D4"/>
    <w:rsid w:val="00C57AD7"/>
    <w:rsid w:val="00C60A65"/>
    <w:rsid w:val="00C616C5"/>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2670"/>
    <w:rsid w:val="00CB333F"/>
    <w:rsid w:val="00CB59B0"/>
    <w:rsid w:val="00CC147D"/>
    <w:rsid w:val="00CC2565"/>
    <w:rsid w:val="00CC29CB"/>
    <w:rsid w:val="00CC3D14"/>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1453"/>
    <w:rsid w:val="00D22141"/>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68A"/>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1B89"/>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C4D"/>
    <w:rsid w:val="00E26A34"/>
    <w:rsid w:val="00E3047A"/>
    <w:rsid w:val="00E31BFC"/>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60015"/>
    <w:rsid w:val="00E6287C"/>
    <w:rsid w:val="00E639DD"/>
    <w:rsid w:val="00E64F81"/>
    <w:rsid w:val="00E71877"/>
    <w:rsid w:val="00E721DA"/>
    <w:rsid w:val="00E72C06"/>
    <w:rsid w:val="00E72CCF"/>
    <w:rsid w:val="00E7390D"/>
    <w:rsid w:val="00E75282"/>
    <w:rsid w:val="00E752CC"/>
    <w:rsid w:val="00E76A2F"/>
    <w:rsid w:val="00E76B4A"/>
    <w:rsid w:val="00E76D50"/>
    <w:rsid w:val="00E808DC"/>
    <w:rsid w:val="00E80BF0"/>
    <w:rsid w:val="00E85D65"/>
    <w:rsid w:val="00E919F9"/>
    <w:rsid w:val="00E91BA1"/>
    <w:rsid w:val="00EA04A3"/>
    <w:rsid w:val="00EA0FE7"/>
    <w:rsid w:val="00EA12D7"/>
    <w:rsid w:val="00EA2803"/>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2D6D"/>
    <w:rsid w:val="00F840F6"/>
    <w:rsid w:val="00F858BA"/>
    <w:rsid w:val="00F871CD"/>
    <w:rsid w:val="00F87E46"/>
    <w:rsid w:val="00F92C2A"/>
    <w:rsid w:val="00F9424B"/>
    <w:rsid w:val="00FA0981"/>
    <w:rsid w:val="00FA185A"/>
    <w:rsid w:val="00FA2314"/>
    <w:rsid w:val="00FA5112"/>
    <w:rsid w:val="00FA562E"/>
    <w:rsid w:val="00FA7099"/>
    <w:rsid w:val="00FB06B1"/>
    <w:rsid w:val="00FB1F98"/>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CA23-790D-467B-8746-0FB3922E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1060</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Sophia Papadopoulou</cp:lastModifiedBy>
  <cp:revision>52</cp:revision>
  <cp:lastPrinted>2022-05-24T07:40:00Z</cp:lastPrinted>
  <dcterms:created xsi:type="dcterms:W3CDTF">2022-05-24T07:42:00Z</dcterms:created>
  <dcterms:modified xsi:type="dcterms:W3CDTF">2022-06-28T12:34:00Z</dcterms:modified>
</cp:coreProperties>
</file>