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5B" w:rsidRPr="00791598" w:rsidRDefault="007C4F3D" w:rsidP="00334087">
      <w:pPr>
        <w:jc w:val="center"/>
        <w:rPr>
          <w:rFonts w:ascii="Arial" w:hAnsi="Arial" w:cs="Arial"/>
          <w:b/>
          <w:sz w:val="24"/>
          <w:szCs w:val="24"/>
          <w:lang w:val="el-GR"/>
        </w:rPr>
      </w:pPr>
      <w:r w:rsidRPr="00791598">
        <w:rPr>
          <w:rFonts w:ascii="Arial" w:hAnsi="Arial" w:cs="Arial"/>
          <w:b/>
          <w:sz w:val="24"/>
          <w:szCs w:val="24"/>
          <w:lang w:val="el-GR"/>
        </w:rPr>
        <w:t>Οι περί Φ</w:t>
      </w:r>
      <w:r w:rsidR="000637BD" w:rsidRPr="00791598">
        <w:rPr>
          <w:rFonts w:ascii="Arial" w:hAnsi="Arial" w:cs="Arial"/>
          <w:b/>
          <w:sz w:val="24"/>
          <w:szCs w:val="24"/>
          <w:lang w:val="el-GR"/>
        </w:rPr>
        <w:t xml:space="preserve">ορολογίας του Εισοδήματος  </w:t>
      </w:r>
      <w:r w:rsidRPr="00791598">
        <w:rPr>
          <w:rFonts w:ascii="Arial" w:hAnsi="Arial" w:cs="Arial"/>
          <w:b/>
          <w:sz w:val="24"/>
          <w:szCs w:val="24"/>
          <w:lang w:val="el-GR"/>
        </w:rPr>
        <w:t>(</w:t>
      </w:r>
      <w:r w:rsidR="00B36DA8" w:rsidRPr="00791598">
        <w:rPr>
          <w:rFonts w:ascii="Arial" w:hAnsi="Arial" w:cs="Arial"/>
          <w:b/>
          <w:sz w:val="24"/>
          <w:szCs w:val="24"/>
          <w:lang w:val="el-GR"/>
        </w:rPr>
        <w:t xml:space="preserve">Φάκελος </w:t>
      </w:r>
      <w:r w:rsidR="000637BD" w:rsidRPr="00791598">
        <w:rPr>
          <w:rFonts w:ascii="Arial" w:hAnsi="Arial" w:cs="Arial"/>
          <w:b/>
          <w:sz w:val="24"/>
          <w:szCs w:val="24"/>
          <w:lang w:val="el-GR"/>
        </w:rPr>
        <w:t>Τεκμηρίωση</w:t>
      </w:r>
      <w:r w:rsidR="00B36DA8" w:rsidRPr="00791598">
        <w:rPr>
          <w:rFonts w:ascii="Arial" w:hAnsi="Arial" w:cs="Arial"/>
          <w:b/>
          <w:sz w:val="24"/>
          <w:szCs w:val="24"/>
          <w:lang w:val="el-GR"/>
        </w:rPr>
        <w:t>ς</w:t>
      </w:r>
      <w:r w:rsidR="000637BD" w:rsidRPr="00791598">
        <w:rPr>
          <w:rFonts w:ascii="Arial" w:hAnsi="Arial" w:cs="Arial"/>
          <w:b/>
          <w:sz w:val="24"/>
          <w:szCs w:val="24"/>
          <w:lang w:val="el-GR"/>
        </w:rPr>
        <w:t xml:space="preserve"> Τιμ</w:t>
      </w:r>
      <w:r w:rsidR="005D4F04" w:rsidRPr="00791598">
        <w:rPr>
          <w:rFonts w:ascii="Arial" w:hAnsi="Arial" w:cs="Arial"/>
          <w:b/>
          <w:sz w:val="24"/>
          <w:szCs w:val="24"/>
          <w:lang w:val="el-GR"/>
        </w:rPr>
        <w:t>ών</w:t>
      </w:r>
      <w:r w:rsidR="000637BD" w:rsidRPr="00791598">
        <w:rPr>
          <w:rFonts w:ascii="Arial" w:hAnsi="Arial" w:cs="Arial"/>
          <w:b/>
          <w:sz w:val="24"/>
          <w:szCs w:val="24"/>
          <w:lang w:val="el-GR"/>
        </w:rPr>
        <w:t xml:space="preserve"> </w:t>
      </w:r>
      <w:r w:rsidR="00EB1852" w:rsidRPr="00791598">
        <w:rPr>
          <w:rFonts w:ascii="Arial" w:hAnsi="Arial" w:cs="Arial"/>
          <w:b/>
          <w:sz w:val="24"/>
          <w:szCs w:val="24"/>
          <w:lang w:val="el-GR"/>
        </w:rPr>
        <w:t>Ενδοομιλικ</w:t>
      </w:r>
      <w:r w:rsidR="000637BD" w:rsidRPr="00791598">
        <w:rPr>
          <w:rFonts w:ascii="Arial" w:hAnsi="Arial" w:cs="Arial"/>
          <w:b/>
          <w:sz w:val="24"/>
          <w:szCs w:val="24"/>
          <w:lang w:val="el-GR"/>
        </w:rPr>
        <w:t>ών</w:t>
      </w:r>
      <w:r w:rsidR="00EB1852" w:rsidRPr="00791598">
        <w:rPr>
          <w:rFonts w:ascii="Arial" w:hAnsi="Arial" w:cs="Arial"/>
          <w:b/>
          <w:sz w:val="24"/>
          <w:szCs w:val="24"/>
          <w:lang w:val="el-GR"/>
        </w:rPr>
        <w:t xml:space="preserve"> Συναλλαγ</w:t>
      </w:r>
      <w:r w:rsidR="000637BD" w:rsidRPr="00791598">
        <w:rPr>
          <w:rFonts w:ascii="Arial" w:hAnsi="Arial" w:cs="Arial"/>
          <w:b/>
          <w:sz w:val="24"/>
          <w:szCs w:val="24"/>
          <w:lang w:val="el-GR"/>
        </w:rPr>
        <w:t>ών</w:t>
      </w:r>
      <w:r w:rsidR="00EB1852" w:rsidRPr="00791598">
        <w:rPr>
          <w:rFonts w:ascii="Arial" w:hAnsi="Arial" w:cs="Arial"/>
          <w:b/>
          <w:sz w:val="24"/>
          <w:szCs w:val="24"/>
          <w:lang w:val="el-GR"/>
        </w:rPr>
        <w:t xml:space="preserve"> και </w:t>
      </w:r>
      <w:r w:rsidR="000637BD" w:rsidRPr="00791598">
        <w:rPr>
          <w:rFonts w:ascii="Arial" w:hAnsi="Arial" w:cs="Arial"/>
          <w:b/>
          <w:sz w:val="24"/>
          <w:szCs w:val="24"/>
          <w:lang w:val="el-GR"/>
        </w:rPr>
        <w:t>Προέγκριση Μεθοδολογίας Ενδοομιλικής Τιμολόγησης</w:t>
      </w:r>
      <w:r w:rsidR="00C84D90" w:rsidRPr="00791598">
        <w:rPr>
          <w:rFonts w:ascii="Arial" w:hAnsi="Arial" w:cs="Arial"/>
          <w:b/>
          <w:sz w:val="24"/>
          <w:szCs w:val="24"/>
          <w:lang w:val="el-GR"/>
        </w:rPr>
        <w:t>)</w:t>
      </w:r>
      <w:r w:rsidR="00B91F5B" w:rsidRPr="00791598">
        <w:rPr>
          <w:rFonts w:ascii="Arial" w:hAnsi="Arial" w:cs="Arial"/>
          <w:b/>
          <w:sz w:val="24"/>
          <w:szCs w:val="24"/>
          <w:lang w:val="el-GR"/>
        </w:rPr>
        <w:t xml:space="preserve"> </w:t>
      </w:r>
      <w:r w:rsidR="00135546" w:rsidRPr="00791598">
        <w:rPr>
          <w:rFonts w:ascii="Arial" w:hAnsi="Arial" w:cs="Arial"/>
          <w:b/>
          <w:sz w:val="24"/>
          <w:szCs w:val="24"/>
          <w:lang w:val="el-GR"/>
        </w:rPr>
        <w:t>Κανονισμοί του 20</w:t>
      </w:r>
      <w:r w:rsidR="00B36DA8" w:rsidRPr="00791598">
        <w:rPr>
          <w:rFonts w:ascii="Arial" w:hAnsi="Arial" w:cs="Arial"/>
          <w:b/>
          <w:sz w:val="24"/>
          <w:szCs w:val="24"/>
          <w:lang w:val="el-GR"/>
        </w:rPr>
        <w:t>2</w:t>
      </w:r>
      <w:r w:rsidR="00FA7355">
        <w:rPr>
          <w:rFonts w:ascii="Arial" w:hAnsi="Arial" w:cs="Arial"/>
          <w:b/>
          <w:sz w:val="24"/>
          <w:szCs w:val="24"/>
          <w:lang w:val="el-GR"/>
        </w:rPr>
        <w:t>1</w:t>
      </w:r>
    </w:p>
    <w:p w:rsidR="007C4F3D" w:rsidRPr="00791598" w:rsidRDefault="00EB1852" w:rsidP="00334087">
      <w:pPr>
        <w:jc w:val="center"/>
        <w:rPr>
          <w:rFonts w:ascii="Arial" w:hAnsi="Arial" w:cs="Arial"/>
          <w:b/>
          <w:sz w:val="24"/>
          <w:szCs w:val="24"/>
          <w:lang w:val="el-GR"/>
        </w:rPr>
      </w:pPr>
      <w:r w:rsidRPr="00791598">
        <w:rPr>
          <w:rFonts w:ascii="Arial" w:hAnsi="Arial" w:cs="Arial"/>
          <w:b/>
          <w:sz w:val="24"/>
          <w:szCs w:val="24"/>
          <w:lang w:val="el-GR"/>
        </w:rPr>
        <w:t>Ο ΠΕΡΙ ΦΟΡΟΛΟΓΙΑΣ</w:t>
      </w:r>
      <w:r w:rsidR="000D4E8C" w:rsidRPr="00791598">
        <w:rPr>
          <w:rFonts w:ascii="Arial" w:hAnsi="Arial" w:cs="Arial"/>
          <w:b/>
          <w:sz w:val="24"/>
          <w:szCs w:val="24"/>
          <w:lang w:val="el-GR"/>
        </w:rPr>
        <w:t xml:space="preserve"> ΤΟΥ</w:t>
      </w:r>
      <w:r w:rsidRPr="00791598">
        <w:rPr>
          <w:rFonts w:ascii="Arial" w:hAnsi="Arial" w:cs="Arial"/>
          <w:b/>
          <w:sz w:val="24"/>
          <w:szCs w:val="24"/>
          <w:lang w:val="el-GR"/>
        </w:rPr>
        <w:t xml:space="preserve"> ΕΙΣΟΔΗΜΑΤΟΣ ΝΟΜΟΣ</w:t>
      </w:r>
    </w:p>
    <w:p w:rsidR="007C4F3D" w:rsidRPr="00791598" w:rsidRDefault="007C4F3D" w:rsidP="00791598">
      <w:pPr>
        <w:ind w:left="1440" w:firstLine="720"/>
        <w:rPr>
          <w:rFonts w:ascii="Arial" w:hAnsi="Arial" w:cs="Arial"/>
          <w:sz w:val="24"/>
          <w:szCs w:val="24"/>
          <w:lang w:val="el-GR"/>
        </w:rPr>
      </w:pPr>
      <w:r w:rsidRPr="00791598">
        <w:rPr>
          <w:rFonts w:ascii="Arial" w:hAnsi="Arial" w:cs="Arial"/>
          <w:sz w:val="24"/>
          <w:szCs w:val="24"/>
          <w:lang w:val="el-GR"/>
        </w:rPr>
        <w:t>Κανονισμο</w:t>
      </w:r>
      <w:r w:rsidR="00FB5DA2" w:rsidRPr="00791598">
        <w:rPr>
          <w:rFonts w:ascii="Arial" w:hAnsi="Arial" w:cs="Arial"/>
          <w:sz w:val="24"/>
          <w:szCs w:val="24"/>
          <w:lang w:val="el-GR"/>
        </w:rPr>
        <w:t>ί</w:t>
      </w:r>
      <w:r w:rsidRPr="00791598">
        <w:rPr>
          <w:rFonts w:ascii="Arial" w:hAnsi="Arial" w:cs="Arial"/>
          <w:sz w:val="24"/>
          <w:szCs w:val="24"/>
          <w:lang w:val="el-GR"/>
        </w:rPr>
        <w:t xml:space="preserve"> με βάση τ</w:t>
      </w:r>
      <w:r w:rsidR="00603AEF">
        <w:rPr>
          <w:rFonts w:ascii="Arial" w:hAnsi="Arial" w:cs="Arial"/>
          <w:sz w:val="24"/>
          <w:szCs w:val="24"/>
          <w:lang w:val="el-GR"/>
        </w:rPr>
        <w:t>ο ά</w:t>
      </w:r>
      <w:r w:rsidR="00EB1852" w:rsidRPr="00791598">
        <w:rPr>
          <w:rFonts w:ascii="Arial" w:hAnsi="Arial" w:cs="Arial"/>
          <w:sz w:val="24"/>
          <w:szCs w:val="24"/>
          <w:lang w:val="el-GR"/>
        </w:rPr>
        <w:t>ρθρο 33</w:t>
      </w:r>
      <w:r w:rsidR="00847625" w:rsidRPr="00791598">
        <w:rPr>
          <w:rFonts w:ascii="Arial" w:hAnsi="Arial" w:cs="Arial"/>
          <w:sz w:val="24"/>
          <w:szCs w:val="24"/>
          <w:lang w:val="el-GR"/>
        </w:rPr>
        <w:t>(</w:t>
      </w:r>
      <w:r w:rsidR="00941D73" w:rsidRPr="00791598">
        <w:rPr>
          <w:rFonts w:ascii="Arial" w:hAnsi="Arial" w:cs="Arial"/>
          <w:sz w:val="24"/>
          <w:szCs w:val="24"/>
          <w:lang w:val="el-GR"/>
        </w:rPr>
        <w:t>7</w:t>
      </w:r>
      <w:r w:rsidR="00847625" w:rsidRPr="00791598">
        <w:rPr>
          <w:rFonts w:ascii="Arial" w:hAnsi="Arial" w:cs="Arial"/>
          <w:sz w:val="24"/>
          <w:szCs w:val="24"/>
          <w:lang w:val="el-GR"/>
        </w:rPr>
        <w:t>)</w:t>
      </w:r>
      <w:r w:rsidR="00941D73" w:rsidRPr="00791598">
        <w:rPr>
          <w:rFonts w:ascii="Arial" w:hAnsi="Arial" w:cs="Arial"/>
          <w:sz w:val="24"/>
          <w:szCs w:val="24"/>
          <w:lang w:val="el-GR"/>
        </w:rPr>
        <w:t xml:space="preserve"> και 33</w:t>
      </w:r>
      <w:r w:rsidR="00FA7355">
        <w:rPr>
          <w:rFonts w:ascii="Arial" w:hAnsi="Arial" w:cs="Arial"/>
          <w:sz w:val="24"/>
          <w:szCs w:val="24"/>
          <w:lang w:val="el-GR"/>
        </w:rPr>
        <w:t>Γ</w:t>
      </w:r>
      <w:r w:rsidR="00941D73" w:rsidRPr="00791598">
        <w:rPr>
          <w:rFonts w:ascii="Arial" w:hAnsi="Arial" w:cs="Arial"/>
          <w:sz w:val="24"/>
          <w:szCs w:val="24"/>
          <w:lang w:val="el-GR"/>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0"/>
        <w:gridCol w:w="7063"/>
      </w:tblGrid>
      <w:tr w:rsidR="005B70BA" w:rsidRPr="00532D8A" w:rsidTr="005B70BA">
        <w:tc>
          <w:tcPr>
            <w:tcW w:w="1998" w:type="dxa"/>
          </w:tcPr>
          <w:p w:rsidR="005B70BA" w:rsidRPr="0070650F" w:rsidRDefault="005B70BA" w:rsidP="00334087">
            <w:pPr>
              <w:rPr>
                <w:rFonts w:ascii="Arial" w:hAnsi="Arial" w:cs="Arial"/>
                <w:sz w:val="20"/>
                <w:szCs w:val="20"/>
                <w:lang w:val="el-GR"/>
              </w:rPr>
            </w:pPr>
          </w:p>
        </w:tc>
        <w:tc>
          <w:tcPr>
            <w:tcW w:w="7783" w:type="dxa"/>
            <w:gridSpan w:val="2"/>
          </w:tcPr>
          <w:p w:rsidR="005B70BA" w:rsidRPr="0070650F" w:rsidRDefault="005B70BA" w:rsidP="0070650F">
            <w:pPr>
              <w:spacing w:line="360" w:lineRule="auto"/>
              <w:jc w:val="both"/>
              <w:rPr>
                <w:rFonts w:ascii="Arial" w:hAnsi="Arial" w:cs="Arial"/>
                <w:sz w:val="24"/>
                <w:szCs w:val="24"/>
                <w:lang w:val="el-GR"/>
              </w:rPr>
            </w:pPr>
          </w:p>
        </w:tc>
      </w:tr>
      <w:tr w:rsidR="007C4F3D" w:rsidRPr="00532D8A" w:rsidTr="005B70BA">
        <w:tc>
          <w:tcPr>
            <w:tcW w:w="1998" w:type="dxa"/>
          </w:tcPr>
          <w:p w:rsidR="007C4F3D" w:rsidRPr="0070650F" w:rsidRDefault="007C4F3D" w:rsidP="00334087">
            <w:pPr>
              <w:rPr>
                <w:rFonts w:ascii="Arial" w:hAnsi="Arial" w:cs="Arial"/>
                <w:sz w:val="20"/>
                <w:szCs w:val="20"/>
                <w:lang w:val="el-GR"/>
              </w:rPr>
            </w:pPr>
          </w:p>
          <w:p w:rsidR="000652E4" w:rsidRDefault="000652E4" w:rsidP="0070650F">
            <w:pPr>
              <w:spacing w:line="360" w:lineRule="auto"/>
              <w:jc w:val="right"/>
              <w:rPr>
                <w:rFonts w:ascii="Arial" w:hAnsi="Arial" w:cs="Arial"/>
                <w:sz w:val="20"/>
                <w:szCs w:val="20"/>
                <w:lang w:val="el-GR"/>
              </w:rPr>
            </w:pPr>
          </w:p>
          <w:p w:rsidR="000652E4" w:rsidRDefault="000652E4" w:rsidP="0070650F">
            <w:pPr>
              <w:spacing w:line="360" w:lineRule="auto"/>
              <w:jc w:val="right"/>
              <w:rPr>
                <w:rFonts w:ascii="Arial" w:hAnsi="Arial" w:cs="Arial"/>
                <w:sz w:val="20"/>
                <w:szCs w:val="20"/>
                <w:lang w:val="el-GR"/>
              </w:rPr>
            </w:pP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118(</w:t>
            </w:r>
            <w:r w:rsidRPr="0070650F">
              <w:rPr>
                <w:rFonts w:ascii="Arial" w:hAnsi="Arial" w:cs="Arial"/>
                <w:sz w:val="20"/>
                <w:szCs w:val="20"/>
              </w:rPr>
              <w:t>I</w:t>
            </w:r>
            <w:r w:rsidRPr="0070650F">
              <w:rPr>
                <w:rFonts w:ascii="Arial" w:hAnsi="Arial" w:cs="Arial"/>
                <w:sz w:val="20"/>
                <w:szCs w:val="20"/>
                <w:lang w:val="el-GR"/>
              </w:rPr>
              <w:t>) του 2002</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230(Ι) του 2002</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162(Ι) του 2003</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195(Ι) του 2004</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92(Ι) του 2005</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113(Ι) του 2006</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80(Ι) του 2007</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138(Ι) του 2007</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32(</w:t>
            </w:r>
            <w:r w:rsidRPr="0070650F">
              <w:rPr>
                <w:rFonts w:ascii="Arial" w:hAnsi="Arial" w:cs="Arial"/>
                <w:sz w:val="20"/>
                <w:szCs w:val="20"/>
              </w:rPr>
              <w:t>I</w:t>
            </w:r>
            <w:r w:rsidRPr="0070650F">
              <w:rPr>
                <w:rFonts w:ascii="Arial" w:hAnsi="Arial" w:cs="Arial"/>
                <w:sz w:val="20"/>
                <w:szCs w:val="20"/>
                <w:lang w:val="el-GR"/>
              </w:rPr>
              <w:t>) του 2009</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45(Ι) του 2009</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74(Ι) του 2009</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110(Ι) του 2009</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41(Ι) του 2010</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133(Ι) του 2010</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116(Ι) του 2011</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197(Ι) του 2011</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102(Ι) του 2012</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188(Ι) του 2012</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19(Ι) του 2013</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26(Ι) του 2013</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27(Ι) του 2013</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17(Ι) του 2014</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115(Ι) του 2014</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134(Ι) του 2014</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170(Ι) του 2014</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116(Ι) του 2015</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187(Ι) του 2015</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212(Ι) του 2015</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lastRenderedPageBreak/>
              <w:t>212(Ι) του 2015</w:t>
            </w:r>
          </w:p>
          <w:p w:rsidR="00847625" w:rsidRPr="0070650F" w:rsidRDefault="00847625" w:rsidP="0070650F">
            <w:pPr>
              <w:spacing w:line="360" w:lineRule="auto"/>
              <w:jc w:val="right"/>
              <w:rPr>
                <w:rFonts w:ascii="Arial" w:hAnsi="Arial" w:cs="Arial"/>
                <w:sz w:val="20"/>
                <w:szCs w:val="20"/>
                <w:lang w:val="el-GR"/>
              </w:rPr>
            </w:pPr>
            <w:r w:rsidRPr="0070650F">
              <w:rPr>
                <w:rFonts w:ascii="Arial" w:hAnsi="Arial" w:cs="Arial"/>
                <w:sz w:val="20"/>
                <w:szCs w:val="20"/>
                <w:lang w:val="el-GR"/>
              </w:rPr>
              <w:t>110(Ι) του 2016</w:t>
            </w:r>
          </w:p>
          <w:p w:rsidR="00847625" w:rsidRPr="007E4632" w:rsidRDefault="00847625" w:rsidP="0070650F">
            <w:pPr>
              <w:spacing w:line="360" w:lineRule="auto"/>
              <w:jc w:val="right"/>
              <w:rPr>
                <w:rFonts w:ascii="Arial" w:hAnsi="Arial" w:cs="Arial"/>
                <w:sz w:val="20"/>
                <w:szCs w:val="20"/>
                <w:lang w:val="el-GR"/>
              </w:rPr>
            </w:pPr>
            <w:r w:rsidRPr="007E4632">
              <w:rPr>
                <w:rFonts w:ascii="Arial" w:hAnsi="Arial" w:cs="Arial"/>
                <w:sz w:val="20"/>
                <w:szCs w:val="20"/>
                <w:lang w:val="el-GR"/>
              </w:rPr>
              <w:t>135(</w:t>
            </w:r>
            <w:r w:rsidRPr="0070650F">
              <w:rPr>
                <w:rFonts w:ascii="Arial" w:hAnsi="Arial" w:cs="Arial"/>
                <w:sz w:val="20"/>
                <w:szCs w:val="20"/>
                <w:lang w:val="el-GR"/>
              </w:rPr>
              <w:t>Ι</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hAnsi="Arial" w:cs="Arial"/>
                <w:sz w:val="20"/>
                <w:szCs w:val="20"/>
                <w:lang w:val="el-GR"/>
              </w:rPr>
              <w:t xml:space="preserve"> 2016</w:t>
            </w:r>
          </w:p>
          <w:p w:rsidR="00297258" w:rsidRPr="007E4632" w:rsidRDefault="00847625" w:rsidP="000652E4">
            <w:pPr>
              <w:spacing w:line="360" w:lineRule="auto"/>
              <w:jc w:val="right"/>
              <w:rPr>
                <w:rFonts w:ascii="Arial" w:hAnsi="Arial" w:cs="Arial"/>
                <w:sz w:val="20"/>
                <w:szCs w:val="20"/>
                <w:lang w:val="el-GR"/>
              </w:rPr>
            </w:pPr>
            <w:r w:rsidRPr="007E4632">
              <w:rPr>
                <w:rFonts w:ascii="Arial" w:hAnsi="Arial" w:cs="Arial"/>
                <w:sz w:val="20"/>
                <w:szCs w:val="20"/>
                <w:lang w:val="el-GR"/>
              </w:rPr>
              <w:t xml:space="preserve"> 119(</w:t>
            </w:r>
            <w:r w:rsidRPr="0070650F">
              <w:rPr>
                <w:rFonts w:ascii="Arial" w:hAnsi="Arial" w:cs="Arial"/>
                <w:sz w:val="20"/>
                <w:szCs w:val="20"/>
                <w:lang w:val="el-GR"/>
              </w:rPr>
              <w:t>Ι</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hAnsi="Arial" w:cs="Arial"/>
                <w:sz w:val="20"/>
                <w:szCs w:val="20"/>
                <w:lang w:val="el-GR"/>
              </w:rPr>
              <w:t xml:space="preserve"> 2017</w:t>
            </w:r>
          </w:p>
          <w:p w:rsidR="00297258" w:rsidRPr="007E4632" w:rsidRDefault="0070650F" w:rsidP="000652E4">
            <w:pPr>
              <w:shd w:val="clear" w:color="auto" w:fill="FAFAFA"/>
              <w:spacing w:line="360" w:lineRule="auto"/>
              <w:ind w:left="360"/>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134(</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 xml:space="preserve">) </w:t>
            </w:r>
            <w:r>
              <w:rPr>
                <w:rFonts w:ascii="Arial" w:eastAsia="Times New Roman" w:hAnsi="Arial" w:cs="Arial"/>
                <w:sz w:val="20"/>
                <w:szCs w:val="20"/>
                <w:lang w:val="el-GR" w:eastAsia="el-GR"/>
              </w:rPr>
              <w:t>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2017 </w:t>
            </w:r>
          </w:p>
          <w:p w:rsidR="00297258" w:rsidRPr="007E4632" w:rsidRDefault="0070650F" w:rsidP="000652E4">
            <w:pPr>
              <w:shd w:val="clear" w:color="auto" w:fill="FAFAFA"/>
              <w:spacing w:line="360" w:lineRule="auto"/>
              <w:ind w:left="360"/>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165(</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 xml:space="preserve">) </w:t>
            </w:r>
            <w:r w:rsidR="000652E4" w:rsidRPr="0070650F">
              <w:rPr>
                <w:rFonts w:ascii="Arial" w:hAnsi="Arial" w:cs="Arial"/>
                <w:sz w:val="20"/>
                <w:szCs w:val="20"/>
                <w:lang w:val="el-GR"/>
              </w:rPr>
              <w:t>του</w:t>
            </w:r>
            <w:r w:rsidR="000652E4"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2017 </w:t>
            </w:r>
          </w:p>
          <w:p w:rsidR="00297258" w:rsidRPr="007E4632" w:rsidRDefault="0070650F" w:rsidP="000652E4">
            <w:pPr>
              <w:shd w:val="clear" w:color="auto" w:fill="FAFAFA"/>
              <w:spacing w:line="360" w:lineRule="auto"/>
              <w:ind w:left="360"/>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51(</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 xml:space="preserve">) </w:t>
            </w:r>
            <w:r w:rsidR="000652E4" w:rsidRPr="0070650F">
              <w:rPr>
                <w:rFonts w:ascii="Arial" w:hAnsi="Arial" w:cs="Arial"/>
                <w:sz w:val="20"/>
                <w:szCs w:val="20"/>
                <w:lang w:val="el-GR"/>
              </w:rPr>
              <w:t>του</w:t>
            </w:r>
            <w:r w:rsidR="000652E4"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2018 </w:t>
            </w:r>
          </w:p>
          <w:p w:rsidR="00297258" w:rsidRPr="007E4632" w:rsidRDefault="0070650F" w:rsidP="000652E4">
            <w:pPr>
              <w:shd w:val="clear" w:color="auto" w:fill="FAFAFA"/>
              <w:spacing w:line="360" w:lineRule="auto"/>
              <w:ind w:left="360"/>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96(</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000652E4" w:rsidRPr="0070650F">
              <w:rPr>
                <w:rFonts w:ascii="Arial" w:hAnsi="Arial" w:cs="Arial"/>
                <w:sz w:val="20"/>
                <w:szCs w:val="20"/>
                <w:lang w:val="el-GR"/>
              </w:rPr>
              <w:t xml:space="preserve"> 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2018 </w:t>
            </w:r>
          </w:p>
          <w:p w:rsidR="00297258" w:rsidRPr="007E4632" w:rsidRDefault="0070650F" w:rsidP="000652E4">
            <w:pPr>
              <w:shd w:val="clear" w:color="auto" w:fill="FAFAFA"/>
              <w:spacing w:line="360" w:lineRule="auto"/>
              <w:ind w:left="360"/>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122(</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 xml:space="preserve">) </w:t>
            </w:r>
            <w:r w:rsidR="000652E4" w:rsidRPr="0070650F">
              <w:rPr>
                <w:rFonts w:ascii="Arial" w:hAnsi="Arial" w:cs="Arial"/>
                <w:sz w:val="20"/>
                <w:szCs w:val="20"/>
                <w:lang w:val="el-GR"/>
              </w:rPr>
              <w:t>του</w:t>
            </w:r>
            <w:r w:rsidR="000652E4"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2018 </w:t>
            </w:r>
          </w:p>
          <w:p w:rsidR="00297258" w:rsidRPr="007E4632" w:rsidRDefault="0070650F" w:rsidP="000652E4">
            <w:pPr>
              <w:shd w:val="clear" w:color="auto" w:fill="FAFAFA"/>
              <w:spacing w:line="360" w:lineRule="auto"/>
              <w:ind w:left="360"/>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139(</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2018 </w:t>
            </w:r>
          </w:p>
          <w:p w:rsidR="00297258" w:rsidRPr="007E4632" w:rsidRDefault="0070650F" w:rsidP="000652E4">
            <w:pPr>
              <w:shd w:val="clear" w:color="auto" w:fill="FAFAFA"/>
              <w:spacing w:line="360" w:lineRule="auto"/>
              <w:ind w:left="360"/>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27(</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2019 </w:t>
            </w:r>
          </w:p>
          <w:p w:rsidR="00297258" w:rsidRPr="007E4632" w:rsidRDefault="0070650F"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28(</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2019 </w:t>
            </w:r>
          </w:p>
          <w:p w:rsidR="00297258" w:rsidRPr="007E4632" w:rsidRDefault="0070650F"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63(</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2019 </w:t>
            </w:r>
          </w:p>
          <w:p w:rsidR="00297258" w:rsidRPr="007E4632" w:rsidRDefault="000652E4"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151(</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2019 </w:t>
            </w:r>
          </w:p>
          <w:p w:rsidR="00297258" w:rsidRPr="007E4632" w:rsidRDefault="000652E4"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152(</w:t>
            </w:r>
            <w:r>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97258" w:rsidRPr="007E4632">
              <w:rPr>
                <w:rFonts w:ascii="Arial" w:eastAsia="Times New Roman" w:hAnsi="Arial" w:cs="Arial"/>
                <w:sz w:val="20"/>
                <w:szCs w:val="20"/>
                <w:lang w:val="el-GR" w:eastAsia="el-GR"/>
              </w:rPr>
              <w:t xml:space="preserve">2019 </w:t>
            </w:r>
          </w:p>
          <w:p w:rsidR="007C4F3D" w:rsidRPr="0070650F" w:rsidRDefault="000652E4" w:rsidP="005B70BA">
            <w:pPr>
              <w:shd w:val="clear" w:color="auto" w:fill="FAFAFA"/>
              <w:spacing w:line="36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 xml:space="preserve">173(I) </w:t>
            </w:r>
            <w:r w:rsidRPr="0070650F">
              <w:rPr>
                <w:rFonts w:ascii="Arial" w:hAnsi="Arial" w:cs="Arial"/>
                <w:sz w:val="20"/>
                <w:szCs w:val="20"/>
                <w:lang w:val="el-GR"/>
              </w:rPr>
              <w:t>του</w:t>
            </w:r>
            <w:r w:rsidRPr="0070650F">
              <w:rPr>
                <w:rFonts w:ascii="Arial" w:eastAsia="Times New Roman" w:hAnsi="Arial" w:cs="Arial"/>
                <w:sz w:val="20"/>
                <w:szCs w:val="20"/>
                <w:lang w:eastAsia="el-GR"/>
              </w:rPr>
              <w:t xml:space="preserve"> </w:t>
            </w:r>
            <w:r w:rsidR="00297258" w:rsidRPr="0070650F">
              <w:rPr>
                <w:rFonts w:ascii="Arial" w:eastAsia="Times New Roman" w:hAnsi="Arial" w:cs="Arial"/>
                <w:sz w:val="20"/>
                <w:szCs w:val="20"/>
                <w:lang w:eastAsia="el-GR"/>
              </w:rPr>
              <w:t>2019</w:t>
            </w:r>
          </w:p>
          <w:p w:rsidR="007D47A3" w:rsidRPr="0070650F" w:rsidRDefault="000652E4" w:rsidP="005B70BA">
            <w:pPr>
              <w:pStyle w:val="toc-instrument"/>
              <w:spacing w:before="0" w:beforeAutospacing="0" w:after="0" w:afterAutospacing="0" w:line="360" w:lineRule="auto"/>
              <w:jc w:val="right"/>
              <w:rPr>
                <w:rFonts w:ascii="Arial" w:hAnsi="Arial" w:cs="Arial"/>
                <w:color w:val="000000"/>
                <w:sz w:val="20"/>
                <w:szCs w:val="20"/>
              </w:rPr>
            </w:pPr>
            <w:r>
              <w:rPr>
                <w:rStyle w:val="toc-instrument-enum"/>
                <w:rFonts w:ascii="Arial" w:hAnsi="Arial" w:cs="Arial"/>
                <w:color w:val="000000"/>
                <w:sz w:val="20"/>
                <w:szCs w:val="20"/>
              </w:rPr>
              <w:t xml:space="preserve">45(I) </w:t>
            </w:r>
            <w:r w:rsidRPr="0070650F">
              <w:rPr>
                <w:rFonts w:ascii="Arial" w:hAnsi="Arial" w:cs="Arial"/>
                <w:sz w:val="20"/>
                <w:szCs w:val="20"/>
                <w:lang w:val="el-GR"/>
              </w:rPr>
              <w:t>του</w:t>
            </w:r>
            <w:r w:rsidRPr="0070650F">
              <w:rPr>
                <w:rStyle w:val="toc-instrument-enum"/>
                <w:rFonts w:ascii="Arial" w:hAnsi="Arial" w:cs="Arial"/>
                <w:color w:val="000000"/>
                <w:sz w:val="20"/>
                <w:szCs w:val="20"/>
              </w:rPr>
              <w:t xml:space="preserve"> </w:t>
            </w:r>
            <w:r w:rsidR="007D47A3" w:rsidRPr="0070650F">
              <w:rPr>
                <w:rStyle w:val="toc-instrument-enum"/>
                <w:rFonts w:ascii="Arial" w:hAnsi="Arial" w:cs="Arial"/>
                <w:color w:val="000000"/>
                <w:sz w:val="20"/>
                <w:szCs w:val="20"/>
              </w:rPr>
              <w:t>2020</w:t>
            </w:r>
          </w:p>
          <w:p w:rsidR="007D47A3" w:rsidRPr="0070650F" w:rsidRDefault="000652E4" w:rsidP="005B70BA">
            <w:pPr>
              <w:pStyle w:val="toc-instrument"/>
              <w:spacing w:before="0" w:beforeAutospacing="0" w:after="0" w:afterAutospacing="0" w:line="360" w:lineRule="auto"/>
              <w:jc w:val="right"/>
              <w:rPr>
                <w:rFonts w:ascii="Arial" w:hAnsi="Arial" w:cs="Arial"/>
                <w:color w:val="000000"/>
                <w:sz w:val="20"/>
                <w:szCs w:val="20"/>
              </w:rPr>
            </w:pPr>
            <w:r>
              <w:rPr>
                <w:rStyle w:val="toc-instrument-enum"/>
                <w:rFonts w:ascii="Arial" w:hAnsi="Arial" w:cs="Arial"/>
                <w:color w:val="000000"/>
                <w:sz w:val="20"/>
                <w:szCs w:val="20"/>
              </w:rPr>
              <w:t xml:space="preserve">58(I) </w:t>
            </w:r>
            <w:r w:rsidRPr="0070650F">
              <w:rPr>
                <w:rFonts w:ascii="Arial" w:hAnsi="Arial" w:cs="Arial"/>
                <w:sz w:val="20"/>
                <w:szCs w:val="20"/>
                <w:lang w:val="el-GR"/>
              </w:rPr>
              <w:t>του</w:t>
            </w:r>
            <w:r w:rsidRPr="0070650F">
              <w:rPr>
                <w:rStyle w:val="toc-instrument-enum"/>
                <w:rFonts w:ascii="Arial" w:hAnsi="Arial" w:cs="Arial"/>
                <w:color w:val="000000"/>
                <w:sz w:val="20"/>
                <w:szCs w:val="20"/>
              </w:rPr>
              <w:t xml:space="preserve"> </w:t>
            </w:r>
            <w:r w:rsidR="007D47A3" w:rsidRPr="0070650F">
              <w:rPr>
                <w:rStyle w:val="toc-instrument-enum"/>
                <w:rFonts w:ascii="Arial" w:hAnsi="Arial" w:cs="Arial"/>
                <w:color w:val="000000"/>
                <w:sz w:val="20"/>
                <w:szCs w:val="20"/>
              </w:rPr>
              <w:t>2020</w:t>
            </w:r>
          </w:p>
          <w:p w:rsidR="007D47A3" w:rsidRPr="0070650F" w:rsidRDefault="000652E4" w:rsidP="005B70BA">
            <w:pPr>
              <w:pStyle w:val="toc-instrument"/>
              <w:spacing w:before="0" w:beforeAutospacing="0" w:after="0" w:afterAutospacing="0" w:line="360" w:lineRule="auto"/>
              <w:jc w:val="right"/>
              <w:rPr>
                <w:rFonts w:ascii="Arial" w:hAnsi="Arial" w:cs="Arial"/>
                <w:color w:val="000000"/>
                <w:sz w:val="20"/>
                <w:szCs w:val="20"/>
              </w:rPr>
            </w:pPr>
            <w:r>
              <w:rPr>
                <w:rStyle w:val="toc-instrument-enum"/>
                <w:rFonts w:ascii="Arial" w:hAnsi="Arial" w:cs="Arial"/>
                <w:color w:val="000000"/>
                <w:sz w:val="20"/>
                <w:szCs w:val="20"/>
              </w:rPr>
              <w:t xml:space="preserve">66(I) </w:t>
            </w:r>
            <w:r w:rsidRPr="0070650F">
              <w:rPr>
                <w:rFonts w:ascii="Arial" w:hAnsi="Arial" w:cs="Arial"/>
                <w:sz w:val="20"/>
                <w:szCs w:val="20"/>
                <w:lang w:val="el-GR"/>
              </w:rPr>
              <w:t>του</w:t>
            </w:r>
            <w:r w:rsidRPr="0070650F">
              <w:rPr>
                <w:rStyle w:val="toc-instrument-enum"/>
                <w:rFonts w:ascii="Arial" w:hAnsi="Arial" w:cs="Arial"/>
                <w:color w:val="000000"/>
                <w:sz w:val="20"/>
                <w:szCs w:val="20"/>
              </w:rPr>
              <w:t xml:space="preserve"> </w:t>
            </w:r>
            <w:r w:rsidR="007D47A3" w:rsidRPr="0070650F">
              <w:rPr>
                <w:rStyle w:val="toc-instrument-enum"/>
                <w:rFonts w:ascii="Arial" w:hAnsi="Arial" w:cs="Arial"/>
                <w:color w:val="000000"/>
                <w:sz w:val="20"/>
                <w:szCs w:val="20"/>
              </w:rPr>
              <w:t>2020</w:t>
            </w:r>
          </w:p>
          <w:p w:rsidR="000E591E" w:rsidRPr="0070650F" w:rsidRDefault="000652E4" w:rsidP="005B70BA">
            <w:pPr>
              <w:pStyle w:val="toc-instrument"/>
              <w:spacing w:before="0" w:beforeAutospacing="0" w:after="0" w:afterAutospacing="0"/>
              <w:jc w:val="right"/>
              <w:rPr>
                <w:rFonts w:ascii="Arial" w:hAnsi="Arial" w:cs="Arial"/>
                <w:sz w:val="20"/>
                <w:szCs w:val="20"/>
              </w:rPr>
            </w:pPr>
            <w:r>
              <w:rPr>
                <w:rStyle w:val="toc-instrument-enum"/>
                <w:rFonts w:ascii="Arial" w:hAnsi="Arial" w:cs="Arial"/>
                <w:color w:val="000000"/>
                <w:sz w:val="20"/>
                <w:szCs w:val="20"/>
              </w:rPr>
              <w:t xml:space="preserve">80(I) </w:t>
            </w:r>
            <w:r w:rsidRPr="0070650F">
              <w:rPr>
                <w:rFonts w:ascii="Arial" w:hAnsi="Arial" w:cs="Arial"/>
                <w:sz w:val="20"/>
                <w:szCs w:val="20"/>
                <w:lang w:val="el-GR"/>
              </w:rPr>
              <w:t>του</w:t>
            </w:r>
            <w:r w:rsidRPr="0070650F">
              <w:rPr>
                <w:rStyle w:val="toc-instrument-enum"/>
                <w:rFonts w:ascii="Arial" w:hAnsi="Arial" w:cs="Arial"/>
                <w:color w:val="000000"/>
                <w:sz w:val="20"/>
                <w:szCs w:val="20"/>
              </w:rPr>
              <w:t xml:space="preserve"> </w:t>
            </w:r>
            <w:r w:rsidR="007D47A3" w:rsidRPr="0070650F">
              <w:rPr>
                <w:rStyle w:val="toc-instrument-enum"/>
                <w:rFonts w:ascii="Arial" w:hAnsi="Arial" w:cs="Arial"/>
                <w:color w:val="000000"/>
                <w:sz w:val="20"/>
                <w:szCs w:val="20"/>
              </w:rPr>
              <w:t>2020</w:t>
            </w:r>
            <w:r>
              <w:rPr>
                <w:rStyle w:val="toc-instrument-enum"/>
                <w:rFonts w:ascii="Arial" w:hAnsi="Arial" w:cs="Arial"/>
                <w:color w:val="000000"/>
                <w:sz w:val="20"/>
                <w:szCs w:val="20"/>
                <w:lang w:val="el-GR"/>
              </w:rPr>
              <w:t>.</w:t>
            </w:r>
          </w:p>
        </w:tc>
        <w:tc>
          <w:tcPr>
            <w:tcW w:w="7783" w:type="dxa"/>
            <w:gridSpan w:val="2"/>
          </w:tcPr>
          <w:p w:rsidR="0032282A" w:rsidRPr="0070650F" w:rsidRDefault="007C4F3D" w:rsidP="0070650F">
            <w:pPr>
              <w:spacing w:line="360" w:lineRule="auto"/>
              <w:jc w:val="both"/>
              <w:rPr>
                <w:rFonts w:ascii="Arial" w:hAnsi="Arial" w:cs="Arial"/>
                <w:sz w:val="24"/>
                <w:szCs w:val="24"/>
                <w:vertAlign w:val="superscript"/>
                <w:lang w:val="el-GR"/>
              </w:rPr>
            </w:pPr>
            <w:r w:rsidRPr="0070650F">
              <w:rPr>
                <w:rFonts w:ascii="Arial" w:hAnsi="Arial" w:cs="Arial"/>
                <w:sz w:val="24"/>
                <w:szCs w:val="24"/>
                <w:lang w:val="el-GR"/>
              </w:rPr>
              <w:lastRenderedPageBreak/>
              <w:t>Το Υπουργικό Συμβούλιο, ασκώντας τις εξουσίες που του παρέχονται δυνάμει τ</w:t>
            </w:r>
            <w:r w:rsidR="00E76C4E" w:rsidRPr="0070650F">
              <w:rPr>
                <w:rFonts w:ascii="Arial" w:hAnsi="Arial" w:cs="Arial"/>
                <w:sz w:val="24"/>
                <w:szCs w:val="24"/>
                <w:lang w:val="el-GR"/>
              </w:rPr>
              <w:t xml:space="preserve">ου </w:t>
            </w:r>
            <w:r w:rsidR="00603AEF">
              <w:rPr>
                <w:rFonts w:ascii="Arial" w:hAnsi="Arial" w:cs="Arial"/>
                <w:sz w:val="24"/>
                <w:szCs w:val="24"/>
                <w:lang w:val="el-GR"/>
              </w:rPr>
              <w:t>ά</w:t>
            </w:r>
            <w:r w:rsidR="00EB1852" w:rsidRPr="0070650F">
              <w:rPr>
                <w:rFonts w:ascii="Arial" w:hAnsi="Arial" w:cs="Arial"/>
                <w:sz w:val="24"/>
                <w:szCs w:val="24"/>
                <w:lang w:val="el-GR"/>
              </w:rPr>
              <w:t>ρθρου 33</w:t>
            </w:r>
            <w:r w:rsidR="00AF603E" w:rsidRPr="0070650F">
              <w:rPr>
                <w:rFonts w:ascii="Arial" w:hAnsi="Arial" w:cs="Arial"/>
                <w:sz w:val="24"/>
                <w:szCs w:val="24"/>
                <w:lang w:val="el-GR"/>
              </w:rPr>
              <w:t>(7)</w:t>
            </w:r>
            <w:r w:rsidR="00EB1852" w:rsidRPr="0070650F">
              <w:rPr>
                <w:rFonts w:ascii="Arial" w:hAnsi="Arial" w:cs="Arial"/>
                <w:sz w:val="24"/>
                <w:szCs w:val="24"/>
                <w:lang w:val="el-GR"/>
              </w:rPr>
              <w:t xml:space="preserve"> </w:t>
            </w:r>
            <w:r w:rsidR="00603AEF">
              <w:rPr>
                <w:rFonts w:ascii="Arial" w:hAnsi="Arial" w:cs="Arial"/>
                <w:sz w:val="24"/>
                <w:szCs w:val="24"/>
                <w:lang w:val="el-GR"/>
              </w:rPr>
              <w:t>και του ά</w:t>
            </w:r>
            <w:r w:rsidR="00E76C4E" w:rsidRPr="0070650F">
              <w:rPr>
                <w:rFonts w:ascii="Arial" w:hAnsi="Arial" w:cs="Arial"/>
                <w:sz w:val="24"/>
                <w:szCs w:val="24"/>
                <w:lang w:val="el-GR"/>
              </w:rPr>
              <w:t>ρθρου 33</w:t>
            </w:r>
            <w:r w:rsidR="00AF603E" w:rsidRPr="0070650F">
              <w:rPr>
                <w:rFonts w:ascii="Arial" w:hAnsi="Arial" w:cs="Arial"/>
                <w:sz w:val="24"/>
                <w:szCs w:val="24"/>
                <w:vertAlign w:val="superscript"/>
                <w:lang w:val="el-GR"/>
              </w:rPr>
              <w:t xml:space="preserve"> </w:t>
            </w:r>
            <w:r w:rsidR="00FA7355">
              <w:rPr>
                <w:rFonts w:ascii="Arial" w:hAnsi="Arial" w:cs="Arial"/>
                <w:sz w:val="24"/>
                <w:szCs w:val="24"/>
                <w:lang w:val="el-GR"/>
              </w:rPr>
              <w:t>Γ</w:t>
            </w:r>
            <w:r w:rsidR="00AF603E" w:rsidRPr="0070650F">
              <w:rPr>
                <w:rFonts w:ascii="Arial" w:hAnsi="Arial" w:cs="Arial"/>
                <w:sz w:val="24"/>
                <w:szCs w:val="24"/>
                <w:lang w:val="el-GR"/>
              </w:rPr>
              <w:t>(2)</w:t>
            </w:r>
            <w:r w:rsidR="00E76C4E" w:rsidRPr="0070650F">
              <w:rPr>
                <w:rFonts w:ascii="Arial" w:hAnsi="Arial" w:cs="Arial"/>
                <w:sz w:val="24"/>
                <w:szCs w:val="24"/>
                <w:lang w:val="el-GR"/>
              </w:rPr>
              <w:t xml:space="preserve"> </w:t>
            </w:r>
            <w:r w:rsidRPr="0070650F">
              <w:rPr>
                <w:rFonts w:ascii="Arial" w:hAnsi="Arial" w:cs="Arial"/>
                <w:sz w:val="24"/>
                <w:szCs w:val="24"/>
                <w:lang w:val="el-GR"/>
              </w:rPr>
              <w:t>του περί Φ</w:t>
            </w:r>
            <w:r w:rsidR="00EB1852" w:rsidRPr="0070650F">
              <w:rPr>
                <w:rFonts w:ascii="Arial" w:hAnsi="Arial" w:cs="Arial"/>
                <w:sz w:val="24"/>
                <w:szCs w:val="24"/>
                <w:lang w:val="el-GR"/>
              </w:rPr>
              <w:t>ορολογίας του Εισοδήματος Νόμου του</w:t>
            </w:r>
            <w:bookmarkStart w:id="0" w:name="_GoBack"/>
            <w:bookmarkEnd w:id="0"/>
            <w:r w:rsidR="00EB1852" w:rsidRPr="0070650F">
              <w:rPr>
                <w:rFonts w:ascii="Arial" w:hAnsi="Arial" w:cs="Arial"/>
                <w:sz w:val="24"/>
                <w:szCs w:val="24"/>
                <w:lang w:val="el-GR"/>
              </w:rPr>
              <w:t xml:space="preserve"> 200</w:t>
            </w:r>
            <w:r w:rsidR="00E76C4E" w:rsidRPr="0070650F">
              <w:rPr>
                <w:rFonts w:ascii="Arial" w:hAnsi="Arial" w:cs="Arial"/>
                <w:sz w:val="24"/>
                <w:szCs w:val="24"/>
                <w:lang w:val="el-GR"/>
              </w:rPr>
              <w:t>2</w:t>
            </w:r>
            <w:r w:rsidR="00EB1852" w:rsidRPr="0070650F">
              <w:rPr>
                <w:rFonts w:ascii="Arial" w:hAnsi="Arial" w:cs="Arial"/>
                <w:sz w:val="24"/>
                <w:szCs w:val="24"/>
                <w:lang w:val="el-GR"/>
              </w:rPr>
              <w:t xml:space="preserve"> μέχρι (</w:t>
            </w:r>
            <w:r w:rsidR="00AF603E" w:rsidRPr="0070650F">
              <w:rPr>
                <w:rFonts w:ascii="Arial" w:hAnsi="Arial" w:cs="Arial"/>
                <w:sz w:val="24"/>
                <w:szCs w:val="24"/>
                <w:lang w:val="el-GR"/>
              </w:rPr>
              <w:t>Τροποποιητικού</w:t>
            </w:r>
            <w:r w:rsidR="00EB1852" w:rsidRPr="0070650F">
              <w:rPr>
                <w:rFonts w:ascii="Arial" w:hAnsi="Arial" w:cs="Arial"/>
                <w:sz w:val="24"/>
                <w:szCs w:val="24"/>
                <w:lang w:val="el-GR"/>
              </w:rPr>
              <w:t xml:space="preserve">) </w:t>
            </w:r>
            <w:r w:rsidR="005917BF" w:rsidRPr="0070650F">
              <w:rPr>
                <w:rFonts w:ascii="Arial" w:hAnsi="Arial" w:cs="Arial"/>
                <w:sz w:val="24"/>
                <w:szCs w:val="24"/>
                <w:lang w:val="el-GR"/>
              </w:rPr>
              <w:t>του</w:t>
            </w:r>
            <w:r w:rsidR="000A14EB" w:rsidRPr="0070650F">
              <w:rPr>
                <w:rFonts w:ascii="Arial" w:hAnsi="Arial" w:cs="Arial"/>
                <w:sz w:val="24"/>
                <w:szCs w:val="24"/>
                <w:lang w:val="el-GR"/>
              </w:rPr>
              <w:t xml:space="preserve"> 20</w:t>
            </w:r>
            <w:r w:rsidR="00AF603E" w:rsidRPr="0070650F">
              <w:rPr>
                <w:rFonts w:ascii="Arial" w:hAnsi="Arial" w:cs="Arial"/>
                <w:sz w:val="24"/>
                <w:szCs w:val="24"/>
                <w:lang w:val="el-GR"/>
              </w:rPr>
              <w:t>20</w:t>
            </w:r>
            <w:r w:rsidRPr="0070650F">
              <w:rPr>
                <w:rFonts w:ascii="Arial" w:hAnsi="Arial" w:cs="Arial"/>
                <w:sz w:val="24"/>
                <w:szCs w:val="24"/>
                <w:lang w:val="el-GR"/>
              </w:rPr>
              <w:t xml:space="preserve">, εκδίδει τους ακόλουθους κανονισμούς: </w:t>
            </w:r>
          </w:p>
        </w:tc>
      </w:tr>
      <w:tr w:rsidR="000652E4" w:rsidRPr="00532D8A" w:rsidTr="005B70BA">
        <w:trPr>
          <w:trHeight w:val="230"/>
        </w:trPr>
        <w:tc>
          <w:tcPr>
            <w:tcW w:w="1998" w:type="dxa"/>
          </w:tcPr>
          <w:p w:rsidR="000652E4" w:rsidRPr="0070650F" w:rsidRDefault="000652E4" w:rsidP="00334087">
            <w:pPr>
              <w:rPr>
                <w:rFonts w:ascii="Arial" w:hAnsi="Arial" w:cs="Arial"/>
                <w:sz w:val="20"/>
                <w:szCs w:val="20"/>
                <w:lang w:val="el-GR"/>
              </w:rPr>
            </w:pPr>
          </w:p>
        </w:tc>
        <w:tc>
          <w:tcPr>
            <w:tcW w:w="7783" w:type="dxa"/>
            <w:gridSpan w:val="2"/>
          </w:tcPr>
          <w:p w:rsidR="000652E4" w:rsidRPr="0070650F" w:rsidRDefault="000652E4" w:rsidP="0070650F">
            <w:pPr>
              <w:spacing w:line="360" w:lineRule="auto"/>
              <w:jc w:val="both"/>
              <w:rPr>
                <w:rFonts w:ascii="Arial" w:hAnsi="Arial" w:cs="Arial"/>
                <w:sz w:val="24"/>
                <w:szCs w:val="24"/>
                <w:lang w:val="el-GR"/>
              </w:rPr>
            </w:pPr>
          </w:p>
        </w:tc>
      </w:tr>
      <w:tr w:rsidR="007C4F3D" w:rsidRPr="00532D8A" w:rsidTr="005B70BA">
        <w:trPr>
          <w:trHeight w:val="1652"/>
        </w:trPr>
        <w:tc>
          <w:tcPr>
            <w:tcW w:w="1998" w:type="dxa"/>
          </w:tcPr>
          <w:p w:rsidR="007C4F3D" w:rsidRPr="0070650F" w:rsidRDefault="00114F90" w:rsidP="00334087">
            <w:pPr>
              <w:rPr>
                <w:rFonts w:ascii="Arial" w:hAnsi="Arial" w:cs="Arial"/>
                <w:sz w:val="20"/>
                <w:szCs w:val="20"/>
                <w:lang w:val="el-GR"/>
              </w:rPr>
            </w:pPr>
            <w:r w:rsidRPr="0070650F">
              <w:rPr>
                <w:rFonts w:ascii="Arial" w:hAnsi="Arial" w:cs="Arial"/>
                <w:sz w:val="20"/>
                <w:szCs w:val="20"/>
                <w:lang w:val="el-GR"/>
              </w:rPr>
              <w:t>Συνοπτικός τίτλος.</w:t>
            </w:r>
          </w:p>
          <w:p w:rsidR="0015760A" w:rsidRPr="0070650F" w:rsidRDefault="0015760A" w:rsidP="00334087">
            <w:pPr>
              <w:rPr>
                <w:rFonts w:ascii="Arial" w:hAnsi="Arial" w:cs="Arial"/>
                <w:sz w:val="20"/>
                <w:szCs w:val="20"/>
                <w:lang w:val="el-GR"/>
              </w:rPr>
            </w:pPr>
          </w:p>
        </w:tc>
        <w:tc>
          <w:tcPr>
            <w:tcW w:w="7783" w:type="dxa"/>
            <w:gridSpan w:val="2"/>
          </w:tcPr>
          <w:p w:rsidR="000A14EB" w:rsidRPr="0070650F" w:rsidRDefault="000A14EB" w:rsidP="006804E2">
            <w:pPr>
              <w:spacing w:line="360" w:lineRule="auto"/>
              <w:jc w:val="both"/>
              <w:rPr>
                <w:rFonts w:ascii="Arial" w:hAnsi="Arial" w:cs="Arial"/>
                <w:sz w:val="24"/>
                <w:szCs w:val="24"/>
                <w:lang w:val="el-GR"/>
              </w:rPr>
            </w:pPr>
            <w:r w:rsidRPr="0070650F">
              <w:rPr>
                <w:rFonts w:ascii="Arial" w:hAnsi="Arial" w:cs="Arial"/>
                <w:sz w:val="24"/>
                <w:szCs w:val="24"/>
                <w:lang w:val="el-GR"/>
              </w:rPr>
              <w:t xml:space="preserve">1. </w:t>
            </w:r>
            <w:r w:rsidR="00114F90" w:rsidRPr="0070650F">
              <w:rPr>
                <w:rFonts w:ascii="Arial" w:hAnsi="Arial" w:cs="Arial"/>
                <w:sz w:val="24"/>
                <w:szCs w:val="24"/>
                <w:lang w:val="el-GR"/>
              </w:rPr>
              <w:t>Οι παρόντες Κανονισμοί θα αναφέρονται ως οι περί Φ</w:t>
            </w:r>
            <w:r w:rsidR="00603AEF">
              <w:rPr>
                <w:rFonts w:ascii="Arial" w:hAnsi="Arial" w:cs="Arial"/>
                <w:sz w:val="24"/>
                <w:szCs w:val="24"/>
                <w:lang w:val="el-GR"/>
              </w:rPr>
              <w:t xml:space="preserve">ορολογίας του Εισοδήματος </w:t>
            </w:r>
            <w:r w:rsidR="00EB1852" w:rsidRPr="0070650F">
              <w:rPr>
                <w:rFonts w:ascii="Arial" w:hAnsi="Arial" w:cs="Arial"/>
                <w:sz w:val="24"/>
                <w:szCs w:val="24"/>
                <w:lang w:val="el-GR"/>
              </w:rPr>
              <w:t>(</w:t>
            </w:r>
            <w:r w:rsidR="005D4F04" w:rsidRPr="0070650F">
              <w:rPr>
                <w:rFonts w:ascii="Arial" w:hAnsi="Arial" w:cs="Arial"/>
                <w:sz w:val="24"/>
                <w:szCs w:val="24"/>
                <w:lang w:val="el-GR"/>
              </w:rPr>
              <w:t xml:space="preserve">Φάκελος Τεκμηρίωσης Τιμών </w:t>
            </w:r>
            <w:r w:rsidR="00EB1852" w:rsidRPr="0070650F">
              <w:rPr>
                <w:rFonts w:ascii="Arial" w:hAnsi="Arial" w:cs="Arial"/>
                <w:sz w:val="24"/>
                <w:szCs w:val="24"/>
                <w:lang w:val="el-GR"/>
              </w:rPr>
              <w:t>Ενδοομιλικ</w:t>
            </w:r>
            <w:r w:rsidR="005D4F04" w:rsidRPr="0070650F">
              <w:rPr>
                <w:rFonts w:ascii="Arial" w:hAnsi="Arial" w:cs="Arial"/>
                <w:sz w:val="24"/>
                <w:szCs w:val="24"/>
                <w:lang w:val="el-GR"/>
              </w:rPr>
              <w:t>ών</w:t>
            </w:r>
            <w:r w:rsidR="00EB1852" w:rsidRPr="0070650F">
              <w:rPr>
                <w:rFonts w:ascii="Arial" w:hAnsi="Arial" w:cs="Arial"/>
                <w:sz w:val="24"/>
                <w:szCs w:val="24"/>
                <w:lang w:val="el-GR"/>
              </w:rPr>
              <w:t xml:space="preserve"> Συναλλαγ</w:t>
            </w:r>
            <w:r w:rsidR="005D4F04" w:rsidRPr="0070650F">
              <w:rPr>
                <w:rFonts w:ascii="Arial" w:hAnsi="Arial" w:cs="Arial"/>
                <w:sz w:val="24"/>
                <w:szCs w:val="24"/>
                <w:lang w:val="el-GR"/>
              </w:rPr>
              <w:t>ών</w:t>
            </w:r>
            <w:r w:rsidR="00EB1852" w:rsidRPr="0070650F">
              <w:rPr>
                <w:rFonts w:ascii="Arial" w:hAnsi="Arial" w:cs="Arial"/>
                <w:sz w:val="24"/>
                <w:szCs w:val="24"/>
                <w:lang w:val="el-GR"/>
              </w:rPr>
              <w:t xml:space="preserve"> και </w:t>
            </w:r>
            <w:r w:rsidR="0015760A" w:rsidRPr="0070650F">
              <w:rPr>
                <w:rFonts w:ascii="Arial" w:hAnsi="Arial" w:cs="Arial"/>
                <w:sz w:val="24"/>
                <w:szCs w:val="24"/>
                <w:lang w:val="el-GR"/>
              </w:rPr>
              <w:t>Προέγκριση Μεθοδολογίας Ενδοομιλικής Τιμολόγησης</w:t>
            </w:r>
            <w:r w:rsidR="00EB1852" w:rsidRPr="0070650F">
              <w:rPr>
                <w:rFonts w:ascii="Arial" w:hAnsi="Arial" w:cs="Arial"/>
                <w:sz w:val="24"/>
                <w:szCs w:val="24"/>
                <w:lang w:val="el-GR"/>
              </w:rPr>
              <w:t xml:space="preserve">) </w:t>
            </w:r>
            <w:r w:rsidR="00114F90" w:rsidRPr="0070650F">
              <w:rPr>
                <w:rFonts w:ascii="Arial" w:hAnsi="Arial" w:cs="Arial"/>
                <w:sz w:val="24"/>
                <w:szCs w:val="24"/>
                <w:lang w:val="el-GR"/>
              </w:rPr>
              <w:t>Κανονισμοί του 20</w:t>
            </w:r>
            <w:r w:rsidR="00840C34" w:rsidRPr="0070650F">
              <w:rPr>
                <w:rFonts w:ascii="Arial" w:hAnsi="Arial" w:cs="Arial"/>
                <w:sz w:val="24"/>
                <w:szCs w:val="24"/>
                <w:lang w:val="el-GR"/>
              </w:rPr>
              <w:t>20</w:t>
            </w:r>
            <w:r w:rsidR="00114F90" w:rsidRPr="0070650F">
              <w:rPr>
                <w:rFonts w:ascii="Arial" w:hAnsi="Arial" w:cs="Arial"/>
                <w:sz w:val="24"/>
                <w:szCs w:val="24"/>
                <w:lang w:val="el-GR"/>
              </w:rPr>
              <w:t>.</w:t>
            </w:r>
          </w:p>
        </w:tc>
      </w:tr>
      <w:tr w:rsidR="000652E4" w:rsidRPr="00532D8A" w:rsidTr="005B70BA">
        <w:trPr>
          <w:trHeight w:val="287"/>
        </w:trPr>
        <w:tc>
          <w:tcPr>
            <w:tcW w:w="1998" w:type="dxa"/>
          </w:tcPr>
          <w:p w:rsidR="000652E4" w:rsidRPr="0070650F" w:rsidRDefault="000652E4" w:rsidP="00334087">
            <w:pPr>
              <w:rPr>
                <w:rFonts w:ascii="Arial" w:hAnsi="Arial" w:cs="Arial"/>
                <w:sz w:val="20"/>
                <w:szCs w:val="20"/>
                <w:lang w:val="el-GR"/>
              </w:rPr>
            </w:pPr>
          </w:p>
        </w:tc>
        <w:tc>
          <w:tcPr>
            <w:tcW w:w="7783" w:type="dxa"/>
            <w:gridSpan w:val="2"/>
          </w:tcPr>
          <w:p w:rsidR="000652E4" w:rsidRPr="0070650F" w:rsidRDefault="000652E4" w:rsidP="000652E4">
            <w:pPr>
              <w:spacing w:line="360" w:lineRule="auto"/>
              <w:jc w:val="both"/>
              <w:rPr>
                <w:rFonts w:ascii="Arial" w:hAnsi="Arial" w:cs="Arial"/>
                <w:sz w:val="24"/>
                <w:szCs w:val="24"/>
                <w:lang w:val="el-GR"/>
              </w:rPr>
            </w:pPr>
          </w:p>
        </w:tc>
      </w:tr>
      <w:tr w:rsidR="007C4F3D" w:rsidRPr="000652E4" w:rsidTr="005B70BA">
        <w:tc>
          <w:tcPr>
            <w:tcW w:w="1998" w:type="dxa"/>
          </w:tcPr>
          <w:p w:rsidR="007C4F3D" w:rsidRPr="0070650F" w:rsidRDefault="00BA1ACD" w:rsidP="000652E4">
            <w:pPr>
              <w:spacing w:line="360" w:lineRule="auto"/>
              <w:rPr>
                <w:rFonts w:ascii="Arial" w:hAnsi="Arial" w:cs="Arial"/>
                <w:sz w:val="20"/>
                <w:szCs w:val="20"/>
                <w:lang w:val="el-GR"/>
              </w:rPr>
            </w:pPr>
            <w:r w:rsidRPr="0070650F">
              <w:rPr>
                <w:rFonts w:ascii="Arial" w:hAnsi="Arial" w:cs="Arial"/>
                <w:sz w:val="20"/>
                <w:szCs w:val="20"/>
                <w:lang w:val="el-GR"/>
              </w:rPr>
              <w:t>Ερμηνεία</w:t>
            </w:r>
            <w:r w:rsidR="008D71D9" w:rsidRPr="0070650F">
              <w:rPr>
                <w:rFonts w:ascii="Arial" w:hAnsi="Arial" w:cs="Arial"/>
                <w:sz w:val="20"/>
                <w:szCs w:val="20"/>
                <w:lang w:val="el-GR"/>
              </w:rPr>
              <w:t>.</w:t>
            </w:r>
            <w:r w:rsidRPr="0070650F">
              <w:rPr>
                <w:rFonts w:ascii="Arial" w:hAnsi="Arial" w:cs="Arial"/>
                <w:sz w:val="20"/>
                <w:szCs w:val="20"/>
                <w:lang w:val="el-GR"/>
              </w:rPr>
              <w:t xml:space="preserve"> </w:t>
            </w:r>
          </w:p>
        </w:tc>
        <w:tc>
          <w:tcPr>
            <w:tcW w:w="7783" w:type="dxa"/>
            <w:gridSpan w:val="2"/>
          </w:tcPr>
          <w:p w:rsidR="000A14EB" w:rsidRPr="0070650F" w:rsidRDefault="000652E4" w:rsidP="000652E4">
            <w:pPr>
              <w:spacing w:line="360" w:lineRule="auto"/>
              <w:rPr>
                <w:rFonts w:ascii="Arial" w:hAnsi="Arial" w:cs="Arial"/>
                <w:sz w:val="24"/>
                <w:szCs w:val="24"/>
                <w:lang w:val="el-GR"/>
              </w:rPr>
            </w:pPr>
            <w:r>
              <w:rPr>
                <w:rFonts w:ascii="Arial" w:hAnsi="Arial" w:cs="Arial"/>
                <w:sz w:val="24"/>
                <w:szCs w:val="24"/>
                <w:lang w:val="el-GR"/>
              </w:rPr>
              <w:t>2.</w:t>
            </w:r>
            <w:r w:rsidR="00614672" w:rsidRPr="0070650F">
              <w:rPr>
                <w:rFonts w:ascii="Arial" w:hAnsi="Arial" w:cs="Arial"/>
                <w:sz w:val="24"/>
                <w:szCs w:val="24"/>
                <w:lang w:val="el-GR"/>
              </w:rPr>
              <w:t>–(1)</w:t>
            </w:r>
            <w:r w:rsidR="006804E2">
              <w:rPr>
                <w:rFonts w:ascii="Arial" w:hAnsi="Arial" w:cs="Arial"/>
                <w:sz w:val="24"/>
                <w:szCs w:val="24"/>
                <w:lang w:val="el-GR"/>
              </w:rPr>
              <w:t xml:space="preserve"> </w:t>
            </w:r>
            <w:r w:rsidR="00BA1ACD" w:rsidRPr="0070650F">
              <w:rPr>
                <w:rFonts w:ascii="Arial" w:hAnsi="Arial" w:cs="Arial"/>
                <w:sz w:val="24"/>
                <w:szCs w:val="24"/>
                <w:lang w:val="el-GR"/>
              </w:rPr>
              <w:t xml:space="preserve">Στους παρόντες Κανονισμούς </w:t>
            </w:r>
            <w:r w:rsidR="000A14EB" w:rsidRPr="0070650F">
              <w:rPr>
                <w:rFonts w:ascii="Arial" w:hAnsi="Arial" w:cs="Arial"/>
                <w:sz w:val="24"/>
                <w:szCs w:val="24"/>
                <w:lang w:val="el-GR"/>
              </w:rPr>
              <w:t>–</w:t>
            </w:r>
          </w:p>
          <w:p w:rsidR="007C4F3D" w:rsidRPr="0070650F" w:rsidRDefault="00BA1ACD" w:rsidP="000652E4">
            <w:pPr>
              <w:spacing w:line="360" w:lineRule="auto"/>
              <w:rPr>
                <w:rFonts w:ascii="Arial" w:hAnsi="Arial" w:cs="Arial"/>
                <w:sz w:val="24"/>
                <w:szCs w:val="24"/>
                <w:lang w:val="el-GR"/>
              </w:rPr>
            </w:pPr>
            <w:r w:rsidRPr="0070650F">
              <w:rPr>
                <w:rFonts w:ascii="Arial" w:hAnsi="Arial" w:cs="Arial"/>
                <w:sz w:val="24"/>
                <w:szCs w:val="24"/>
                <w:lang w:val="el-GR"/>
              </w:rPr>
              <w:t xml:space="preserve"> </w:t>
            </w:r>
          </w:p>
        </w:tc>
      </w:tr>
      <w:tr w:rsidR="004329B2" w:rsidRPr="00532D8A" w:rsidTr="005B70BA">
        <w:tc>
          <w:tcPr>
            <w:tcW w:w="1998" w:type="dxa"/>
          </w:tcPr>
          <w:p w:rsidR="000652E4" w:rsidRDefault="000652E4" w:rsidP="000652E4">
            <w:pPr>
              <w:spacing w:line="360" w:lineRule="auto"/>
              <w:jc w:val="right"/>
              <w:rPr>
                <w:rFonts w:ascii="Arial" w:hAnsi="Arial" w:cs="Arial"/>
                <w:sz w:val="20"/>
                <w:szCs w:val="20"/>
                <w:lang w:val="el-GR"/>
              </w:rPr>
            </w:pPr>
          </w:p>
          <w:p w:rsidR="000652E4" w:rsidRDefault="000652E4" w:rsidP="000652E4">
            <w:pPr>
              <w:spacing w:line="360" w:lineRule="auto"/>
              <w:jc w:val="right"/>
              <w:rPr>
                <w:rFonts w:ascii="Arial" w:hAnsi="Arial" w:cs="Arial"/>
                <w:sz w:val="20"/>
                <w:szCs w:val="20"/>
                <w:lang w:val="el-GR"/>
              </w:rPr>
            </w:pP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118(</w:t>
            </w:r>
            <w:r w:rsidRPr="0070650F">
              <w:rPr>
                <w:rFonts w:ascii="Arial" w:hAnsi="Arial" w:cs="Arial"/>
                <w:sz w:val="20"/>
                <w:szCs w:val="20"/>
              </w:rPr>
              <w:t>I</w:t>
            </w:r>
            <w:r w:rsidRPr="0070650F">
              <w:rPr>
                <w:rFonts w:ascii="Arial" w:hAnsi="Arial" w:cs="Arial"/>
                <w:sz w:val="20"/>
                <w:szCs w:val="20"/>
                <w:lang w:val="el-GR"/>
              </w:rPr>
              <w:t>) του 2002</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230(Ι) του 2002</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162(Ι) του 2003</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195(Ι) του 2004</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92(Ι) του 2005</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113(Ι) του 2006</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80(Ι) του 2007</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lastRenderedPageBreak/>
              <w:t>138(Ι) του 2007</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32(</w:t>
            </w:r>
            <w:r w:rsidRPr="0070650F">
              <w:rPr>
                <w:rFonts w:ascii="Arial" w:hAnsi="Arial" w:cs="Arial"/>
                <w:sz w:val="20"/>
                <w:szCs w:val="20"/>
              </w:rPr>
              <w:t>I</w:t>
            </w:r>
            <w:r w:rsidRPr="0070650F">
              <w:rPr>
                <w:rFonts w:ascii="Arial" w:hAnsi="Arial" w:cs="Arial"/>
                <w:sz w:val="20"/>
                <w:szCs w:val="20"/>
                <w:lang w:val="el-GR"/>
              </w:rPr>
              <w:t>) του 2009</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45(Ι) του 2009</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74(Ι) του 2009</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110(Ι) του 2009</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41(Ι) του 2010</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133(Ι) του 2010</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116(Ι) του 2011</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197(Ι) του 2011</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102(Ι) του 2012</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188(Ι) του 2012</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19(Ι) του 2013</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26(Ι) του 2013</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27(Ι) του 2013</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17(Ι) του 2014</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115(Ι) του 2014</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134(Ι) του 2014</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170(Ι) του 2014</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116(Ι) του 2015</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187(Ι) του 2015</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212(Ι) του 2015</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212(Ι) του 2015</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110(Ι) του 2016</w:t>
            </w:r>
          </w:p>
          <w:p w:rsidR="00847625" w:rsidRPr="0070650F" w:rsidRDefault="00847625" w:rsidP="000652E4">
            <w:pPr>
              <w:spacing w:line="360" w:lineRule="auto"/>
              <w:jc w:val="right"/>
              <w:rPr>
                <w:rFonts w:ascii="Arial" w:hAnsi="Arial" w:cs="Arial"/>
                <w:sz w:val="20"/>
                <w:szCs w:val="20"/>
                <w:lang w:val="el-GR"/>
              </w:rPr>
            </w:pPr>
            <w:r w:rsidRPr="0070650F">
              <w:rPr>
                <w:rFonts w:ascii="Arial" w:hAnsi="Arial" w:cs="Arial"/>
                <w:sz w:val="20"/>
                <w:szCs w:val="20"/>
                <w:lang w:val="el-GR"/>
              </w:rPr>
              <w:t>135(Ι) του 2016</w:t>
            </w:r>
          </w:p>
          <w:p w:rsidR="00254423" w:rsidRPr="0070650F" w:rsidRDefault="00847625" w:rsidP="00827C99">
            <w:pPr>
              <w:pStyle w:val="NoSpacing"/>
              <w:spacing w:line="360" w:lineRule="auto"/>
              <w:jc w:val="right"/>
              <w:rPr>
                <w:rFonts w:ascii="Arial" w:hAnsi="Arial" w:cs="Arial"/>
                <w:sz w:val="20"/>
                <w:szCs w:val="20"/>
                <w:lang w:val="el-GR"/>
              </w:rPr>
            </w:pPr>
            <w:r w:rsidRPr="0070650F">
              <w:rPr>
                <w:rFonts w:ascii="Arial" w:hAnsi="Arial" w:cs="Arial"/>
                <w:sz w:val="20"/>
                <w:szCs w:val="20"/>
                <w:lang w:val="el-GR"/>
              </w:rPr>
              <w:t xml:space="preserve"> 119(Ι) του 2017</w:t>
            </w:r>
          </w:p>
          <w:p w:rsidR="00254423" w:rsidRPr="0070650F" w:rsidRDefault="00254423" w:rsidP="00827C99">
            <w:pPr>
              <w:spacing w:line="360" w:lineRule="auto"/>
              <w:jc w:val="right"/>
              <w:rPr>
                <w:rFonts w:ascii="Arial" w:hAnsi="Arial" w:cs="Arial"/>
                <w:sz w:val="20"/>
                <w:szCs w:val="20"/>
                <w:lang w:val="el-GR"/>
              </w:rPr>
            </w:pPr>
            <w:r w:rsidRPr="0070650F">
              <w:rPr>
                <w:rFonts w:ascii="Arial" w:hAnsi="Arial" w:cs="Arial"/>
                <w:sz w:val="20"/>
                <w:szCs w:val="20"/>
                <w:lang w:val="el-GR"/>
              </w:rPr>
              <w:t>134(</w:t>
            </w:r>
            <w:r w:rsidRPr="0070650F">
              <w:rPr>
                <w:rFonts w:ascii="Arial" w:hAnsi="Arial" w:cs="Arial"/>
                <w:sz w:val="20"/>
                <w:szCs w:val="20"/>
              </w:rPr>
              <w:t>I</w:t>
            </w:r>
            <w:r w:rsidRPr="0070650F">
              <w:rPr>
                <w:rFonts w:ascii="Arial" w:hAnsi="Arial" w:cs="Arial"/>
                <w:sz w:val="20"/>
                <w:szCs w:val="20"/>
                <w:lang w:val="el-GR"/>
              </w:rPr>
              <w:t xml:space="preserve">) του 2017 </w:t>
            </w:r>
          </w:p>
          <w:p w:rsidR="00254423" w:rsidRPr="007E4632" w:rsidRDefault="00254423" w:rsidP="000652E4">
            <w:pPr>
              <w:spacing w:line="360" w:lineRule="auto"/>
              <w:jc w:val="right"/>
              <w:rPr>
                <w:rFonts w:ascii="Arial" w:hAnsi="Arial" w:cs="Arial"/>
                <w:sz w:val="20"/>
                <w:szCs w:val="20"/>
                <w:lang w:val="el-GR"/>
              </w:rPr>
            </w:pPr>
            <w:r w:rsidRPr="007E4632">
              <w:rPr>
                <w:rFonts w:ascii="Arial" w:hAnsi="Arial" w:cs="Arial"/>
                <w:sz w:val="20"/>
                <w:szCs w:val="20"/>
                <w:lang w:val="el-GR"/>
              </w:rPr>
              <w:t>165(</w:t>
            </w:r>
            <w:r w:rsidRPr="0070650F">
              <w:rPr>
                <w:rFonts w:ascii="Arial" w:hAnsi="Arial" w:cs="Arial"/>
                <w:sz w:val="20"/>
                <w:szCs w:val="20"/>
              </w:rPr>
              <w:t>I</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hAnsi="Arial" w:cs="Arial"/>
                <w:sz w:val="20"/>
                <w:szCs w:val="20"/>
                <w:lang w:val="el-GR"/>
              </w:rPr>
              <w:t xml:space="preserve"> 2017</w:t>
            </w:r>
          </w:p>
          <w:p w:rsidR="00254423" w:rsidRPr="007E4632" w:rsidRDefault="00254423" w:rsidP="000652E4">
            <w:pPr>
              <w:spacing w:line="360" w:lineRule="auto"/>
              <w:jc w:val="right"/>
              <w:rPr>
                <w:rFonts w:ascii="Arial" w:hAnsi="Arial" w:cs="Arial"/>
                <w:sz w:val="20"/>
                <w:szCs w:val="20"/>
                <w:lang w:val="el-GR"/>
              </w:rPr>
            </w:pPr>
            <w:r w:rsidRPr="007E4632">
              <w:rPr>
                <w:rFonts w:ascii="Arial" w:hAnsi="Arial" w:cs="Arial"/>
                <w:sz w:val="20"/>
                <w:szCs w:val="20"/>
                <w:lang w:val="el-GR"/>
              </w:rPr>
              <w:t>51(</w:t>
            </w:r>
            <w:r w:rsidRPr="0070650F">
              <w:rPr>
                <w:rFonts w:ascii="Arial" w:hAnsi="Arial" w:cs="Arial"/>
                <w:sz w:val="20"/>
                <w:szCs w:val="20"/>
              </w:rPr>
              <w:t>I</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hAnsi="Arial" w:cs="Arial"/>
                <w:sz w:val="20"/>
                <w:szCs w:val="20"/>
                <w:lang w:val="el-GR"/>
              </w:rPr>
              <w:t xml:space="preserve"> 2018 </w:t>
            </w:r>
          </w:p>
          <w:p w:rsidR="00254423" w:rsidRPr="007E4632" w:rsidRDefault="00254423" w:rsidP="000652E4">
            <w:pPr>
              <w:spacing w:line="360" w:lineRule="auto"/>
              <w:jc w:val="right"/>
              <w:rPr>
                <w:rFonts w:ascii="Arial" w:hAnsi="Arial" w:cs="Arial"/>
                <w:sz w:val="20"/>
                <w:szCs w:val="20"/>
                <w:lang w:val="el-GR"/>
              </w:rPr>
            </w:pPr>
            <w:r w:rsidRPr="007E4632">
              <w:rPr>
                <w:rFonts w:ascii="Arial" w:hAnsi="Arial" w:cs="Arial"/>
                <w:sz w:val="20"/>
                <w:szCs w:val="20"/>
                <w:lang w:val="el-GR"/>
              </w:rPr>
              <w:t xml:space="preserve"> 96(</w:t>
            </w:r>
            <w:r w:rsidRPr="0070650F">
              <w:rPr>
                <w:rFonts w:ascii="Arial" w:hAnsi="Arial" w:cs="Arial"/>
                <w:sz w:val="20"/>
                <w:szCs w:val="20"/>
              </w:rPr>
              <w:t>I</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hAnsi="Arial" w:cs="Arial"/>
                <w:sz w:val="20"/>
                <w:szCs w:val="20"/>
                <w:lang w:val="el-GR"/>
              </w:rPr>
              <w:t xml:space="preserve"> 2018 </w:t>
            </w:r>
          </w:p>
          <w:p w:rsidR="00254423" w:rsidRPr="007E4632" w:rsidRDefault="00254423" w:rsidP="000652E4">
            <w:pPr>
              <w:spacing w:line="360" w:lineRule="auto"/>
              <w:jc w:val="right"/>
              <w:rPr>
                <w:rFonts w:ascii="Arial" w:hAnsi="Arial" w:cs="Arial"/>
                <w:sz w:val="20"/>
                <w:szCs w:val="20"/>
                <w:lang w:val="el-GR"/>
              </w:rPr>
            </w:pPr>
            <w:r w:rsidRPr="007E4632">
              <w:rPr>
                <w:rFonts w:ascii="Arial" w:hAnsi="Arial" w:cs="Arial"/>
                <w:sz w:val="20"/>
                <w:szCs w:val="20"/>
                <w:lang w:val="el-GR"/>
              </w:rPr>
              <w:t>122(</w:t>
            </w:r>
            <w:r w:rsidRPr="0070650F">
              <w:rPr>
                <w:rFonts w:ascii="Arial" w:hAnsi="Arial" w:cs="Arial"/>
                <w:sz w:val="20"/>
                <w:szCs w:val="20"/>
              </w:rPr>
              <w:t>I</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hAnsi="Arial" w:cs="Arial"/>
                <w:sz w:val="20"/>
                <w:szCs w:val="20"/>
                <w:lang w:val="el-GR"/>
              </w:rPr>
              <w:t xml:space="preserve"> 2018</w:t>
            </w:r>
          </w:p>
          <w:p w:rsidR="00254423" w:rsidRPr="007E4632" w:rsidRDefault="00827C99"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139(</w:t>
            </w:r>
            <w:r w:rsidRPr="00827C99">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54423" w:rsidRPr="007E4632">
              <w:rPr>
                <w:rFonts w:ascii="Arial" w:eastAsia="Times New Roman" w:hAnsi="Arial" w:cs="Arial"/>
                <w:sz w:val="20"/>
                <w:szCs w:val="20"/>
                <w:lang w:val="el-GR" w:eastAsia="el-GR"/>
              </w:rPr>
              <w:t xml:space="preserve">2018 </w:t>
            </w:r>
          </w:p>
          <w:p w:rsidR="00254423" w:rsidRPr="007E4632" w:rsidRDefault="00827C99"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27(</w:t>
            </w:r>
            <w:r w:rsidRPr="00827C99">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54423" w:rsidRPr="007E4632">
              <w:rPr>
                <w:rFonts w:ascii="Arial" w:eastAsia="Times New Roman" w:hAnsi="Arial" w:cs="Arial"/>
                <w:sz w:val="20"/>
                <w:szCs w:val="20"/>
                <w:lang w:val="el-GR" w:eastAsia="el-GR"/>
              </w:rPr>
              <w:t xml:space="preserve">2019 </w:t>
            </w:r>
          </w:p>
          <w:p w:rsidR="00254423" w:rsidRPr="007E4632" w:rsidRDefault="00827C99"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28(</w:t>
            </w:r>
            <w:r w:rsidRPr="00827C99">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54423" w:rsidRPr="007E4632">
              <w:rPr>
                <w:rFonts w:ascii="Arial" w:eastAsia="Times New Roman" w:hAnsi="Arial" w:cs="Arial"/>
                <w:sz w:val="20"/>
                <w:szCs w:val="20"/>
                <w:lang w:val="el-GR" w:eastAsia="el-GR"/>
              </w:rPr>
              <w:t xml:space="preserve">2019 </w:t>
            </w:r>
          </w:p>
          <w:p w:rsidR="00254423" w:rsidRPr="007E4632" w:rsidRDefault="00827C99"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63(</w:t>
            </w:r>
            <w:r w:rsidRPr="00827C99">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54423" w:rsidRPr="007E4632">
              <w:rPr>
                <w:rFonts w:ascii="Arial" w:eastAsia="Times New Roman" w:hAnsi="Arial" w:cs="Arial"/>
                <w:sz w:val="20"/>
                <w:szCs w:val="20"/>
                <w:lang w:val="el-GR" w:eastAsia="el-GR"/>
              </w:rPr>
              <w:t xml:space="preserve">2019 </w:t>
            </w:r>
          </w:p>
          <w:p w:rsidR="00254423" w:rsidRPr="007E4632" w:rsidRDefault="00827C99"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151(</w:t>
            </w:r>
            <w:r w:rsidRPr="00827C99">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54423" w:rsidRPr="007E4632">
              <w:rPr>
                <w:rFonts w:ascii="Arial" w:eastAsia="Times New Roman" w:hAnsi="Arial" w:cs="Arial"/>
                <w:sz w:val="20"/>
                <w:szCs w:val="20"/>
                <w:lang w:val="el-GR" w:eastAsia="el-GR"/>
              </w:rPr>
              <w:t xml:space="preserve">2019 </w:t>
            </w:r>
          </w:p>
          <w:p w:rsidR="00254423" w:rsidRPr="007E4632" w:rsidRDefault="00827C99" w:rsidP="005B70BA">
            <w:pPr>
              <w:shd w:val="clear" w:color="auto" w:fill="FAFAFA"/>
              <w:spacing w:line="360" w:lineRule="auto"/>
              <w:jc w:val="right"/>
              <w:rPr>
                <w:rFonts w:ascii="Arial" w:eastAsia="Times New Roman" w:hAnsi="Arial" w:cs="Arial"/>
                <w:sz w:val="20"/>
                <w:szCs w:val="20"/>
                <w:lang w:val="el-GR" w:eastAsia="el-GR"/>
              </w:rPr>
            </w:pPr>
            <w:r w:rsidRPr="007E4632">
              <w:rPr>
                <w:rFonts w:ascii="Arial" w:eastAsia="Times New Roman" w:hAnsi="Arial" w:cs="Arial"/>
                <w:sz w:val="20"/>
                <w:szCs w:val="20"/>
                <w:lang w:val="el-GR" w:eastAsia="el-GR"/>
              </w:rPr>
              <w:t>152(</w:t>
            </w:r>
            <w:r w:rsidRPr="00827C99">
              <w:rPr>
                <w:rFonts w:ascii="Arial" w:eastAsia="Times New Roman" w:hAnsi="Arial" w:cs="Arial"/>
                <w:sz w:val="20"/>
                <w:szCs w:val="20"/>
                <w:lang w:eastAsia="el-GR"/>
              </w:rPr>
              <w:t>I</w:t>
            </w:r>
            <w:r w:rsidRPr="007E4632">
              <w:rPr>
                <w:rFonts w:ascii="Arial" w:eastAsia="Times New Roman" w:hAnsi="Arial" w:cs="Arial"/>
                <w:sz w:val="20"/>
                <w:szCs w:val="20"/>
                <w:lang w:val="el-GR" w:eastAsia="el-GR"/>
              </w:rPr>
              <w:t>)</w:t>
            </w:r>
            <w:r w:rsidRPr="007E4632">
              <w:rPr>
                <w:rFonts w:ascii="Arial" w:hAnsi="Arial" w:cs="Arial"/>
                <w:sz w:val="20"/>
                <w:szCs w:val="20"/>
                <w:lang w:val="el-GR"/>
              </w:rPr>
              <w:t xml:space="preserve"> </w:t>
            </w:r>
            <w:r w:rsidRPr="0070650F">
              <w:rPr>
                <w:rFonts w:ascii="Arial" w:hAnsi="Arial" w:cs="Arial"/>
                <w:sz w:val="20"/>
                <w:szCs w:val="20"/>
                <w:lang w:val="el-GR"/>
              </w:rPr>
              <w:t>του</w:t>
            </w:r>
            <w:r w:rsidRPr="007E4632">
              <w:rPr>
                <w:rFonts w:ascii="Arial" w:eastAsia="Times New Roman" w:hAnsi="Arial" w:cs="Arial"/>
                <w:sz w:val="20"/>
                <w:szCs w:val="20"/>
                <w:lang w:val="el-GR" w:eastAsia="el-GR"/>
              </w:rPr>
              <w:t xml:space="preserve"> </w:t>
            </w:r>
            <w:r w:rsidR="00254423" w:rsidRPr="007E4632">
              <w:rPr>
                <w:rFonts w:ascii="Arial" w:eastAsia="Times New Roman" w:hAnsi="Arial" w:cs="Arial"/>
                <w:sz w:val="20"/>
                <w:szCs w:val="20"/>
                <w:lang w:val="el-GR" w:eastAsia="el-GR"/>
              </w:rPr>
              <w:t xml:space="preserve">2019 </w:t>
            </w:r>
          </w:p>
          <w:p w:rsidR="00254423" w:rsidRPr="005B70BA" w:rsidRDefault="00827C99" w:rsidP="005B70BA">
            <w:pPr>
              <w:shd w:val="clear" w:color="auto" w:fill="FAFAFA"/>
              <w:spacing w:line="360" w:lineRule="auto"/>
              <w:jc w:val="right"/>
              <w:rPr>
                <w:rFonts w:ascii="Arial" w:eastAsia="Times New Roman" w:hAnsi="Arial" w:cs="Arial"/>
                <w:sz w:val="20"/>
                <w:szCs w:val="20"/>
                <w:lang w:val="el-GR" w:eastAsia="el-GR"/>
              </w:rPr>
            </w:pPr>
            <w:r w:rsidRPr="005B70BA">
              <w:rPr>
                <w:rFonts w:ascii="Arial" w:eastAsia="Times New Roman" w:hAnsi="Arial" w:cs="Arial"/>
                <w:sz w:val="20"/>
                <w:szCs w:val="20"/>
                <w:lang w:val="el-GR" w:eastAsia="el-GR"/>
              </w:rPr>
              <w:t>173(</w:t>
            </w:r>
            <w:r w:rsidRPr="00827C99">
              <w:rPr>
                <w:rFonts w:ascii="Arial" w:eastAsia="Times New Roman" w:hAnsi="Arial" w:cs="Arial"/>
                <w:sz w:val="20"/>
                <w:szCs w:val="20"/>
                <w:lang w:eastAsia="el-GR"/>
              </w:rPr>
              <w:t>I</w:t>
            </w:r>
            <w:r w:rsidRPr="005B70BA">
              <w:rPr>
                <w:rFonts w:ascii="Arial" w:eastAsia="Times New Roman" w:hAnsi="Arial" w:cs="Arial"/>
                <w:sz w:val="20"/>
                <w:szCs w:val="20"/>
                <w:lang w:val="el-GR" w:eastAsia="el-GR"/>
              </w:rPr>
              <w:t>)</w:t>
            </w:r>
            <w:r w:rsidRPr="005B70BA">
              <w:rPr>
                <w:rFonts w:ascii="Arial" w:hAnsi="Arial" w:cs="Arial"/>
                <w:sz w:val="20"/>
                <w:szCs w:val="20"/>
                <w:lang w:val="el-GR"/>
              </w:rPr>
              <w:t xml:space="preserve"> </w:t>
            </w:r>
            <w:r w:rsidRPr="0070650F">
              <w:rPr>
                <w:rFonts w:ascii="Arial" w:hAnsi="Arial" w:cs="Arial"/>
                <w:sz w:val="20"/>
                <w:szCs w:val="20"/>
                <w:lang w:val="el-GR"/>
              </w:rPr>
              <w:t>του</w:t>
            </w:r>
            <w:r w:rsidRPr="005B70BA">
              <w:rPr>
                <w:rFonts w:ascii="Arial" w:eastAsia="Times New Roman" w:hAnsi="Arial" w:cs="Arial"/>
                <w:sz w:val="20"/>
                <w:szCs w:val="20"/>
                <w:lang w:val="el-GR" w:eastAsia="el-GR"/>
              </w:rPr>
              <w:t xml:space="preserve"> </w:t>
            </w:r>
            <w:r w:rsidR="00254423" w:rsidRPr="005B70BA">
              <w:rPr>
                <w:rFonts w:ascii="Arial" w:eastAsia="Times New Roman" w:hAnsi="Arial" w:cs="Arial"/>
                <w:sz w:val="20"/>
                <w:szCs w:val="20"/>
                <w:lang w:val="el-GR" w:eastAsia="el-GR"/>
              </w:rPr>
              <w:t>2019</w:t>
            </w:r>
          </w:p>
          <w:p w:rsidR="00DD3192" w:rsidRPr="005B70BA" w:rsidRDefault="00827C99" w:rsidP="005B70BA">
            <w:pPr>
              <w:pStyle w:val="toc-instrument"/>
              <w:spacing w:before="0" w:beforeAutospacing="0" w:after="0" w:afterAutospacing="0" w:line="360" w:lineRule="auto"/>
              <w:jc w:val="right"/>
              <w:rPr>
                <w:rFonts w:ascii="Arial" w:hAnsi="Arial" w:cs="Arial"/>
                <w:color w:val="000000"/>
                <w:sz w:val="20"/>
                <w:szCs w:val="20"/>
                <w:lang w:val="el-GR"/>
              </w:rPr>
            </w:pPr>
            <w:r w:rsidRPr="005B70BA">
              <w:rPr>
                <w:rStyle w:val="toc-instrument-enum"/>
                <w:rFonts w:ascii="Arial" w:hAnsi="Arial" w:cs="Arial"/>
                <w:color w:val="000000"/>
                <w:sz w:val="20"/>
                <w:szCs w:val="20"/>
                <w:lang w:val="el-GR"/>
              </w:rPr>
              <w:t>45(</w:t>
            </w:r>
            <w:r>
              <w:rPr>
                <w:rStyle w:val="toc-instrument-enum"/>
                <w:rFonts w:ascii="Arial" w:hAnsi="Arial" w:cs="Arial"/>
                <w:color w:val="000000"/>
                <w:sz w:val="20"/>
                <w:szCs w:val="20"/>
              </w:rPr>
              <w:t>I</w:t>
            </w:r>
            <w:r w:rsidRPr="005B70BA">
              <w:rPr>
                <w:rStyle w:val="toc-instrument-enum"/>
                <w:rFonts w:ascii="Arial" w:hAnsi="Arial" w:cs="Arial"/>
                <w:color w:val="000000"/>
                <w:sz w:val="20"/>
                <w:szCs w:val="20"/>
                <w:lang w:val="el-GR"/>
              </w:rPr>
              <w:t>)</w:t>
            </w:r>
            <w:r w:rsidRPr="005B70BA">
              <w:rPr>
                <w:rFonts w:ascii="Arial" w:hAnsi="Arial" w:cs="Arial"/>
                <w:sz w:val="20"/>
                <w:szCs w:val="20"/>
                <w:lang w:val="el-GR"/>
              </w:rPr>
              <w:t xml:space="preserve"> </w:t>
            </w:r>
            <w:r w:rsidRPr="0070650F">
              <w:rPr>
                <w:rFonts w:ascii="Arial" w:hAnsi="Arial" w:cs="Arial"/>
                <w:sz w:val="20"/>
                <w:szCs w:val="20"/>
                <w:lang w:val="el-GR"/>
              </w:rPr>
              <w:t>του</w:t>
            </w:r>
            <w:r w:rsidRPr="005B70BA">
              <w:rPr>
                <w:rStyle w:val="toc-instrument-enum"/>
                <w:rFonts w:ascii="Arial" w:hAnsi="Arial" w:cs="Arial"/>
                <w:color w:val="000000"/>
                <w:sz w:val="20"/>
                <w:szCs w:val="20"/>
                <w:lang w:val="el-GR"/>
              </w:rPr>
              <w:t xml:space="preserve"> </w:t>
            </w:r>
            <w:r w:rsidR="00DD3192" w:rsidRPr="005B70BA">
              <w:rPr>
                <w:rStyle w:val="toc-instrument-enum"/>
                <w:rFonts w:ascii="Arial" w:hAnsi="Arial" w:cs="Arial"/>
                <w:color w:val="000000"/>
                <w:sz w:val="20"/>
                <w:szCs w:val="20"/>
                <w:lang w:val="el-GR"/>
              </w:rPr>
              <w:t>2020</w:t>
            </w:r>
          </w:p>
          <w:p w:rsidR="00DD3192" w:rsidRPr="005B70BA" w:rsidRDefault="00827C99" w:rsidP="005B70BA">
            <w:pPr>
              <w:pStyle w:val="toc-instrument"/>
              <w:spacing w:before="0" w:beforeAutospacing="0" w:after="0" w:afterAutospacing="0" w:line="360" w:lineRule="auto"/>
              <w:jc w:val="right"/>
              <w:rPr>
                <w:rFonts w:ascii="Arial" w:hAnsi="Arial" w:cs="Arial"/>
                <w:color w:val="000000"/>
                <w:sz w:val="20"/>
                <w:szCs w:val="20"/>
                <w:lang w:val="el-GR"/>
              </w:rPr>
            </w:pPr>
            <w:r w:rsidRPr="005B70BA">
              <w:rPr>
                <w:rStyle w:val="toc-instrument-enum"/>
                <w:rFonts w:ascii="Arial" w:hAnsi="Arial" w:cs="Arial"/>
                <w:color w:val="000000"/>
                <w:sz w:val="20"/>
                <w:szCs w:val="20"/>
                <w:lang w:val="el-GR"/>
              </w:rPr>
              <w:lastRenderedPageBreak/>
              <w:t>58(</w:t>
            </w:r>
            <w:r>
              <w:rPr>
                <w:rStyle w:val="toc-instrument-enum"/>
                <w:rFonts w:ascii="Arial" w:hAnsi="Arial" w:cs="Arial"/>
                <w:color w:val="000000"/>
                <w:sz w:val="20"/>
                <w:szCs w:val="20"/>
              </w:rPr>
              <w:t>I</w:t>
            </w:r>
            <w:r w:rsidRPr="005B70BA">
              <w:rPr>
                <w:rStyle w:val="toc-instrument-enum"/>
                <w:rFonts w:ascii="Arial" w:hAnsi="Arial" w:cs="Arial"/>
                <w:color w:val="000000"/>
                <w:sz w:val="20"/>
                <w:szCs w:val="20"/>
                <w:lang w:val="el-GR"/>
              </w:rPr>
              <w:t>)</w:t>
            </w:r>
            <w:r w:rsidRPr="005B70BA">
              <w:rPr>
                <w:rFonts w:ascii="Arial" w:hAnsi="Arial" w:cs="Arial"/>
                <w:sz w:val="20"/>
                <w:szCs w:val="20"/>
                <w:lang w:val="el-GR"/>
              </w:rPr>
              <w:t xml:space="preserve"> </w:t>
            </w:r>
            <w:r w:rsidRPr="0070650F">
              <w:rPr>
                <w:rFonts w:ascii="Arial" w:hAnsi="Arial" w:cs="Arial"/>
                <w:sz w:val="20"/>
                <w:szCs w:val="20"/>
                <w:lang w:val="el-GR"/>
              </w:rPr>
              <w:t>του</w:t>
            </w:r>
            <w:r w:rsidRPr="005B70BA">
              <w:rPr>
                <w:rStyle w:val="toc-instrument-enum"/>
                <w:rFonts w:ascii="Arial" w:hAnsi="Arial" w:cs="Arial"/>
                <w:color w:val="000000"/>
                <w:sz w:val="20"/>
                <w:szCs w:val="20"/>
                <w:lang w:val="el-GR"/>
              </w:rPr>
              <w:t xml:space="preserve"> </w:t>
            </w:r>
            <w:r w:rsidR="00DD3192" w:rsidRPr="005B70BA">
              <w:rPr>
                <w:rStyle w:val="toc-instrument-enum"/>
                <w:rFonts w:ascii="Arial" w:hAnsi="Arial" w:cs="Arial"/>
                <w:color w:val="000000"/>
                <w:sz w:val="20"/>
                <w:szCs w:val="20"/>
                <w:lang w:val="el-GR"/>
              </w:rPr>
              <w:t>2020</w:t>
            </w:r>
          </w:p>
          <w:p w:rsidR="00DD3192" w:rsidRPr="005B70BA" w:rsidRDefault="00827C99" w:rsidP="005B70BA">
            <w:pPr>
              <w:pStyle w:val="toc-instrument"/>
              <w:spacing w:before="0" w:beforeAutospacing="0" w:after="0" w:afterAutospacing="0" w:line="360" w:lineRule="auto"/>
              <w:jc w:val="right"/>
              <w:rPr>
                <w:rFonts w:ascii="Arial" w:hAnsi="Arial" w:cs="Arial"/>
                <w:color w:val="000000"/>
                <w:sz w:val="20"/>
                <w:szCs w:val="20"/>
                <w:lang w:val="el-GR"/>
              </w:rPr>
            </w:pPr>
            <w:r w:rsidRPr="005B70BA">
              <w:rPr>
                <w:rStyle w:val="toc-instrument-enum"/>
                <w:rFonts w:ascii="Arial" w:hAnsi="Arial" w:cs="Arial"/>
                <w:color w:val="000000"/>
                <w:sz w:val="20"/>
                <w:szCs w:val="20"/>
                <w:lang w:val="el-GR"/>
              </w:rPr>
              <w:t>66(</w:t>
            </w:r>
            <w:r>
              <w:rPr>
                <w:rStyle w:val="toc-instrument-enum"/>
                <w:rFonts w:ascii="Arial" w:hAnsi="Arial" w:cs="Arial"/>
                <w:color w:val="000000"/>
                <w:sz w:val="20"/>
                <w:szCs w:val="20"/>
              </w:rPr>
              <w:t>I</w:t>
            </w:r>
            <w:r w:rsidRPr="005B70BA">
              <w:rPr>
                <w:rStyle w:val="toc-instrument-enum"/>
                <w:rFonts w:ascii="Arial" w:hAnsi="Arial" w:cs="Arial"/>
                <w:color w:val="000000"/>
                <w:sz w:val="20"/>
                <w:szCs w:val="20"/>
                <w:lang w:val="el-GR"/>
              </w:rPr>
              <w:t>)</w:t>
            </w:r>
            <w:r w:rsidRPr="005B70BA">
              <w:rPr>
                <w:rFonts w:ascii="Arial" w:hAnsi="Arial" w:cs="Arial"/>
                <w:sz w:val="20"/>
                <w:szCs w:val="20"/>
                <w:lang w:val="el-GR"/>
              </w:rPr>
              <w:t xml:space="preserve"> </w:t>
            </w:r>
            <w:r w:rsidRPr="0070650F">
              <w:rPr>
                <w:rFonts w:ascii="Arial" w:hAnsi="Arial" w:cs="Arial"/>
                <w:sz w:val="20"/>
                <w:szCs w:val="20"/>
                <w:lang w:val="el-GR"/>
              </w:rPr>
              <w:t>του</w:t>
            </w:r>
            <w:r w:rsidRPr="005B70BA">
              <w:rPr>
                <w:rStyle w:val="toc-instrument-enum"/>
                <w:rFonts w:ascii="Arial" w:hAnsi="Arial" w:cs="Arial"/>
                <w:color w:val="000000"/>
                <w:sz w:val="20"/>
                <w:szCs w:val="20"/>
                <w:lang w:val="el-GR"/>
              </w:rPr>
              <w:t xml:space="preserve"> </w:t>
            </w:r>
            <w:r w:rsidR="00DD3192" w:rsidRPr="005B70BA">
              <w:rPr>
                <w:rStyle w:val="toc-instrument-enum"/>
                <w:rFonts w:ascii="Arial" w:hAnsi="Arial" w:cs="Arial"/>
                <w:color w:val="000000"/>
                <w:sz w:val="20"/>
                <w:szCs w:val="20"/>
                <w:lang w:val="el-GR"/>
              </w:rPr>
              <w:t>2020</w:t>
            </w:r>
          </w:p>
          <w:p w:rsidR="0032282A" w:rsidRPr="0070650F" w:rsidRDefault="00827C99" w:rsidP="005B70BA">
            <w:pPr>
              <w:pStyle w:val="toc-instrument"/>
              <w:spacing w:before="0" w:beforeAutospacing="0" w:after="0" w:afterAutospacing="0" w:line="360" w:lineRule="auto"/>
              <w:jc w:val="right"/>
              <w:rPr>
                <w:rFonts w:ascii="Arial" w:hAnsi="Arial" w:cs="Arial"/>
                <w:sz w:val="20"/>
                <w:szCs w:val="20"/>
                <w:lang w:val="el-GR"/>
              </w:rPr>
            </w:pPr>
            <w:r w:rsidRPr="005B70BA">
              <w:rPr>
                <w:rStyle w:val="toc-instrument-enum"/>
                <w:rFonts w:ascii="Arial" w:hAnsi="Arial" w:cs="Arial"/>
                <w:color w:val="000000"/>
                <w:sz w:val="20"/>
                <w:szCs w:val="20"/>
                <w:lang w:val="el-GR"/>
              </w:rPr>
              <w:t>80(</w:t>
            </w:r>
            <w:r>
              <w:rPr>
                <w:rStyle w:val="toc-instrument-enum"/>
                <w:rFonts w:ascii="Arial" w:hAnsi="Arial" w:cs="Arial"/>
                <w:color w:val="000000"/>
                <w:sz w:val="20"/>
                <w:szCs w:val="20"/>
              </w:rPr>
              <w:t>I</w:t>
            </w:r>
            <w:r w:rsidRPr="005B70BA">
              <w:rPr>
                <w:rStyle w:val="toc-instrument-enum"/>
                <w:rFonts w:ascii="Arial" w:hAnsi="Arial" w:cs="Arial"/>
                <w:color w:val="000000"/>
                <w:sz w:val="20"/>
                <w:szCs w:val="20"/>
                <w:lang w:val="el-GR"/>
              </w:rPr>
              <w:t>)</w:t>
            </w:r>
            <w:r w:rsidRPr="005B70BA">
              <w:rPr>
                <w:rFonts w:ascii="Arial" w:hAnsi="Arial" w:cs="Arial"/>
                <w:sz w:val="20"/>
                <w:szCs w:val="20"/>
                <w:lang w:val="el-GR"/>
              </w:rPr>
              <w:t xml:space="preserve"> </w:t>
            </w:r>
            <w:r w:rsidRPr="0070650F">
              <w:rPr>
                <w:rFonts w:ascii="Arial" w:hAnsi="Arial" w:cs="Arial"/>
                <w:sz w:val="20"/>
                <w:szCs w:val="20"/>
                <w:lang w:val="el-GR"/>
              </w:rPr>
              <w:t>του</w:t>
            </w:r>
            <w:r w:rsidRPr="005B70BA">
              <w:rPr>
                <w:rStyle w:val="toc-instrument-enum"/>
                <w:rFonts w:ascii="Arial" w:hAnsi="Arial" w:cs="Arial"/>
                <w:color w:val="000000"/>
                <w:sz w:val="20"/>
                <w:szCs w:val="20"/>
                <w:lang w:val="el-GR"/>
              </w:rPr>
              <w:t xml:space="preserve"> </w:t>
            </w:r>
            <w:r w:rsidR="00DD3192" w:rsidRPr="005B70BA">
              <w:rPr>
                <w:rStyle w:val="toc-instrument-enum"/>
                <w:rFonts w:ascii="Arial" w:hAnsi="Arial" w:cs="Arial"/>
                <w:color w:val="000000"/>
                <w:sz w:val="20"/>
                <w:szCs w:val="20"/>
                <w:lang w:val="el-GR"/>
              </w:rPr>
              <w:t>2020</w:t>
            </w:r>
            <w:r w:rsidRPr="005B70BA">
              <w:rPr>
                <w:rStyle w:val="toc-instrument-enum"/>
                <w:rFonts w:ascii="Arial" w:hAnsi="Arial" w:cs="Arial"/>
                <w:color w:val="000000"/>
                <w:sz w:val="20"/>
                <w:szCs w:val="20"/>
                <w:lang w:val="el-GR"/>
              </w:rPr>
              <w:t>.</w:t>
            </w:r>
          </w:p>
        </w:tc>
        <w:tc>
          <w:tcPr>
            <w:tcW w:w="7783" w:type="dxa"/>
            <w:gridSpan w:val="2"/>
          </w:tcPr>
          <w:p w:rsidR="004329B2" w:rsidRPr="0070650F" w:rsidRDefault="004329B2" w:rsidP="00603AEF">
            <w:pPr>
              <w:spacing w:line="360" w:lineRule="auto"/>
              <w:jc w:val="both"/>
              <w:rPr>
                <w:rFonts w:ascii="Arial" w:hAnsi="Arial" w:cs="Arial"/>
                <w:sz w:val="24"/>
                <w:szCs w:val="24"/>
                <w:lang w:val="el-GR"/>
              </w:rPr>
            </w:pPr>
            <w:r w:rsidRPr="0070650F">
              <w:rPr>
                <w:rFonts w:ascii="Arial" w:hAnsi="Arial" w:cs="Arial"/>
                <w:sz w:val="24"/>
                <w:szCs w:val="24"/>
                <w:lang w:val="el-GR"/>
              </w:rPr>
              <w:lastRenderedPageBreak/>
              <w:t>«</w:t>
            </w:r>
            <w:r w:rsidR="00EB1852" w:rsidRPr="0070650F">
              <w:rPr>
                <w:rFonts w:ascii="Arial" w:hAnsi="Arial" w:cs="Arial"/>
                <w:sz w:val="24"/>
                <w:szCs w:val="24"/>
                <w:lang w:val="el-GR"/>
              </w:rPr>
              <w:t xml:space="preserve">ενδοομιλικές συναλλαγές» </w:t>
            </w:r>
            <w:r w:rsidRPr="0070650F">
              <w:rPr>
                <w:rFonts w:ascii="Arial" w:hAnsi="Arial" w:cs="Arial"/>
                <w:sz w:val="24"/>
                <w:szCs w:val="24"/>
                <w:lang w:val="el-GR"/>
              </w:rPr>
              <w:t xml:space="preserve">σημαίνει </w:t>
            </w:r>
            <w:r w:rsidR="00EB1852" w:rsidRPr="0070650F">
              <w:rPr>
                <w:rFonts w:ascii="Arial" w:hAnsi="Arial" w:cs="Arial"/>
                <w:sz w:val="24"/>
                <w:szCs w:val="24"/>
                <w:lang w:val="el-GR"/>
              </w:rPr>
              <w:t xml:space="preserve">τις συναλλαγές </w:t>
            </w:r>
            <w:r w:rsidR="00E76C4E" w:rsidRPr="0070650F">
              <w:rPr>
                <w:rFonts w:ascii="Arial" w:hAnsi="Arial" w:cs="Arial"/>
                <w:sz w:val="24"/>
                <w:szCs w:val="24"/>
                <w:lang w:val="el-GR"/>
              </w:rPr>
              <w:t xml:space="preserve">μεταξύ συνδεδεμένων προσώπων όπως ορίζονται στο εδάφιο 3 του </w:t>
            </w:r>
            <w:r w:rsidR="00254423" w:rsidRPr="0070650F">
              <w:rPr>
                <w:rFonts w:ascii="Arial" w:hAnsi="Arial" w:cs="Arial"/>
                <w:sz w:val="24"/>
                <w:szCs w:val="24"/>
                <w:lang w:val="el-GR"/>
              </w:rPr>
              <w:t>ά</w:t>
            </w:r>
            <w:r w:rsidR="00E76C4E" w:rsidRPr="0070650F">
              <w:rPr>
                <w:rFonts w:ascii="Arial" w:hAnsi="Arial" w:cs="Arial"/>
                <w:sz w:val="24"/>
                <w:szCs w:val="24"/>
                <w:lang w:val="el-GR"/>
              </w:rPr>
              <w:t>ρθρου</w:t>
            </w:r>
            <w:r w:rsidR="00EB1852" w:rsidRPr="0070650F">
              <w:rPr>
                <w:rFonts w:ascii="Arial" w:hAnsi="Arial" w:cs="Arial"/>
                <w:sz w:val="24"/>
                <w:szCs w:val="24"/>
                <w:lang w:val="el-GR"/>
              </w:rPr>
              <w:t xml:space="preserve"> 33 του περί Φορολογίας του Εισοδήματος Νόμου </w:t>
            </w:r>
            <w:r w:rsidR="003D510C" w:rsidRPr="0070650F">
              <w:rPr>
                <w:rFonts w:ascii="Arial" w:hAnsi="Arial" w:cs="Arial"/>
                <w:sz w:val="24"/>
                <w:szCs w:val="24"/>
                <w:lang w:val="el-GR"/>
              </w:rPr>
              <w:t xml:space="preserve">όπως αυτός </w:t>
            </w:r>
            <w:r w:rsidR="00EB1852" w:rsidRPr="0070650F">
              <w:rPr>
                <w:rFonts w:ascii="Arial" w:hAnsi="Arial" w:cs="Arial"/>
                <w:sz w:val="24"/>
                <w:szCs w:val="24"/>
                <w:lang w:val="el-GR"/>
              </w:rPr>
              <w:t>τροποπ</w:t>
            </w:r>
            <w:r w:rsidR="003D510C" w:rsidRPr="0070650F">
              <w:rPr>
                <w:rFonts w:ascii="Arial" w:hAnsi="Arial" w:cs="Arial"/>
                <w:sz w:val="24"/>
                <w:szCs w:val="24"/>
                <w:lang w:val="el-GR"/>
              </w:rPr>
              <w:t xml:space="preserve">οιείται η </w:t>
            </w:r>
            <w:r w:rsidR="00254423" w:rsidRPr="0070650F">
              <w:rPr>
                <w:rFonts w:ascii="Arial" w:hAnsi="Arial" w:cs="Arial"/>
                <w:sz w:val="24"/>
                <w:szCs w:val="24"/>
                <w:lang w:val="el-GR"/>
              </w:rPr>
              <w:t>αντικαθίσταται</w:t>
            </w:r>
            <w:r w:rsidR="00EB1852" w:rsidRPr="0070650F">
              <w:rPr>
                <w:rFonts w:ascii="Arial" w:hAnsi="Arial" w:cs="Arial"/>
                <w:sz w:val="24"/>
                <w:szCs w:val="24"/>
                <w:lang w:val="el-GR"/>
              </w:rPr>
              <w:t>.</w:t>
            </w:r>
          </w:p>
        </w:tc>
      </w:tr>
      <w:tr w:rsidR="00827C99" w:rsidRPr="00532D8A" w:rsidTr="005B70BA">
        <w:trPr>
          <w:trHeight w:val="162"/>
        </w:trPr>
        <w:tc>
          <w:tcPr>
            <w:tcW w:w="1998" w:type="dxa"/>
          </w:tcPr>
          <w:p w:rsidR="00827C99" w:rsidRDefault="00827C99" w:rsidP="000652E4">
            <w:pPr>
              <w:spacing w:line="360" w:lineRule="auto"/>
              <w:jc w:val="right"/>
              <w:rPr>
                <w:rFonts w:ascii="Arial" w:hAnsi="Arial" w:cs="Arial"/>
                <w:sz w:val="20"/>
                <w:szCs w:val="20"/>
                <w:lang w:val="el-GR"/>
              </w:rPr>
            </w:pPr>
          </w:p>
        </w:tc>
        <w:tc>
          <w:tcPr>
            <w:tcW w:w="7783" w:type="dxa"/>
            <w:gridSpan w:val="2"/>
          </w:tcPr>
          <w:p w:rsidR="00827C99" w:rsidRPr="0070650F" w:rsidRDefault="00827C99" w:rsidP="000652E4">
            <w:pPr>
              <w:spacing w:line="360" w:lineRule="auto"/>
              <w:jc w:val="both"/>
              <w:rPr>
                <w:rFonts w:ascii="Arial" w:hAnsi="Arial" w:cs="Arial"/>
                <w:sz w:val="24"/>
                <w:szCs w:val="24"/>
                <w:lang w:val="el-GR"/>
              </w:rPr>
            </w:pPr>
          </w:p>
        </w:tc>
      </w:tr>
      <w:tr w:rsidR="006804E2" w:rsidRPr="00532D8A" w:rsidTr="005B70BA">
        <w:trPr>
          <w:trHeight w:val="162"/>
        </w:trPr>
        <w:tc>
          <w:tcPr>
            <w:tcW w:w="1998" w:type="dxa"/>
          </w:tcPr>
          <w:p w:rsidR="006804E2" w:rsidRDefault="006804E2" w:rsidP="000652E4">
            <w:pPr>
              <w:spacing w:line="360" w:lineRule="auto"/>
              <w:jc w:val="right"/>
              <w:rPr>
                <w:rFonts w:ascii="Arial" w:hAnsi="Arial" w:cs="Arial"/>
                <w:sz w:val="20"/>
                <w:szCs w:val="20"/>
                <w:lang w:val="el-GR"/>
              </w:rPr>
            </w:pPr>
          </w:p>
        </w:tc>
        <w:tc>
          <w:tcPr>
            <w:tcW w:w="7783" w:type="dxa"/>
            <w:gridSpan w:val="2"/>
          </w:tcPr>
          <w:p w:rsidR="006804E2" w:rsidRPr="0070650F" w:rsidRDefault="006804E2" w:rsidP="000652E4">
            <w:pPr>
              <w:spacing w:line="360" w:lineRule="auto"/>
              <w:jc w:val="both"/>
              <w:rPr>
                <w:rFonts w:ascii="Arial" w:hAnsi="Arial" w:cs="Arial"/>
                <w:sz w:val="24"/>
                <w:szCs w:val="24"/>
                <w:lang w:val="el-GR"/>
              </w:rPr>
            </w:pPr>
            <w:r w:rsidRPr="0070650F">
              <w:rPr>
                <w:rFonts w:ascii="Arial" w:hAnsi="Arial" w:cs="Arial"/>
                <w:sz w:val="24"/>
                <w:szCs w:val="24"/>
                <w:lang w:val="el-GR"/>
              </w:rPr>
              <w:t>«Νόμος» σημαίνει τον περί Φορολογίας του Εισοδήματος Νόμο όπως αυτός τροποποιείται ή αντικαθίσταται.</w:t>
            </w:r>
          </w:p>
        </w:tc>
      </w:tr>
      <w:tr w:rsidR="006804E2" w:rsidRPr="00532D8A" w:rsidTr="005B70BA">
        <w:trPr>
          <w:trHeight w:val="336"/>
        </w:trPr>
        <w:tc>
          <w:tcPr>
            <w:tcW w:w="1998" w:type="dxa"/>
          </w:tcPr>
          <w:p w:rsidR="006804E2" w:rsidRDefault="006804E2" w:rsidP="000652E4">
            <w:pPr>
              <w:spacing w:line="360" w:lineRule="auto"/>
              <w:jc w:val="right"/>
              <w:rPr>
                <w:rFonts w:ascii="Arial" w:hAnsi="Arial" w:cs="Arial"/>
                <w:sz w:val="20"/>
                <w:szCs w:val="20"/>
                <w:lang w:val="el-GR"/>
              </w:rPr>
            </w:pPr>
          </w:p>
        </w:tc>
        <w:tc>
          <w:tcPr>
            <w:tcW w:w="7783" w:type="dxa"/>
            <w:gridSpan w:val="2"/>
          </w:tcPr>
          <w:p w:rsidR="006804E2" w:rsidRPr="0070650F" w:rsidRDefault="006804E2" w:rsidP="000652E4">
            <w:pPr>
              <w:spacing w:line="360" w:lineRule="auto"/>
              <w:jc w:val="both"/>
              <w:rPr>
                <w:rFonts w:ascii="Arial" w:hAnsi="Arial" w:cs="Arial"/>
                <w:sz w:val="24"/>
                <w:szCs w:val="24"/>
                <w:lang w:val="el-GR"/>
              </w:rPr>
            </w:pPr>
          </w:p>
        </w:tc>
      </w:tr>
      <w:tr w:rsidR="006804E2" w:rsidRPr="00532D8A" w:rsidTr="005B70BA">
        <w:trPr>
          <w:trHeight w:val="162"/>
        </w:trPr>
        <w:tc>
          <w:tcPr>
            <w:tcW w:w="1998" w:type="dxa"/>
          </w:tcPr>
          <w:p w:rsidR="006804E2" w:rsidRDefault="006804E2" w:rsidP="000652E4">
            <w:pPr>
              <w:spacing w:line="360" w:lineRule="auto"/>
              <w:jc w:val="right"/>
              <w:rPr>
                <w:rFonts w:ascii="Arial" w:hAnsi="Arial" w:cs="Arial"/>
                <w:sz w:val="20"/>
                <w:szCs w:val="20"/>
                <w:lang w:val="el-GR"/>
              </w:rPr>
            </w:pPr>
          </w:p>
        </w:tc>
        <w:tc>
          <w:tcPr>
            <w:tcW w:w="7783" w:type="dxa"/>
            <w:gridSpan w:val="2"/>
          </w:tcPr>
          <w:p w:rsidR="006804E2" w:rsidRPr="0070650F" w:rsidRDefault="00BD03FF" w:rsidP="000652E4">
            <w:pPr>
              <w:spacing w:line="360" w:lineRule="auto"/>
              <w:jc w:val="both"/>
              <w:rPr>
                <w:rFonts w:ascii="Arial" w:hAnsi="Arial" w:cs="Arial"/>
                <w:sz w:val="24"/>
                <w:szCs w:val="24"/>
                <w:lang w:val="el-GR"/>
              </w:rPr>
            </w:pPr>
            <w:r>
              <w:rPr>
                <w:rFonts w:ascii="Arial" w:hAnsi="Arial" w:cs="Arial"/>
                <w:sz w:val="24"/>
                <w:szCs w:val="24"/>
                <w:lang w:val="el-GR"/>
              </w:rPr>
              <w:t xml:space="preserve">     </w:t>
            </w:r>
            <w:r w:rsidR="006804E2" w:rsidRPr="0070650F">
              <w:rPr>
                <w:rFonts w:ascii="Arial" w:hAnsi="Arial" w:cs="Arial"/>
                <w:sz w:val="24"/>
                <w:szCs w:val="24"/>
                <w:lang w:val="el-GR"/>
              </w:rPr>
              <w:t>(2) Όροι η έννοια των οποίων δεν ορίζεται ειδικά στους παρόντες κανονισμούς, έχουν την έννοια που τους αποδίδεται στο Νόμο.</w:t>
            </w:r>
          </w:p>
        </w:tc>
      </w:tr>
      <w:tr w:rsidR="006804E2" w:rsidRPr="00532D8A" w:rsidTr="005B70BA">
        <w:trPr>
          <w:trHeight w:val="225"/>
        </w:trPr>
        <w:tc>
          <w:tcPr>
            <w:tcW w:w="1998" w:type="dxa"/>
          </w:tcPr>
          <w:p w:rsidR="006804E2" w:rsidRDefault="006804E2" w:rsidP="000652E4">
            <w:pPr>
              <w:spacing w:line="360" w:lineRule="auto"/>
              <w:jc w:val="right"/>
              <w:rPr>
                <w:rFonts w:ascii="Arial" w:hAnsi="Arial" w:cs="Arial"/>
                <w:sz w:val="20"/>
                <w:szCs w:val="20"/>
                <w:lang w:val="el-GR"/>
              </w:rPr>
            </w:pPr>
          </w:p>
        </w:tc>
        <w:tc>
          <w:tcPr>
            <w:tcW w:w="7783" w:type="dxa"/>
            <w:gridSpan w:val="2"/>
          </w:tcPr>
          <w:p w:rsidR="006804E2" w:rsidRPr="0070650F" w:rsidRDefault="006804E2" w:rsidP="000652E4">
            <w:pPr>
              <w:spacing w:line="360" w:lineRule="auto"/>
              <w:jc w:val="both"/>
              <w:rPr>
                <w:rFonts w:ascii="Arial" w:hAnsi="Arial" w:cs="Arial"/>
                <w:sz w:val="24"/>
                <w:szCs w:val="24"/>
                <w:lang w:val="el-GR"/>
              </w:rPr>
            </w:pPr>
          </w:p>
        </w:tc>
      </w:tr>
      <w:tr w:rsidR="006804E2" w:rsidRPr="00532D8A" w:rsidTr="005B70BA">
        <w:trPr>
          <w:trHeight w:val="225"/>
        </w:trPr>
        <w:tc>
          <w:tcPr>
            <w:tcW w:w="1998" w:type="dxa"/>
          </w:tcPr>
          <w:p w:rsidR="006804E2" w:rsidRDefault="006804E2" w:rsidP="006804E2">
            <w:pPr>
              <w:spacing w:line="360" w:lineRule="auto"/>
              <w:rPr>
                <w:rFonts w:ascii="Arial" w:hAnsi="Arial" w:cs="Arial"/>
                <w:sz w:val="20"/>
                <w:szCs w:val="20"/>
                <w:lang w:val="el-GR"/>
              </w:rPr>
            </w:pPr>
            <w:r w:rsidRPr="0070650F">
              <w:rPr>
                <w:rFonts w:ascii="Arial" w:hAnsi="Arial" w:cs="Arial"/>
                <w:sz w:val="20"/>
                <w:szCs w:val="20"/>
                <w:lang w:val="el-GR"/>
              </w:rPr>
              <w:t>Τεκμηρίωση Τιμολόγησης Ενδοομιλικών Συναλλαγών.</w:t>
            </w:r>
          </w:p>
        </w:tc>
        <w:tc>
          <w:tcPr>
            <w:tcW w:w="7783" w:type="dxa"/>
            <w:gridSpan w:val="2"/>
          </w:tcPr>
          <w:p w:rsidR="006804E2" w:rsidRPr="0070650F" w:rsidRDefault="006804E2" w:rsidP="006804E2">
            <w:pPr>
              <w:spacing w:line="360" w:lineRule="auto"/>
              <w:jc w:val="both"/>
              <w:rPr>
                <w:rFonts w:ascii="Arial" w:hAnsi="Arial" w:cs="Arial"/>
                <w:sz w:val="24"/>
                <w:szCs w:val="24"/>
                <w:lang w:val="el-GR"/>
              </w:rPr>
            </w:pPr>
            <w:r w:rsidRPr="0070650F">
              <w:rPr>
                <w:rFonts w:ascii="Arial" w:hAnsi="Arial" w:cs="Arial"/>
                <w:sz w:val="24"/>
                <w:szCs w:val="24"/>
                <w:lang w:val="el-GR"/>
              </w:rPr>
              <w:t>3.-(1) Για τις συναλλαγές που εμπίπτουν στο άρθρο 33 του Νόμου, τα πιο κάτω συνδεδεμένα πρόσωπα κατά την έννοια του άρθρου 33(3) του Νόμου υποχρεούνται να τηρούν Φάκελο Τεκμηρίωσης:</w:t>
            </w:r>
          </w:p>
        </w:tc>
      </w:tr>
      <w:tr w:rsidR="003D68EE" w:rsidRPr="00532D8A" w:rsidTr="005B70BA">
        <w:trPr>
          <w:trHeight w:val="225"/>
        </w:trPr>
        <w:tc>
          <w:tcPr>
            <w:tcW w:w="1998" w:type="dxa"/>
          </w:tcPr>
          <w:p w:rsidR="003D68EE" w:rsidRPr="0070650F" w:rsidRDefault="003D68EE" w:rsidP="006804E2">
            <w:pPr>
              <w:spacing w:line="360" w:lineRule="auto"/>
              <w:rPr>
                <w:rFonts w:ascii="Arial" w:hAnsi="Arial" w:cs="Arial"/>
                <w:sz w:val="20"/>
                <w:szCs w:val="20"/>
                <w:lang w:val="el-GR"/>
              </w:rPr>
            </w:pPr>
          </w:p>
        </w:tc>
        <w:tc>
          <w:tcPr>
            <w:tcW w:w="7783" w:type="dxa"/>
            <w:gridSpan w:val="2"/>
          </w:tcPr>
          <w:p w:rsidR="003D68EE" w:rsidRPr="0070650F" w:rsidRDefault="003D68EE" w:rsidP="006804E2">
            <w:pPr>
              <w:spacing w:line="360" w:lineRule="auto"/>
              <w:jc w:val="both"/>
              <w:rPr>
                <w:rFonts w:ascii="Arial" w:hAnsi="Arial" w:cs="Arial"/>
                <w:sz w:val="24"/>
                <w:szCs w:val="24"/>
                <w:lang w:val="el-GR"/>
              </w:rPr>
            </w:pPr>
          </w:p>
        </w:tc>
      </w:tr>
      <w:tr w:rsidR="006804E2" w:rsidRPr="00532D8A" w:rsidTr="00C879F9">
        <w:trPr>
          <w:trHeight w:val="137"/>
        </w:trPr>
        <w:tc>
          <w:tcPr>
            <w:tcW w:w="1998" w:type="dxa"/>
          </w:tcPr>
          <w:p w:rsidR="006804E2" w:rsidRDefault="006804E2" w:rsidP="006804E2">
            <w:pPr>
              <w:spacing w:line="360" w:lineRule="auto"/>
              <w:jc w:val="right"/>
              <w:rPr>
                <w:rFonts w:ascii="Arial" w:hAnsi="Arial" w:cs="Arial"/>
                <w:sz w:val="20"/>
                <w:szCs w:val="20"/>
                <w:lang w:val="el-GR"/>
              </w:rPr>
            </w:pPr>
          </w:p>
        </w:tc>
        <w:tc>
          <w:tcPr>
            <w:tcW w:w="720" w:type="dxa"/>
          </w:tcPr>
          <w:p w:rsidR="006804E2" w:rsidRPr="0070650F" w:rsidRDefault="00C879F9"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p>
        </w:tc>
        <w:tc>
          <w:tcPr>
            <w:tcW w:w="7063" w:type="dxa"/>
          </w:tcPr>
          <w:p w:rsidR="006804E2" w:rsidRPr="0070650F" w:rsidRDefault="006804E2" w:rsidP="006804E2">
            <w:pPr>
              <w:spacing w:line="360" w:lineRule="auto"/>
              <w:jc w:val="both"/>
              <w:rPr>
                <w:rFonts w:ascii="Arial" w:hAnsi="Arial" w:cs="Arial"/>
                <w:sz w:val="24"/>
                <w:szCs w:val="24"/>
                <w:lang w:val="el-GR"/>
              </w:rPr>
            </w:pPr>
            <w:r w:rsidRPr="0070650F">
              <w:rPr>
                <w:rFonts w:ascii="Arial" w:hAnsi="Arial" w:cs="Arial"/>
                <w:sz w:val="24"/>
                <w:szCs w:val="24"/>
                <w:lang w:val="el-GR"/>
              </w:rPr>
              <w:t xml:space="preserve">(α) </w:t>
            </w:r>
            <w:r>
              <w:rPr>
                <w:rFonts w:ascii="Arial" w:hAnsi="Arial" w:cs="Arial"/>
                <w:sz w:val="24"/>
                <w:szCs w:val="24"/>
                <w:lang w:val="el-GR"/>
              </w:rPr>
              <w:tab/>
            </w:r>
            <w:r w:rsidRPr="0070650F">
              <w:rPr>
                <w:rFonts w:ascii="Arial" w:hAnsi="Arial" w:cs="Arial"/>
                <w:sz w:val="24"/>
                <w:szCs w:val="24"/>
                <w:lang w:val="el-GR"/>
              </w:rPr>
              <w:t>πρόσωπα που είναι κάτοικοι στη Δημοκρατία·</w:t>
            </w:r>
          </w:p>
        </w:tc>
      </w:tr>
      <w:tr w:rsidR="006804E2" w:rsidRPr="00532D8A" w:rsidTr="00C879F9">
        <w:trPr>
          <w:trHeight w:val="137"/>
        </w:trPr>
        <w:tc>
          <w:tcPr>
            <w:tcW w:w="1998" w:type="dxa"/>
          </w:tcPr>
          <w:p w:rsidR="006804E2" w:rsidRDefault="006804E2" w:rsidP="006804E2">
            <w:pPr>
              <w:spacing w:line="360" w:lineRule="auto"/>
              <w:jc w:val="right"/>
              <w:rPr>
                <w:rFonts w:ascii="Arial" w:hAnsi="Arial" w:cs="Arial"/>
                <w:sz w:val="20"/>
                <w:szCs w:val="20"/>
                <w:lang w:val="el-GR"/>
              </w:rPr>
            </w:pPr>
          </w:p>
        </w:tc>
        <w:tc>
          <w:tcPr>
            <w:tcW w:w="720" w:type="dxa"/>
          </w:tcPr>
          <w:p w:rsidR="006804E2" w:rsidRPr="0070650F" w:rsidRDefault="006804E2" w:rsidP="006804E2">
            <w:pPr>
              <w:spacing w:line="360" w:lineRule="auto"/>
              <w:jc w:val="both"/>
              <w:rPr>
                <w:rFonts w:ascii="Arial" w:hAnsi="Arial" w:cs="Arial"/>
                <w:sz w:val="24"/>
                <w:szCs w:val="24"/>
                <w:lang w:val="el-GR"/>
              </w:rPr>
            </w:pPr>
          </w:p>
        </w:tc>
        <w:tc>
          <w:tcPr>
            <w:tcW w:w="7063" w:type="dxa"/>
          </w:tcPr>
          <w:p w:rsidR="006804E2" w:rsidRPr="0070650F" w:rsidRDefault="006804E2" w:rsidP="006804E2">
            <w:pPr>
              <w:spacing w:line="360" w:lineRule="auto"/>
              <w:jc w:val="both"/>
              <w:rPr>
                <w:rFonts w:ascii="Arial" w:hAnsi="Arial" w:cs="Arial"/>
                <w:sz w:val="24"/>
                <w:szCs w:val="24"/>
                <w:lang w:val="el-GR"/>
              </w:rPr>
            </w:pPr>
          </w:p>
        </w:tc>
      </w:tr>
      <w:tr w:rsidR="006804E2" w:rsidRPr="00532D8A" w:rsidTr="00C879F9">
        <w:trPr>
          <w:trHeight w:val="137"/>
        </w:trPr>
        <w:tc>
          <w:tcPr>
            <w:tcW w:w="1998" w:type="dxa"/>
          </w:tcPr>
          <w:p w:rsidR="006804E2" w:rsidRDefault="006804E2" w:rsidP="006804E2">
            <w:pPr>
              <w:spacing w:line="360" w:lineRule="auto"/>
              <w:jc w:val="right"/>
              <w:rPr>
                <w:rFonts w:ascii="Arial" w:hAnsi="Arial" w:cs="Arial"/>
                <w:sz w:val="20"/>
                <w:szCs w:val="20"/>
                <w:lang w:val="el-GR"/>
              </w:rPr>
            </w:pPr>
          </w:p>
        </w:tc>
        <w:tc>
          <w:tcPr>
            <w:tcW w:w="720" w:type="dxa"/>
          </w:tcPr>
          <w:p w:rsidR="006804E2" w:rsidRPr="0070650F" w:rsidRDefault="006804E2" w:rsidP="006804E2">
            <w:pPr>
              <w:spacing w:line="360" w:lineRule="auto"/>
              <w:jc w:val="both"/>
              <w:rPr>
                <w:rFonts w:ascii="Arial" w:hAnsi="Arial" w:cs="Arial"/>
                <w:sz w:val="24"/>
                <w:szCs w:val="24"/>
                <w:lang w:val="el-GR"/>
              </w:rPr>
            </w:pPr>
          </w:p>
        </w:tc>
        <w:tc>
          <w:tcPr>
            <w:tcW w:w="7063" w:type="dxa"/>
          </w:tcPr>
          <w:p w:rsidR="006804E2" w:rsidRPr="0070650F" w:rsidRDefault="006804E2" w:rsidP="006804E2">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(β)  </w:t>
            </w:r>
            <w:r>
              <w:rPr>
                <w:rFonts w:ascii="Arial" w:hAnsi="Arial" w:cs="Arial"/>
                <w:sz w:val="24"/>
                <w:szCs w:val="24"/>
                <w:lang w:val="el-GR"/>
              </w:rPr>
              <w:tab/>
            </w:r>
            <w:r w:rsidRPr="0070650F">
              <w:rPr>
                <w:rFonts w:ascii="Arial" w:hAnsi="Arial" w:cs="Arial"/>
                <w:sz w:val="24"/>
                <w:szCs w:val="24"/>
                <w:lang w:val="el-GR"/>
              </w:rPr>
              <w:t>μόνιμες εγκαταστάσεις στη Δημοκρατία μη κατοίκων στη Δημοκρατία, για τις παραπάνω συναλλαγές τους με την έδρα (κεντρικό γραφείο) ή με τα συνδεδεμένα πρόσωπα της έδρας εκτός της Δημοκρατίας·</w:t>
            </w:r>
          </w:p>
        </w:tc>
      </w:tr>
      <w:tr w:rsidR="006804E2" w:rsidRPr="00532D8A" w:rsidTr="00C879F9">
        <w:trPr>
          <w:trHeight w:val="137"/>
        </w:trPr>
        <w:tc>
          <w:tcPr>
            <w:tcW w:w="1998" w:type="dxa"/>
          </w:tcPr>
          <w:p w:rsidR="006804E2" w:rsidRDefault="006804E2" w:rsidP="006804E2">
            <w:pPr>
              <w:spacing w:line="360" w:lineRule="auto"/>
              <w:jc w:val="right"/>
              <w:rPr>
                <w:rFonts w:ascii="Arial" w:hAnsi="Arial" w:cs="Arial"/>
                <w:sz w:val="20"/>
                <w:szCs w:val="20"/>
                <w:lang w:val="el-GR"/>
              </w:rPr>
            </w:pPr>
          </w:p>
        </w:tc>
        <w:tc>
          <w:tcPr>
            <w:tcW w:w="720" w:type="dxa"/>
          </w:tcPr>
          <w:p w:rsidR="006804E2" w:rsidRPr="0070650F" w:rsidRDefault="006804E2" w:rsidP="006804E2">
            <w:pPr>
              <w:spacing w:line="360" w:lineRule="auto"/>
              <w:jc w:val="both"/>
              <w:rPr>
                <w:rFonts w:ascii="Arial" w:hAnsi="Arial" w:cs="Arial"/>
                <w:sz w:val="24"/>
                <w:szCs w:val="24"/>
                <w:lang w:val="el-GR"/>
              </w:rPr>
            </w:pPr>
          </w:p>
        </w:tc>
        <w:tc>
          <w:tcPr>
            <w:tcW w:w="7063" w:type="dxa"/>
          </w:tcPr>
          <w:p w:rsidR="006804E2" w:rsidRPr="0070650F" w:rsidRDefault="006804E2" w:rsidP="006804E2">
            <w:pPr>
              <w:spacing w:line="360" w:lineRule="auto"/>
              <w:ind w:left="720" w:hanging="720"/>
              <w:jc w:val="both"/>
              <w:rPr>
                <w:rFonts w:ascii="Arial" w:hAnsi="Arial" w:cs="Arial"/>
                <w:sz w:val="24"/>
                <w:szCs w:val="24"/>
                <w:lang w:val="el-GR"/>
              </w:rPr>
            </w:pPr>
          </w:p>
        </w:tc>
      </w:tr>
      <w:tr w:rsidR="006804E2" w:rsidRPr="00532D8A" w:rsidTr="00C879F9">
        <w:trPr>
          <w:trHeight w:val="137"/>
        </w:trPr>
        <w:tc>
          <w:tcPr>
            <w:tcW w:w="1998" w:type="dxa"/>
          </w:tcPr>
          <w:p w:rsidR="006804E2" w:rsidRDefault="006804E2" w:rsidP="006804E2">
            <w:pPr>
              <w:spacing w:line="360" w:lineRule="auto"/>
              <w:jc w:val="right"/>
              <w:rPr>
                <w:rFonts w:ascii="Arial" w:hAnsi="Arial" w:cs="Arial"/>
                <w:sz w:val="20"/>
                <w:szCs w:val="20"/>
                <w:lang w:val="el-GR"/>
              </w:rPr>
            </w:pPr>
          </w:p>
        </w:tc>
        <w:tc>
          <w:tcPr>
            <w:tcW w:w="720" w:type="dxa"/>
          </w:tcPr>
          <w:p w:rsidR="006804E2" w:rsidRPr="0070650F" w:rsidRDefault="006804E2" w:rsidP="006804E2">
            <w:pPr>
              <w:spacing w:line="360" w:lineRule="auto"/>
              <w:jc w:val="both"/>
              <w:rPr>
                <w:rFonts w:ascii="Arial" w:hAnsi="Arial" w:cs="Arial"/>
                <w:sz w:val="24"/>
                <w:szCs w:val="24"/>
                <w:lang w:val="el-GR"/>
              </w:rPr>
            </w:pPr>
          </w:p>
        </w:tc>
        <w:tc>
          <w:tcPr>
            <w:tcW w:w="7063" w:type="dxa"/>
          </w:tcPr>
          <w:p w:rsidR="006804E2" w:rsidRPr="0070650F" w:rsidRDefault="006804E2" w:rsidP="006804E2">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(γ) </w:t>
            </w:r>
            <w:r>
              <w:rPr>
                <w:rFonts w:ascii="Arial" w:hAnsi="Arial" w:cs="Arial"/>
                <w:sz w:val="24"/>
                <w:szCs w:val="24"/>
                <w:lang w:val="el-GR"/>
              </w:rPr>
              <w:tab/>
            </w:r>
            <w:r w:rsidRPr="0070650F">
              <w:rPr>
                <w:rFonts w:ascii="Arial" w:hAnsi="Arial" w:cs="Arial"/>
                <w:sz w:val="24"/>
                <w:szCs w:val="24"/>
                <w:lang w:val="el-GR"/>
              </w:rPr>
              <w:t>εταιρείες κάτοικοι στη Δημοκρατία αναφορικά με τις συναλλαγές τους με μόνιμες εγκαταστάσεις που διατηρούν εκτός της Δημοκρατίας.</w:t>
            </w:r>
          </w:p>
        </w:tc>
      </w:tr>
      <w:tr w:rsidR="006804E2" w:rsidRPr="00532D8A" w:rsidTr="00C879F9">
        <w:trPr>
          <w:trHeight w:val="137"/>
        </w:trPr>
        <w:tc>
          <w:tcPr>
            <w:tcW w:w="1998" w:type="dxa"/>
          </w:tcPr>
          <w:p w:rsidR="006804E2" w:rsidRDefault="006804E2" w:rsidP="006804E2">
            <w:pPr>
              <w:spacing w:line="360" w:lineRule="auto"/>
              <w:jc w:val="right"/>
              <w:rPr>
                <w:rFonts w:ascii="Arial" w:hAnsi="Arial" w:cs="Arial"/>
                <w:sz w:val="20"/>
                <w:szCs w:val="20"/>
                <w:lang w:val="el-GR"/>
              </w:rPr>
            </w:pPr>
          </w:p>
        </w:tc>
        <w:tc>
          <w:tcPr>
            <w:tcW w:w="720" w:type="dxa"/>
          </w:tcPr>
          <w:p w:rsidR="006804E2" w:rsidRPr="0070650F" w:rsidRDefault="006804E2" w:rsidP="006804E2">
            <w:pPr>
              <w:spacing w:line="360" w:lineRule="auto"/>
              <w:jc w:val="both"/>
              <w:rPr>
                <w:rFonts w:ascii="Arial" w:hAnsi="Arial" w:cs="Arial"/>
                <w:sz w:val="24"/>
                <w:szCs w:val="24"/>
                <w:lang w:val="el-GR"/>
              </w:rPr>
            </w:pPr>
          </w:p>
        </w:tc>
        <w:tc>
          <w:tcPr>
            <w:tcW w:w="7063" w:type="dxa"/>
          </w:tcPr>
          <w:p w:rsidR="006804E2" w:rsidRPr="0070650F" w:rsidRDefault="006804E2" w:rsidP="006804E2">
            <w:pPr>
              <w:spacing w:line="360" w:lineRule="auto"/>
              <w:jc w:val="both"/>
              <w:rPr>
                <w:rFonts w:ascii="Arial" w:hAnsi="Arial" w:cs="Arial"/>
                <w:sz w:val="24"/>
                <w:szCs w:val="24"/>
                <w:lang w:val="el-GR"/>
              </w:rPr>
            </w:pPr>
          </w:p>
        </w:tc>
      </w:tr>
      <w:tr w:rsidR="006804E2" w:rsidRPr="00532D8A" w:rsidTr="005B70BA">
        <w:trPr>
          <w:trHeight w:val="138"/>
        </w:trPr>
        <w:tc>
          <w:tcPr>
            <w:tcW w:w="1998" w:type="dxa"/>
          </w:tcPr>
          <w:p w:rsidR="006804E2" w:rsidRDefault="006804E2" w:rsidP="006804E2">
            <w:pPr>
              <w:spacing w:line="360" w:lineRule="auto"/>
              <w:jc w:val="right"/>
              <w:rPr>
                <w:rFonts w:ascii="Arial" w:hAnsi="Arial" w:cs="Arial"/>
                <w:sz w:val="20"/>
                <w:szCs w:val="20"/>
                <w:lang w:val="el-GR"/>
              </w:rPr>
            </w:pPr>
          </w:p>
        </w:tc>
        <w:tc>
          <w:tcPr>
            <w:tcW w:w="7783" w:type="dxa"/>
            <w:gridSpan w:val="2"/>
          </w:tcPr>
          <w:p w:rsidR="006804E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A37E47">
              <w:rPr>
                <w:rFonts w:ascii="Arial" w:hAnsi="Arial" w:cs="Arial"/>
                <w:sz w:val="24"/>
                <w:szCs w:val="24"/>
                <w:lang w:val="el-GR"/>
              </w:rPr>
              <w:t>(</w:t>
            </w:r>
            <w:r w:rsidR="00BA7044" w:rsidRPr="0070650F">
              <w:rPr>
                <w:rFonts w:ascii="Arial" w:hAnsi="Arial" w:cs="Arial"/>
                <w:sz w:val="24"/>
                <w:szCs w:val="24"/>
                <w:lang w:val="el-GR"/>
              </w:rPr>
              <w:t>2) Ο Φάκελος Τεκμηρίωσης αποτελείται κατά περίπτωση από το Βασικό Φάκελο Τεκμηρίωσης και τον Κυπριακό Φάκελο Τεκμηρίωσης.</w:t>
            </w:r>
          </w:p>
        </w:tc>
      </w:tr>
      <w:tr w:rsidR="00BA7044" w:rsidRPr="00532D8A" w:rsidTr="005B70BA">
        <w:trPr>
          <w:trHeight w:val="311"/>
        </w:trPr>
        <w:tc>
          <w:tcPr>
            <w:tcW w:w="1998" w:type="dxa"/>
          </w:tcPr>
          <w:p w:rsidR="00BA7044" w:rsidRDefault="00BA7044" w:rsidP="006804E2">
            <w:pPr>
              <w:spacing w:line="360" w:lineRule="auto"/>
              <w:jc w:val="right"/>
              <w:rPr>
                <w:rFonts w:ascii="Arial" w:hAnsi="Arial" w:cs="Arial"/>
                <w:sz w:val="20"/>
                <w:szCs w:val="20"/>
                <w:lang w:val="el-GR"/>
              </w:rPr>
            </w:pPr>
          </w:p>
        </w:tc>
        <w:tc>
          <w:tcPr>
            <w:tcW w:w="7783" w:type="dxa"/>
            <w:gridSpan w:val="2"/>
          </w:tcPr>
          <w:p w:rsidR="00BA7044" w:rsidRPr="0070650F" w:rsidRDefault="00BA7044" w:rsidP="006804E2">
            <w:pPr>
              <w:spacing w:line="360" w:lineRule="auto"/>
              <w:jc w:val="both"/>
              <w:rPr>
                <w:rFonts w:ascii="Arial" w:hAnsi="Arial" w:cs="Arial"/>
                <w:sz w:val="24"/>
                <w:szCs w:val="24"/>
                <w:lang w:val="el-GR"/>
              </w:rPr>
            </w:pPr>
          </w:p>
        </w:tc>
      </w:tr>
      <w:tr w:rsidR="00BA7044" w:rsidRPr="00532D8A" w:rsidTr="005B70BA">
        <w:trPr>
          <w:trHeight w:val="176"/>
        </w:trPr>
        <w:tc>
          <w:tcPr>
            <w:tcW w:w="1998" w:type="dxa"/>
          </w:tcPr>
          <w:p w:rsidR="00BA7044" w:rsidRDefault="00BA7044" w:rsidP="006804E2">
            <w:pPr>
              <w:spacing w:line="360" w:lineRule="auto"/>
              <w:jc w:val="right"/>
              <w:rPr>
                <w:rFonts w:ascii="Arial" w:hAnsi="Arial" w:cs="Arial"/>
                <w:sz w:val="20"/>
                <w:szCs w:val="20"/>
                <w:lang w:val="el-GR"/>
              </w:rPr>
            </w:pPr>
          </w:p>
        </w:tc>
        <w:tc>
          <w:tcPr>
            <w:tcW w:w="7783" w:type="dxa"/>
            <w:gridSpan w:val="2"/>
          </w:tcPr>
          <w:p w:rsidR="00BA7044"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5B70BA">
              <w:rPr>
                <w:rFonts w:ascii="Arial" w:hAnsi="Arial" w:cs="Arial"/>
                <w:sz w:val="24"/>
                <w:szCs w:val="24"/>
                <w:lang w:val="el-GR"/>
              </w:rPr>
              <w:t xml:space="preserve">(3) </w:t>
            </w:r>
            <w:r w:rsidR="00A37E47" w:rsidRPr="0070650F">
              <w:rPr>
                <w:rFonts w:ascii="Arial" w:hAnsi="Arial" w:cs="Arial"/>
                <w:sz w:val="24"/>
                <w:szCs w:val="24"/>
                <w:lang w:val="el-GR"/>
              </w:rPr>
              <w:t xml:space="preserve">Οι υπόχρεοι της παραγράφου (1) απαλλάσσονται από την υποχρέωση τήρησης Κυπριακού Φακέλου Τεκμηρίωσης, εφόσον οι ενδοομιλικές συναλλαγές αθροιστικώς ανά κατηγορία ανέρχονται ή θα έπρεπε να ανέρχονται με βάση την αρχή των ίσων αποστάσεων, μέχρι </w:t>
            </w:r>
            <w:r w:rsidR="00A37E47" w:rsidRPr="0070650F">
              <w:rPr>
                <w:rFonts w:ascii="Arial" w:hAnsi="Arial" w:cs="Arial"/>
                <w:sz w:val="24"/>
                <w:szCs w:val="24"/>
                <w:lang w:val="el-GR"/>
              </w:rPr>
              <w:lastRenderedPageBreak/>
              <w:t>επτακόσιες πενήντα χιλιάδες (</w:t>
            </w:r>
            <w:r w:rsidR="00603AEF">
              <w:rPr>
                <w:rFonts w:ascii="Arial" w:hAnsi="Arial" w:cs="Arial"/>
                <w:sz w:val="24"/>
                <w:szCs w:val="24"/>
                <w:lang w:val="el-GR"/>
              </w:rPr>
              <w:t>€</w:t>
            </w:r>
            <w:r w:rsidR="00A37E47" w:rsidRPr="0070650F">
              <w:rPr>
                <w:rFonts w:ascii="Arial" w:hAnsi="Arial" w:cs="Arial"/>
                <w:sz w:val="24"/>
                <w:szCs w:val="24"/>
                <w:lang w:val="el-GR"/>
              </w:rPr>
              <w:t>750.000) ευρώ ανά φορολογικό έτος.</w:t>
            </w:r>
          </w:p>
        </w:tc>
      </w:tr>
      <w:tr w:rsidR="00A37E47" w:rsidRPr="00532D8A" w:rsidTr="005B70BA">
        <w:trPr>
          <w:trHeight w:val="176"/>
        </w:trPr>
        <w:tc>
          <w:tcPr>
            <w:tcW w:w="1998" w:type="dxa"/>
          </w:tcPr>
          <w:p w:rsidR="00A37E47" w:rsidRDefault="00A37E47" w:rsidP="006804E2">
            <w:pPr>
              <w:spacing w:line="360" w:lineRule="auto"/>
              <w:jc w:val="right"/>
              <w:rPr>
                <w:rFonts w:ascii="Arial" w:hAnsi="Arial" w:cs="Arial"/>
                <w:sz w:val="20"/>
                <w:szCs w:val="20"/>
                <w:lang w:val="el-GR"/>
              </w:rPr>
            </w:pPr>
          </w:p>
        </w:tc>
        <w:tc>
          <w:tcPr>
            <w:tcW w:w="7783" w:type="dxa"/>
            <w:gridSpan w:val="2"/>
          </w:tcPr>
          <w:p w:rsidR="00A37E47" w:rsidRPr="0070650F" w:rsidRDefault="00A37E47" w:rsidP="006804E2">
            <w:pPr>
              <w:spacing w:line="360" w:lineRule="auto"/>
              <w:jc w:val="both"/>
              <w:rPr>
                <w:rFonts w:ascii="Arial" w:hAnsi="Arial" w:cs="Arial"/>
                <w:sz w:val="24"/>
                <w:szCs w:val="24"/>
                <w:lang w:val="el-GR"/>
              </w:rPr>
            </w:pPr>
          </w:p>
        </w:tc>
      </w:tr>
      <w:tr w:rsidR="00A37E47" w:rsidRPr="00532D8A" w:rsidTr="005B70BA">
        <w:trPr>
          <w:trHeight w:val="176"/>
        </w:trPr>
        <w:tc>
          <w:tcPr>
            <w:tcW w:w="1998" w:type="dxa"/>
          </w:tcPr>
          <w:p w:rsidR="007B0FC1" w:rsidRPr="00603AEF" w:rsidRDefault="007B0FC1" w:rsidP="007B0FC1">
            <w:pPr>
              <w:shd w:val="clear" w:color="auto" w:fill="FAFAFA"/>
              <w:spacing w:line="360" w:lineRule="auto"/>
              <w:jc w:val="right"/>
              <w:rPr>
                <w:rFonts w:ascii="Arial" w:eastAsia="Times New Roman" w:hAnsi="Arial" w:cs="Arial"/>
                <w:bCs/>
                <w:sz w:val="20"/>
                <w:szCs w:val="20"/>
                <w:lang w:val="el-GR" w:eastAsia="el-GR"/>
              </w:rPr>
            </w:pPr>
          </w:p>
          <w:p w:rsidR="007B0FC1" w:rsidRPr="00603AEF" w:rsidRDefault="007B0FC1" w:rsidP="007B0FC1">
            <w:pPr>
              <w:shd w:val="clear" w:color="auto" w:fill="FAFAFA"/>
              <w:spacing w:line="360" w:lineRule="auto"/>
              <w:jc w:val="right"/>
              <w:rPr>
                <w:rFonts w:ascii="Arial" w:eastAsia="Times New Roman" w:hAnsi="Arial" w:cs="Arial"/>
                <w:bCs/>
                <w:sz w:val="20"/>
                <w:szCs w:val="20"/>
                <w:lang w:val="el-GR" w:eastAsia="el-GR"/>
              </w:rPr>
            </w:pPr>
          </w:p>
          <w:p w:rsidR="007B0FC1" w:rsidRPr="00603AEF" w:rsidRDefault="007B0FC1" w:rsidP="007B0FC1">
            <w:pPr>
              <w:shd w:val="clear" w:color="auto" w:fill="FAFAFA"/>
              <w:spacing w:line="360" w:lineRule="auto"/>
              <w:jc w:val="right"/>
              <w:rPr>
                <w:rFonts w:ascii="Arial" w:eastAsia="Times New Roman" w:hAnsi="Arial" w:cs="Arial"/>
                <w:bCs/>
                <w:sz w:val="20"/>
                <w:szCs w:val="20"/>
                <w:lang w:val="el-GR" w:eastAsia="el-GR"/>
              </w:rPr>
            </w:pPr>
          </w:p>
          <w:p w:rsidR="007B0FC1" w:rsidRPr="00603AEF" w:rsidRDefault="007B0FC1" w:rsidP="007B0FC1">
            <w:pPr>
              <w:shd w:val="clear" w:color="auto" w:fill="FAFAFA"/>
              <w:spacing w:line="360" w:lineRule="auto"/>
              <w:jc w:val="right"/>
              <w:rPr>
                <w:rFonts w:ascii="Arial" w:eastAsia="Times New Roman" w:hAnsi="Arial" w:cs="Arial"/>
                <w:bCs/>
                <w:sz w:val="20"/>
                <w:szCs w:val="20"/>
                <w:lang w:val="el-GR" w:eastAsia="el-GR"/>
              </w:rPr>
            </w:pPr>
          </w:p>
          <w:p w:rsidR="007B0FC1" w:rsidRPr="00603AEF" w:rsidRDefault="007B0FC1" w:rsidP="007B0FC1">
            <w:pPr>
              <w:shd w:val="clear" w:color="auto" w:fill="FAFAFA"/>
              <w:spacing w:line="360" w:lineRule="auto"/>
              <w:jc w:val="right"/>
              <w:rPr>
                <w:rFonts w:ascii="Arial" w:eastAsia="Times New Roman" w:hAnsi="Arial" w:cs="Arial"/>
                <w:bCs/>
                <w:sz w:val="20"/>
                <w:szCs w:val="20"/>
                <w:lang w:val="el-GR" w:eastAsia="el-GR"/>
              </w:rPr>
            </w:pPr>
          </w:p>
          <w:p w:rsidR="007B0FC1" w:rsidRPr="007B0FC1" w:rsidRDefault="007B0FC1" w:rsidP="007B0FC1">
            <w:pPr>
              <w:shd w:val="clear" w:color="auto" w:fill="FAFAFA"/>
              <w:spacing w:line="360" w:lineRule="auto"/>
              <w:jc w:val="right"/>
              <w:rPr>
                <w:rFonts w:ascii="Arial" w:eastAsia="Times New Roman" w:hAnsi="Arial" w:cs="Arial"/>
                <w:bCs/>
                <w:sz w:val="20"/>
                <w:szCs w:val="20"/>
                <w:lang w:val="el-GR" w:eastAsia="el-GR"/>
              </w:rPr>
            </w:pPr>
            <w:r w:rsidRPr="007B0FC1">
              <w:rPr>
                <w:rFonts w:ascii="Arial" w:eastAsia="Times New Roman" w:hAnsi="Arial" w:cs="Arial"/>
                <w:bCs/>
                <w:sz w:val="20"/>
                <w:szCs w:val="20"/>
                <w:lang w:val="el-GR" w:eastAsia="el-GR"/>
              </w:rPr>
              <w:t>205(</w:t>
            </w:r>
            <w:r>
              <w:rPr>
                <w:rFonts w:ascii="Arial" w:eastAsia="Times New Roman" w:hAnsi="Arial" w:cs="Arial"/>
                <w:bCs/>
                <w:sz w:val="20"/>
                <w:szCs w:val="20"/>
                <w:lang w:val="el-GR" w:eastAsia="el-GR"/>
              </w:rPr>
              <w:t>Ι</w:t>
            </w:r>
            <w:r w:rsidRPr="007B0FC1">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7B0FC1">
              <w:rPr>
                <w:rFonts w:ascii="Arial" w:eastAsia="Times New Roman" w:hAnsi="Arial" w:cs="Arial"/>
                <w:bCs/>
                <w:sz w:val="20"/>
                <w:szCs w:val="20"/>
                <w:lang w:val="el-GR" w:eastAsia="el-GR"/>
              </w:rPr>
              <w:t xml:space="preserve"> 2012</w:t>
            </w:r>
          </w:p>
          <w:p w:rsidR="007B0FC1" w:rsidRPr="007B0FC1" w:rsidRDefault="007B0FC1" w:rsidP="007B0FC1">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162(</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2014 </w:t>
            </w:r>
          </w:p>
          <w:p w:rsidR="007B0FC1" w:rsidRPr="007B0FC1" w:rsidRDefault="007B0FC1" w:rsidP="007B0FC1">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95(</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2015 </w:t>
            </w:r>
          </w:p>
          <w:p w:rsidR="007B0FC1" w:rsidRPr="00603AEF" w:rsidRDefault="007B0FC1" w:rsidP="007B0FC1">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60(</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2016 </w:t>
            </w:r>
          </w:p>
          <w:p w:rsidR="007B0FC1" w:rsidRPr="00603AEF" w:rsidRDefault="007B0FC1" w:rsidP="007B0FC1">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98(</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2017 </w:t>
            </w:r>
          </w:p>
          <w:p w:rsidR="007B0FC1" w:rsidRPr="00603AEF" w:rsidRDefault="007B0FC1" w:rsidP="007B0FC1">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33(</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2018 </w:t>
            </w:r>
          </w:p>
          <w:p w:rsidR="00A37E47" w:rsidRPr="00576289" w:rsidRDefault="007B0FC1" w:rsidP="00603AEF">
            <w:pPr>
              <w:shd w:val="clear" w:color="auto" w:fill="FAFAFA"/>
              <w:spacing w:line="360" w:lineRule="auto"/>
              <w:jc w:val="right"/>
              <w:rPr>
                <w:rFonts w:ascii="Arial" w:hAnsi="Arial" w:cs="Arial"/>
                <w:sz w:val="20"/>
                <w:szCs w:val="20"/>
                <w:lang w:val="el-GR"/>
              </w:rPr>
            </w:pPr>
            <w:r w:rsidRPr="00603AEF">
              <w:rPr>
                <w:rFonts w:ascii="Arial" w:eastAsia="Times New Roman" w:hAnsi="Arial" w:cs="Arial"/>
                <w:sz w:val="20"/>
                <w:szCs w:val="20"/>
                <w:lang w:val="el-GR" w:eastAsia="el-GR"/>
              </w:rPr>
              <w:t>119(</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2018. </w:t>
            </w:r>
          </w:p>
        </w:tc>
        <w:tc>
          <w:tcPr>
            <w:tcW w:w="7783" w:type="dxa"/>
            <w:gridSpan w:val="2"/>
          </w:tcPr>
          <w:p w:rsidR="00A37E47" w:rsidRPr="0070650F" w:rsidRDefault="00BD03FF" w:rsidP="00A37E47">
            <w:pPr>
              <w:spacing w:line="360" w:lineRule="auto"/>
              <w:jc w:val="both"/>
              <w:rPr>
                <w:rFonts w:ascii="Arial" w:hAnsi="Arial" w:cs="Arial"/>
                <w:sz w:val="24"/>
                <w:szCs w:val="24"/>
                <w:lang w:val="el-GR"/>
              </w:rPr>
            </w:pPr>
            <w:r w:rsidRPr="00603AEF">
              <w:rPr>
                <w:rFonts w:ascii="Arial" w:hAnsi="Arial" w:cs="Arial"/>
                <w:sz w:val="24"/>
                <w:szCs w:val="24"/>
                <w:lang w:val="el-GR"/>
              </w:rPr>
              <w:t xml:space="preserve">     </w:t>
            </w:r>
            <w:r w:rsidR="00A37E47">
              <w:rPr>
                <w:rFonts w:ascii="Arial" w:hAnsi="Arial" w:cs="Arial"/>
                <w:sz w:val="24"/>
                <w:szCs w:val="24"/>
                <w:lang w:val="el-GR"/>
              </w:rPr>
              <w:t>(</w:t>
            </w:r>
            <w:r w:rsidR="00A37E47" w:rsidRPr="0070650F">
              <w:rPr>
                <w:rFonts w:ascii="Arial" w:hAnsi="Arial" w:cs="Arial"/>
                <w:sz w:val="24"/>
                <w:szCs w:val="24"/>
                <w:lang w:val="el-GR"/>
              </w:rPr>
              <w:t>4) Οι υπόχρεοι της παραγράφου (1) απαλλάσσονται από την υποχρέωση τήρησης Βασικού Φακέλου Τεκμηρίωσης, εφόσον δεν αποτελούν την Τελική Μητρική Οντότητα ή Παρένθετη Μητρική Οντότητα όπως ορίζονται στο Τμήμα Ι του Τρίτου Παραρτήματος του περί Διοικητικής Συνεργασίας στον Τομέα της Φορολογίας Νόμου.</w:t>
            </w:r>
          </w:p>
        </w:tc>
      </w:tr>
      <w:tr w:rsidR="00A37E47" w:rsidRPr="00532D8A" w:rsidTr="005B70BA">
        <w:trPr>
          <w:trHeight w:val="254"/>
        </w:trPr>
        <w:tc>
          <w:tcPr>
            <w:tcW w:w="1998" w:type="dxa"/>
          </w:tcPr>
          <w:p w:rsidR="00A37E47" w:rsidRDefault="00A37E47" w:rsidP="006804E2">
            <w:pPr>
              <w:spacing w:line="360" w:lineRule="auto"/>
              <w:jc w:val="right"/>
              <w:rPr>
                <w:rFonts w:ascii="Arial" w:hAnsi="Arial" w:cs="Arial"/>
                <w:sz w:val="20"/>
                <w:szCs w:val="20"/>
                <w:lang w:val="el-GR"/>
              </w:rPr>
            </w:pPr>
          </w:p>
        </w:tc>
        <w:tc>
          <w:tcPr>
            <w:tcW w:w="7783" w:type="dxa"/>
            <w:gridSpan w:val="2"/>
          </w:tcPr>
          <w:p w:rsidR="00A37E47" w:rsidRPr="0070650F" w:rsidRDefault="00A37E47" w:rsidP="006804E2">
            <w:pPr>
              <w:spacing w:line="360" w:lineRule="auto"/>
              <w:jc w:val="both"/>
              <w:rPr>
                <w:rFonts w:ascii="Arial" w:hAnsi="Arial" w:cs="Arial"/>
                <w:sz w:val="24"/>
                <w:szCs w:val="24"/>
                <w:lang w:val="el-GR"/>
              </w:rPr>
            </w:pPr>
          </w:p>
        </w:tc>
      </w:tr>
      <w:tr w:rsidR="00A37E47" w:rsidRPr="00532D8A" w:rsidTr="005B70BA">
        <w:trPr>
          <w:trHeight w:val="254"/>
        </w:trPr>
        <w:tc>
          <w:tcPr>
            <w:tcW w:w="1998" w:type="dxa"/>
          </w:tcPr>
          <w:p w:rsidR="00A37E47" w:rsidRPr="00532D8A" w:rsidRDefault="005E5C0F" w:rsidP="007B0FC1">
            <w:pPr>
              <w:shd w:val="clear" w:color="auto" w:fill="FAFAFA"/>
              <w:spacing w:line="360" w:lineRule="auto"/>
              <w:jc w:val="right"/>
              <w:rPr>
                <w:rFonts w:ascii="Arial" w:hAnsi="Arial" w:cs="Arial"/>
                <w:sz w:val="20"/>
                <w:szCs w:val="20"/>
                <w:lang w:val="el-GR"/>
              </w:rPr>
            </w:pPr>
            <w:r w:rsidRPr="00532D8A">
              <w:rPr>
                <w:rFonts w:ascii="Arial" w:eastAsia="Times New Roman" w:hAnsi="Arial" w:cs="Arial"/>
                <w:sz w:val="20"/>
                <w:szCs w:val="20"/>
                <w:lang w:val="el-GR" w:eastAsia="el-GR"/>
              </w:rPr>
              <w:t xml:space="preserve"> </w:t>
            </w:r>
          </w:p>
        </w:tc>
        <w:tc>
          <w:tcPr>
            <w:tcW w:w="7783" w:type="dxa"/>
            <w:gridSpan w:val="2"/>
          </w:tcPr>
          <w:p w:rsidR="00A37E47" w:rsidRPr="0070650F" w:rsidRDefault="00BD03FF" w:rsidP="006804E2">
            <w:pPr>
              <w:spacing w:line="360" w:lineRule="auto"/>
              <w:jc w:val="both"/>
              <w:rPr>
                <w:rFonts w:ascii="Arial" w:hAnsi="Arial" w:cs="Arial"/>
                <w:sz w:val="24"/>
                <w:szCs w:val="24"/>
                <w:lang w:val="el-GR"/>
              </w:rPr>
            </w:pPr>
            <w:r w:rsidRPr="007B0FC1">
              <w:rPr>
                <w:rFonts w:ascii="Arial" w:hAnsi="Arial" w:cs="Arial"/>
                <w:sz w:val="24"/>
                <w:szCs w:val="24"/>
                <w:lang w:val="el-GR"/>
              </w:rPr>
              <w:t xml:space="preserve">     </w:t>
            </w:r>
            <w:r w:rsidR="00A37E47" w:rsidRPr="0070650F">
              <w:rPr>
                <w:rFonts w:ascii="Arial" w:hAnsi="Arial" w:cs="Arial"/>
                <w:sz w:val="24"/>
                <w:szCs w:val="24"/>
                <w:lang w:val="el-GR"/>
              </w:rPr>
              <w:t>(5) Ο Φάκελος Τεκμηρίωσης που αποτελείται κατά περίπτωση από το Βασικό Φάκελο Τεκμηρίωσης και τον Κυπριακό Φάκελο Τεκμηρίωσης, καταρτίζεται εντός δώδεκα (12) μηνών από το τέλος του φορολογικού έτους και συνοδεύεται από Συνοπτικό Πίνακα Πληροφοριών, ο οποίος υποβάλλεται ηλεκτρονικά στο Τμήμα Φορολογίας όχι αργότερα από εννέα μήνες από το τέλος του φορολογικού έτους. Τα υπόχρεα πρόσωπα της παραγράφου (1) υποβάλλουν Συνοπτικό Πίνακα Πληροφοριών για κάθε φορολογικό έτος, εφόσον δεν εμπίπτουν στην παράγραφο (3) του παρόντος Κανονισμού:</w:t>
            </w:r>
          </w:p>
        </w:tc>
      </w:tr>
      <w:tr w:rsidR="00576289" w:rsidRPr="00532D8A" w:rsidTr="005B70BA">
        <w:trPr>
          <w:trHeight w:val="254"/>
        </w:trPr>
        <w:tc>
          <w:tcPr>
            <w:tcW w:w="1998" w:type="dxa"/>
          </w:tcPr>
          <w:p w:rsidR="00576289" w:rsidRPr="00603AEF"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6804E2">
            <w:pPr>
              <w:spacing w:line="360" w:lineRule="auto"/>
              <w:jc w:val="both"/>
              <w:rPr>
                <w:rFonts w:ascii="Arial" w:hAnsi="Arial" w:cs="Arial"/>
                <w:sz w:val="24"/>
                <w:szCs w:val="24"/>
                <w:lang w:val="el-GR"/>
              </w:rPr>
            </w:pPr>
          </w:p>
        </w:tc>
      </w:tr>
      <w:tr w:rsidR="00576289" w:rsidRPr="00532D8A" w:rsidTr="005B70BA">
        <w:trPr>
          <w:trHeight w:val="254"/>
        </w:trPr>
        <w:tc>
          <w:tcPr>
            <w:tcW w:w="1998" w:type="dxa"/>
          </w:tcPr>
          <w:p w:rsidR="00603AEF" w:rsidRDefault="00603AEF" w:rsidP="00603AEF">
            <w:pPr>
              <w:shd w:val="clear" w:color="auto" w:fill="FAFAFA"/>
              <w:spacing w:line="360" w:lineRule="auto"/>
              <w:jc w:val="right"/>
              <w:rPr>
                <w:rFonts w:ascii="Arial" w:eastAsia="Times New Roman" w:hAnsi="Arial" w:cs="Arial"/>
                <w:b/>
                <w:bCs/>
                <w:sz w:val="20"/>
                <w:szCs w:val="20"/>
                <w:lang w:val="el-GR" w:eastAsia="el-GR"/>
              </w:rPr>
            </w:pPr>
          </w:p>
          <w:p w:rsidR="00603AEF" w:rsidRPr="00603AEF" w:rsidRDefault="00603AEF" w:rsidP="00603AEF">
            <w:pPr>
              <w:shd w:val="clear" w:color="auto" w:fill="FAFAFA"/>
              <w:spacing w:line="360" w:lineRule="auto"/>
              <w:jc w:val="right"/>
              <w:rPr>
                <w:rFonts w:ascii="Arial" w:eastAsia="Times New Roman" w:hAnsi="Arial" w:cs="Arial"/>
                <w:b/>
                <w:bCs/>
                <w:sz w:val="20"/>
                <w:szCs w:val="20"/>
                <w:lang w:val="el-GR" w:eastAsia="el-GR"/>
              </w:rPr>
            </w:pPr>
            <w:r w:rsidRPr="005E5C0F">
              <w:rPr>
                <w:rFonts w:ascii="Arial" w:eastAsia="Times New Roman" w:hAnsi="Arial" w:cs="Arial"/>
                <w:b/>
                <w:bCs/>
                <w:sz w:val="20"/>
                <w:szCs w:val="20"/>
                <w:lang w:val="el-GR" w:eastAsia="el-GR"/>
              </w:rPr>
              <w:t>ΚΕΦ</w:t>
            </w:r>
            <w:r w:rsidRPr="00603AEF">
              <w:rPr>
                <w:rFonts w:ascii="Arial" w:eastAsia="Times New Roman" w:hAnsi="Arial" w:cs="Arial"/>
                <w:b/>
                <w:bCs/>
                <w:sz w:val="20"/>
                <w:szCs w:val="20"/>
                <w:lang w:val="el-GR" w:eastAsia="el-GR"/>
              </w:rPr>
              <w:t>.113</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9</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1968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76</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1977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17</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1979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105</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1985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198</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1986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 xml:space="preserve">19 </w:t>
            </w:r>
            <w:r>
              <w:rPr>
                <w:rFonts w:ascii="Arial" w:eastAsia="Times New Roman" w:hAnsi="Arial" w:cs="Arial"/>
                <w:bCs/>
                <w:sz w:val="20"/>
                <w:szCs w:val="20"/>
                <w:lang w:val="el-GR" w:eastAsia="el-GR"/>
              </w:rPr>
              <w:t>του</w:t>
            </w:r>
            <w:r w:rsidRPr="007B0FC1">
              <w:rPr>
                <w:rFonts w:ascii="Arial" w:eastAsia="Times New Roman" w:hAnsi="Arial" w:cs="Arial"/>
                <w:sz w:val="20"/>
                <w:szCs w:val="20"/>
                <w:lang w:val="el-GR" w:eastAsia="el-GR"/>
              </w:rPr>
              <w:t xml:space="preserve"> 1990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46(</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1992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lastRenderedPageBreak/>
              <w:t>96(</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1992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41(</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1994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15(</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1995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21(</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1997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5E5C0F">
              <w:rPr>
                <w:rFonts w:ascii="Arial" w:eastAsia="Times New Roman" w:hAnsi="Arial" w:cs="Arial"/>
                <w:sz w:val="20"/>
                <w:szCs w:val="20"/>
                <w:lang w:val="el-GR" w:eastAsia="el-GR"/>
              </w:rPr>
              <w:t>ΑΝΑΚ</w:t>
            </w:r>
            <w:r w:rsidRPr="00603AEF">
              <w:rPr>
                <w:rFonts w:ascii="Arial" w:eastAsia="Times New Roman" w:hAnsi="Arial" w:cs="Arial"/>
                <w:sz w:val="20"/>
                <w:szCs w:val="20"/>
                <w:lang w:val="el-GR" w:eastAsia="el-GR"/>
              </w:rPr>
              <w:t xml:space="preserve">.2331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82(</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1999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149(</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1999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2(</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2000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135(</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2000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151(</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2000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76(</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2001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70(</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2003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167(</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2003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92(</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2004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24(</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2005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129(</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2005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130(</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2005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98(</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2006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124(</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2006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70(</w:t>
            </w:r>
            <w:r>
              <w:rPr>
                <w:rFonts w:ascii="Arial" w:eastAsia="Times New Roman" w:hAnsi="Arial" w:cs="Arial"/>
                <w:sz w:val="20"/>
                <w:szCs w:val="20"/>
                <w:lang w:eastAsia="el-GR"/>
              </w:rPr>
              <w:t>I</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71(</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131(</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186(</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87(</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2008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41(</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2009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49(</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2009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99(</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2009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42(</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2010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60(</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2010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88(</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2010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53(</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2011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117(</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2011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145(</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2011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157(</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2011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198(</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2011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64(</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sidRPr="00603AEF">
              <w:rPr>
                <w:rFonts w:ascii="Arial" w:eastAsia="Times New Roman" w:hAnsi="Arial" w:cs="Arial"/>
                <w:bCs/>
                <w:sz w:val="20"/>
                <w:szCs w:val="20"/>
                <w:lang w:val="el-GR" w:eastAsia="el-GR"/>
              </w:rPr>
              <w:t xml:space="preserve"> </w:t>
            </w:r>
            <w:r>
              <w:rPr>
                <w:rFonts w:ascii="Arial" w:eastAsia="Times New Roman" w:hAnsi="Arial" w:cs="Arial"/>
                <w:bCs/>
                <w:sz w:val="20"/>
                <w:szCs w:val="20"/>
                <w:lang w:val="el-GR" w:eastAsia="el-GR"/>
              </w:rPr>
              <w:t>του</w:t>
            </w:r>
            <w:r w:rsidRPr="00603AEF">
              <w:rPr>
                <w:rFonts w:ascii="Arial" w:eastAsia="Times New Roman" w:hAnsi="Arial" w:cs="Arial"/>
                <w:sz w:val="20"/>
                <w:szCs w:val="20"/>
                <w:lang w:val="el-GR" w:eastAsia="el-GR"/>
              </w:rPr>
              <w:t xml:space="preserve"> 2012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98(</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2012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190(</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2012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lastRenderedPageBreak/>
              <w:t>203(</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2012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6(</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2013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90(</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2013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74(</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2014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75(</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2014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18(</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2015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62(</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2015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63(</w:t>
            </w:r>
            <w:r w:rsidRPr="005E5C0F">
              <w:rPr>
                <w:rFonts w:ascii="Arial" w:eastAsia="Times New Roman" w:hAnsi="Arial" w:cs="Arial"/>
                <w:sz w:val="20"/>
                <w:szCs w:val="20"/>
                <w:lang w:val="el-GR" w:eastAsia="el-GR"/>
              </w:rPr>
              <w:t>Ι</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2015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89(</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2015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120(</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2015 </w:t>
            </w:r>
          </w:p>
          <w:p w:rsidR="00603AEF" w:rsidRPr="007B0FC1" w:rsidRDefault="00603AEF" w:rsidP="00603AEF">
            <w:pPr>
              <w:shd w:val="clear" w:color="auto" w:fill="FAFAFA"/>
              <w:spacing w:line="360" w:lineRule="auto"/>
              <w:jc w:val="right"/>
              <w:rPr>
                <w:rFonts w:ascii="Arial" w:eastAsia="Times New Roman" w:hAnsi="Arial" w:cs="Arial"/>
                <w:sz w:val="20"/>
                <w:szCs w:val="20"/>
                <w:lang w:val="el-GR" w:eastAsia="el-GR"/>
              </w:rPr>
            </w:pPr>
            <w:r w:rsidRPr="007B0FC1">
              <w:rPr>
                <w:rFonts w:ascii="Arial" w:eastAsia="Times New Roman" w:hAnsi="Arial" w:cs="Arial"/>
                <w:sz w:val="20"/>
                <w:szCs w:val="20"/>
                <w:lang w:val="el-GR" w:eastAsia="el-GR"/>
              </w:rPr>
              <w:t>40(</w:t>
            </w:r>
            <w:r>
              <w:rPr>
                <w:rFonts w:ascii="Arial" w:eastAsia="Times New Roman" w:hAnsi="Arial" w:cs="Arial"/>
                <w:sz w:val="20"/>
                <w:szCs w:val="20"/>
                <w:lang w:eastAsia="el-GR"/>
              </w:rPr>
              <w:t>I</w:t>
            </w:r>
            <w:r w:rsidRPr="007B0FC1">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val="el-GR" w:eastAsia="el-GR"/>
              </w:rPr>
              <w:t xml:space="preserve"> 2016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90(</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2016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97(</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2016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17(</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33(</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51(</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2017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37(</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2018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83(</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2018 </w:t>
            </w:r>
          </w:p>
          <w:p w:rsidR="00603AEF"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sidRPr="00603AEF">
              <w:rPr>
                <w:rFonts w:ascii="Arial" w:eastAsia="Times New Roman" w:hAnsi="Arial" w:cs="Arial"/>
                <w:sz w:val="20"/>
                <w:szCs w:val="20"/>
                <w:lang w:val="el-GR" w:eastAsia="el-GR"/>
              </w:rPr>
              <w:t>149(</w:t>
            </w:r>
            <w:r>
              <w:rPr>
                <w:rFonts w:ascii="Arial" w:eastAsia="Times New Roman" w:hAnsi="Arial" w:cs="Arial"/>
                <w:sz w:val="20"/>
                <w:szCs w:val="20"/>
                <w:lang w:eastAsia="el-GR"/>
              </w:rPr>
              <w:t>I</w:t>
            </w:r>
            <w:r w:rsidRPr="00603AEF">
              <w:rPr>
                <w:rFonts w:ascii="Arial" w:eastAsia="Times New Roman" w:hAnsi="Arial" w:cs="Arial"/>
                <w:sz w:val="20"/>
                <w:szCs w:val="20"/>
                <w:lang w:val="el-GR" w:eastAsia="el-GR"/>
              </w:rPr>
              <w:t>)</w:t>
            </w:r>
            <w:r>
              <w:rPr>
                <w:rFonts w:ascii="Arial" w:eastAsia="Times New Roman" w:hAnsi="Arial" w:cs="Arial"/>
                <w:bCs/>
                <w:sz w:val="20"/>
                <w:szCs w:val="20"/>
                <w:lang w:val="el-GR" w:eastAsia="el-GR"/>
              </w:rPr>
              <w:t xml:space="preserve"> του</w:t>
            </w:r>
            <w:r w:rsidRPr="00603AEF">
              <w:rPr>
                <w:rFonts w:ascii="Arial" w:eastAsia="Times New Roman" w:hAnsi="Arial" w:cs="Arial"/>
                <w:sz w:val="20"/>
                <w:szCs w:val="20"/>
                <w:lang w:val="el-GR" w:eastAsia="el-GR"/>
              </w:rPr>
              <w:t xml:space="preserve"> 2018 </w:t>
            </w:r>
          </w:p>
          <w:p w:rsidR="00603AEF" w:rsidRPr="007B0FC1" w:rsidRDefault="00603AEF" w:rsidP="00603AEF">
            <w:pPr>
              <w:shd w:val="clear" w:color="auto" w:fill="FAFAFA"/>
              <w:spacing w:line="36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163(I)</w:t>
            </w:r>
            <w:r>
              <w:rPr>
                <w:rFonts w:ascii="Arial" w:eastAsia="Times New Roman" w:hAnsi="Arial" w:cs="Arial"/>
                <w:bCs/>
                <w:sz w:val="20"/>
                <w:szCs w:val="20"/>
                <w:lang w:val="el-GR" w:eastAsia="el-GR"/>
              </w:rPr>
              <w:t xml:space="preserve"> του</w:t>
            </w:r>
            <w:r w:rsidRPr="007B0FC1">
              <w:rPr>
                <w:rFonts w:ascii="Arial" w:eastAsia="Times New Roman" w:hAnsi="Arial" w:cs="Arial"/>
                <w:sz w:val="20"/>
                <w:szCs w:val="20"/>
                <w:lang w:eastAsia="el-GR"/>
              </w:rPr>
              <w:t xml:space="preserve"> 2019 </w:t>
            </w:r>
          </w:p>
          <w:p w:rsidR="00603AEF" w:rsidRPr="007B0FC1" w:rsidRDefault="00603AEF" w:rsidP="00603AEF">
            <w:pPr>
              <w:shd w:val="clear" w:color="auto" w:fill="FAFAFA"/>
              <w:spacing w:line="36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38(I)</w:t>
            </w:r>
            <w:r w:rsidRPr="00576289">
              <w:rPr>
                <w:rFonts w:ascii="Arial" w:eastAsia="Times New Roman" w:hAnsi="Arial" w:cs="Arial"/>
                <w:bCs/>
                <w:sz w:val="20"/>
                <w:szCs w:val="20"/>
                <w:lang w:eastAsia="el-GR"/>
              </w:rPr>
              <w:t xml:space="preserve"> </w:t>
            </w:r>
            <w:r>
              <w:rPr>
                <w:rFonts w:ascii="Arial" w:eastAsia="Times New Roman" w:hAnsi="Arial" w:cs="Arial"/>
                <w:bCs/>
                <w:sz w:val="20"/>
                <w:szCs w:val="20"/>
                <w:lang w:val="el-GR" w:eastAsia="el-GR"/>
              </w:rPr>
              <w:t>του</w:t>
            </w:r>
            <w:r w:rsidRPr="007B0FC1">
              <w:rPr>
                <w:rFonts w:ascii="Arial" w:eastAsia="Times New Roman" w:hAnsi="Arial" w:cs="Arial"/>
                <w:sz w:val="20"/>
                <w:szCs w:val="20"/>
                <w:lang w:eastAsia="el-GR"/>
              </w:rPr>
              <w:t xml:space="preserve"> 2020 </w:t>
            </w:r>
          </w:p>
          <w:p w:rsidR="00576289" w:rsidRPr="00603AEF" w:rsidRDefault="00603AEF" w:rsidP="00603AEF">
            <w:pPr>
              <w:shd w:val="clear" w:color="auto" w:fill="FAFAFA"/>
              <w:spacing w:line="360" w:lineRule="auto"/>
              <w:jc w:val="right"/>
              <w:rPr>
                <w:rFonts w:ascii="Arial" w:eastAsia="Times New Roman" w:hAnsi="Arial" w:cs="Arial"/>
                <w:sz w:val="20"/>
                <w:szCs w:val="20"/>
                <w:lang w:val="el-GR" w:eastAsia="el-GR"/>
              </w:rPr>
            </w:pPr>
            <w:r>
              <w:rPr>
                <w:rFonts w:ascii="Arial" w:eastAsia="Times New Roman" w:hAnsi="Arial" w:cs="Arial"/>
                <w:sz w:val="20"/>
                <w:szCs w:val="20"/>
                <w:lang w:eastAsia="el-GR"/>
              </w:rPr>
              <w:t>43(I)</w:t>
            </w:r>
            <w:r w:rsidRPr="00576289">
              <w:rPr>
                <w:rFonts w:ascii="Arial" w:eastAsia="Times New Roman" w:hAnsi="Arial" w:cs="Arial"/>
                <w:bCs/>
                <w:sz w:val="20"/>
                <w:szCs w:val="20"/>
                <w:lang w:eastAsia="el-GR"/>
              </w:rPr>
              <w:t xml:space="preserve"> </w:t>
            </w:r>
            <w:r>
              <w:rPr>
                <w:rFonts w:ascii="Arial" w:eastAsia="Times New Roman" w:hAnsi="Arial" w:cs="Arial"/>
                <w:bCs/>
                <w:sz w:val="20"/>
                <w:szCs w:val="20"/>
                <w:lang w:val="el-GR" w:eastAsia="el-GR"/>
              </w:rPr>
              <w:t>του</w:t>
            </w:r>
            <w:r w:rsidRPr="007B0FC1">
              <w:rPr>
                <w:rFonts w:ascii="Arial" w:eastAsia="Times New Roman" w:hAnsi="Arial" w:cs="Arial"/>
                <w:sz w:val="20"/>
                <w:szCs w:val="20"/>
                <w:lang w:eastAsia="el-GR"/>
              </w:rPr>
              <w:t xml:space="preserve"> 2020</w:t>
            </w:r>
            <w:r>
              <w:rPr>
                <w:rFonts w:ascii="Arial" w:eastAsia="Times New Roman" w:hAnsi="Arial" w:cs="Arial"/>
                <w:sz w:val="20"/>
                <w:szCs w:val="20"/>
                <w:lang w:val="el-GR" w:eastAsia="el-GR"/>
              </w:rPr>
              <w:t>.</w:t>
            </w:r>
          </w:p>
        </w:tc>
        <w:tc>
          <w:tcPr>
            <w:tcW w:w="7783" w:type="dxa"/>
            <w:gridSpan w:val="2"/>
          </w:tcPr>
          <w:p w:rsidR="00576289" w:rsidRPr="007B0FC1" w:rsidRDefault="00576289" w:rsidP="00576289">
            <w:pPr>
              <w:spacing w:line="360" w:lineRule="auto"/>
              <w:jc w:val="both"/>
              <w:rPr>
                <w:rFonts w:ascii="Arial" w:hAnsi="Arial" w:cs="Arial"/>
                <w:sz w:val="24"/>
                <w:szCs w:val="24"/>
                <w:lang w:val="el-GR"/>
              </w:rPr>
            </w:pPr>
            <w:r>
              <w:rPr>
                <w:rFonts w:ascii="Arial" w:hAnsi="Arial" w:cs="Arial"/>
                <w:sz w:val="24"/>
                <w:szCs w:val="24"/>
                <w:lang w:val="el-GR"/>
              </w:rPr>
              <w:lastRenderedPageBreak/>
              <w:tab/>
            </w:r>
            <w:r w:rsidRPr="00AF603E">
              <w:rPr>
                <w:rFonts w:ascii="Arial" w:hAnsi="Arial" w:cs="Arial"/>
                <w:sz w:val="24"/>
                <w:szCs w:val="24"/>
                <w:lang w:val="el-GR"/>
              </w:rPr>
              <w:t xml:space="preserve">Νοείται ότι πρόσωπο το οποίο κατέχει άδεια να ενεργεί ως ελεγκτής εταιρείας σύμφωνα με τον περί Εταιρειών Νόμο διενεργεί έλεγχο διασφάλισης ποιότητας του Κυπριακού Φακέλου Τεκμηρίωσης εντός </w:t>
            </w:r>
            <w:r>
              <w:rPr>
                <w:rFonts w:ascii="Arial" w:hAnsi="Arial" w:cs="Arial"/>
                <w:sz w:val="24"/>
                <w:szCs w:val="24"/>
                <w:lang w:val="el-GR"/>
              </w:rPr>
              <w:t>ενενήντα (</w:t>
            </w:r>
            <w:r w:rsidRPr="00AF603E">
              <w:rPr>
                <w:rFonts w:ascii="Arial" w:hAnsi="Arial" w:cs="Arial"/>
                <w:sz w:val="24"/>
                <w:szCs w:val="24"/>
                <w:lang w:val="el-GR"/>
              </w:rPr>
              <w:t>90</w:t>
            </w:r>
            <w:r>
              <w:rPr>
                <w:rFonts w:ascii="Arial" w:hAnsi="Arial" w:cs="Arial"/>
                <w:sz w:val="24"/>
                <w:szCs w:val="24"/>
                <w:lang w:val="el-GR"/>
              </w:rPr>
              <w:t>)</w:t>
            </w:r>
            <w:r w:rsidRPr="00AF603E">
              <w:rPr>
                <w:rFonts w:ascii="Arial" w:hAnsi="Arial" w:cs="Arial"/>
                <w:sz w:val="24"/>
                <w:szCs w:val="24"/>
                <w:lang w:val="el-GR"/>
              </w:rPr>
              <w:t xml:space="preserve"> ημερών από την ημερομηνία υποχρέωσης υποβολής της δήλωσης εισοδήματος του υπόχρεου προσώπου για το φορολογικό έτος στο οποίο αναφέρεται.</w:t>
            </w:r>
          </w:p>
        </w:tc>
      </w:tr>
      <w:tr w:rsidR="00576289" w:rsidRPr="00532D8A" w:rsidTr="005B70BA">
        <w:trPr>
          <w:trHeight w:val="254"/>
        </w:trPr>
        <w:tc>
          <w:tcPr>
            <w:tcW w:w="1998" w:type="dxa"/>
          </w:tcPr>
          <w:p w:rsidR="00576289" w:rsidRPr="00576289"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6804E2">
            <w:pPr>
              <w:spacing w:line="360" w:lineRule="auto"/>
              <w:jc w:val="both"/>
              <w:rPr>
                <w:rFonts w:ascii="Arial" w:hAnsi="Arial" w:cs="Arial"/>
                <w:sz w:val="24"/>
                <w:szCs w:val="24"/>
                <w:lang w:val="el-GR"/>
              </w:rPr>
            </w:pPr>
          </w:p>
        </w:tc>
      </w:tr>
      <w:tr w:rsidR="00576289" w:rsidRPr="00532D8A" w:rsidTr="005B70BA">
        <w:trPr>
          <w:trHeight w:val="254"/>
        </w:trPr>
        <w:tc>
          <w:tcPr>
            <w:tcW w:w="1998" w:type="dxa"/>
          </w:tcPr>
          <w:p w:rsidR="00576289" w:rsidRPr="00576289"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576289">
            <w:pPr>
              <w:spacing w:line="360" w:lineRule="auto"/>
              <w:jc w:val="both"/>
              <w:rPr>
                <w:rFonts w:ascii="Arial" w:hAnsi="Arial" w:cs="Arial"/>
                <w:sz w:val="24"/>
                <w:szCs w:val="24"/>
                <w:lang w:val="el-GR"/>
              </w:rPr>
            </w:pPr>
            <w:r>
              <w:rPr>
                <w:rFonts w:ascii="Arial" w:hAnsi="Arial" w:cs="Arial"/>
                <w:sz w:val="24"/>
                <w:szCs w:val="24"/>
                <w:lang w:val="el-GR"/>
              </w:rPr>
              <w:t xml:space="preserve">     </w:t>
            </w:r>
            <w:r w:rsidRPr="00AF603E">
              <w:rPr>
                <w:rFonts w:ascii="Arial" w:hAnsi="Arial" w:cs="Arial"/>
                <w:sz w:val="24"/>
                <w:szCs w:val="24"/>
                <w:lang w:val="el-GR"/>
              </w:rPr>
              <w:t>(6) Ο Φάκελος Τεκμηρίωσης τηρείται στην έδρα του υπόχρεου καθ’ όλο το χρονικό διάστημα, για το οποίο υφίσταται υποχρέωση διαφύλαξης των βιβλίων και στοιχείων του αντίστοιχου φορολογικού έτους.  Ο Φάκελος Τεκμηρίωσης τίθεται στη διάθεση του Τμήματος Φορολογίας οποτεδήποτε ζητηθεί εντός εξήντα (60</w:t>
            </w:r>
            <w:r>
              <w:rPr>
                <w:rFonts w:ascii="Arial" w:hAnsi="Arial" w:cs="Arial"/>
                <w:sz w:val="24"/>
                <w:szCs w:val="24"/>
                <w:lang w:val="el-GR"/>
              </w:rPr>
              <w:t>)</w:t>
            </w:r>
            <w:r w:rsidRPr="00AF603E">
              <w:rPr>
                <w:rFonts w:ascii="Arial" w:hAnsi="Arial" w:cs="Arial"/>
                <w:sz w:val="24"/>
                <w:szCs w:val="24"/>
                <w:lang w:val="el-GR"/>
              </w:rPr>
              <w:t xml:space="preserve"> ημερών από την παραλαβή του σχετικού αιτήματος από τον υπόχρεο ή από πρόσωπο εξουσιοδοτημένο από τον υπόχρεο να ενεργεί ως αντιπρόσωπος της εταιρείας για το σκοπό αυτό.</w:t>
            </w:r>
          </w:p>
        </w:tc>
      </w:tr>
      <w:tr w:rsidR="00576289" w:rsidRPr="00532D8A" w:rsidTr="005B70BA">
        <w:trPr>
          <w:trHeight w:val="254"/>
        </w:trPr>
        <w:tc>
          <w:tcPr>
            <w:tcW w:w="1998" w:type="dxa"/>
          </w:tcPr>
          <w:p w:rsidR="00576289" w:rsidRPr="00576289"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6804E2">
            <w:pPr>
              <w:spacing w:line="360" w:lineRule="auto"/>
              <w:jc w:val="both"/>
              <w:rPr>
                <w:rFonts w:ascii="Arial" w:hAnsi="Arial" w:cs="Arial"/>
                <w:sz w:val="24"/>
                <w:szCs w:val="24"/>
                <w:lang w:val="el-GR"/>
              </w:rPr>
            </w:pPr>
          </w:p>
        </w:tc>
      </w:tr>
      <w:tr w:rsidR="00576289" w:rsidRPr="00532D8A" w:rsidTr="005B70BA">
        <w:trPr>
          <w:trHeight w:val="254"/>
        </w:trPr>
        <w:tc>
          <w:tcPr>
            <w:tcW w:w="1998" w:type="dxa"/>
          </w:tcPr>
          <w:p w:rsidR="00576289" w:rsidRPr="00576289"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576289">
            <w:pPr>
              <w:spacing w:line="360" w:lineRule="auto"/>
              <w:jc w:val="both"/>
              <w:rPr>
                <w:rFonts w:ascii="Arial" w:hAnsi="Arial" w:cs="Arial"/>
                <w:sz w:val="24"/>
                <w:szCs w:val="24"/>
                <w:lang w:val="el-GR"/>
              </w:rPr>
            </w:pPr>
            <w:r>
              <w:rPr>
                <w:rFonts w:ascii="Arial" w:hAnsi="Arial" w:cs="Arial"/>
                <w:sz w:val="24"/>
                <w:szCs w:val="24"/>
                <w:lang w:val="el-GR"/>
              </w:rPr>
              <w:t xml:space="preserve">     </w:t>
            </w:r>
            <w:r w:rsidRPr="00AF603E">
              <w:rPr>
                <w:rFonts w:ascii="Arial" w:hAnsi="Arial" w:cs="Arial"/>
                <w:sz w:val="24"/>
                <w:szCs w:val="24"/>
                <w:lang w:val="el-GR"/>
              </w:rPr>
              <w:t xml:space="preserve">(7) Ο Φάκελος Τεκμηρίωσης της παραγράφου </w:t>
            </w:r>
            <w:r>
              <w:rPr>
                <w:rFonts w:ascii="Arial" w:hAnsi="Arial" w:cs="Arial"/>
                <w:sz w:val="24"/>
                <w:szCs w:val="24"/>
                <w:lang w:val="el-GR"/>
              </w:rPr>
              <w:t>(</w:t>
            </w:r>
            <w:r w:rsidRPr="00AF603E">
              <w:rPr>
                <w:rFonts w:ascii="Arial" w:hAnsi="Arial" w:cs="Arial"/>
                <w:sz w:val="24"/>
                <w:szCs w:val="24"/>
                <w:lang w:val="el-GR"/>
              </w:rPr>
              <w:t>2</w:t>
            </w:r>
            <w:r>
              <w:rPr>
                <w:rFonts w:ascii="Arial" w:hAnsi="Arial" w:cs="Arial"/>
                <w:sz w:val="24"/>
                <w:szCs w:val="24"/>
                <w:lang w:val="el-GR"/>
              </w:rPr>
              <w:t xml:space="preserve">) </w:t>
            </w:r>
            <w:r w:rsidRPr="00AF603E">
              <w:rPr>
                <w:rFonts w:ascii="Arial" w:hAnsi="Arial" w:cs="Arial"/>
                <w:sz w:val="24"/>
                <w:szCs w:val="24"/>
                <w:lang w:val="el-GR"/>
              </w:rPr>
              <w:t xml:space="preserve">περιλαμβάνει ειδικό κεφάλαιο όπου περιγράφονται γεγονότα που έχουν αντίκτυπο στις πληροφορίες και τα στοιχεία που παρέχονται στους φακέλους και </w:t>
            </w:r>
            <w:r w:rsidRPr="00AF603E">
              <w:rPr>
                <w:rFonts w:ascii="Arial" w:hAnsi="Arial" w:cs="Arial"/>
                <w:sz w:val="24"/>
                <w:szCs w:val="24"/>
                <w:lang w:val="el-GR"/>
              </w:rPr>
              <w:lastRenderedPageBreak/>
              <w:t>που οφείλονται σε οποιαδήποτε μεταβολή των συνθηκών της αγοράς. Ο υπόχρεος οφείλει να   επικαιροποιεί το φάκελο κάθε φορολογικό έτος.  Η επικαιροποίηση του φακέλου γίνεται εντός δώδεκα (12) μηνών από το τέλος του φορολογικού έτους κατά τη διάρκεια του οποίου προέκυψε η ανάγκη επικαιροποίησης.  Με απόφαση του Εφόρου είναι δυνατός ο καθορισμός ειδικών θεμάτων των επικαιροποιήσεων που κρίνονται απαραίτητες όσον αφορά το περιεχόμενο των Φακέλων Τεκμηρίωσης είτε σε ετήσια είτε σε μόνιμη βάση.</w:t>
            </w:r>
          </w:p>
        </w:tc>
      </w:tr>
      <w:tr w:rsidR="00576289" w:rsidRPr="00532D8A" w:rsidTr="005B70BA">
        <w:trPr>
          <w:trHeight w:val="254"/>
        </w:trPr>
        <w:tc>
          <w:tcPr>
            <w:tcW w:w="1998" w:type="dxa"/>
          </w:tcPr>
          <w:p w:rsidR="00576289" w:rsidRPr="00576289"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6804E2">
            <w:pPr>
              <w:spacing w:line="360" w:lineRule="auto"/>
              <w:jc w:val="both"/>
              <w:rPr>
                <w:rFonts w:ascii="Arial" w:hAnsi="Arial" w:cs="Arial"/>
                <w:sz w:val="24"/>
                <w:szCs w:val="24"/>
                <w:lang w:val="el-GR"/>
              </w:rPr>
            </w:pPr>
          </w:p>
        </w:tc>
      </w:tr>
      <w:tr w:rsidR="00576289" w:rsidRPr="00532D8A" w:rsidTr="005B70BA">
        <w:trPr>
          <w:trHeight w:val="254"/>
        </w:trPr>
        <w:tc>
          <w:tcPr>
            <w:tcW w:w="1998" w:type="dxa"/>
          </w:tcPr>
          <w:p w:rsidR="00576289" w:rsidRPr="00576289"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576289">
            <w:pPr>
              <w:spacing w:line="360" w:lineRule="auto"/>
              <w:jc w:val="both"/>
              <w:rPr>
                <w:rFonts w:ascii="Arial" w:hAnsi="Arial" w:cs="Arial"/>
                <w:sz w:val="24"/>
                <w:szCs w:val="24"/>
                <w:lang w:val="el-GR"/>
              </w:rPr>
            </w:pPr>
            <w:r>
              <w:rPr>
                <w:rFonts w:ascii="Arial" w:hAnsi="Arial" w:cs="Arial"/>
                <w:sz w:val="24"/>
                <w:szCs w:val="24"/>
                <w:lang w:val="el-GR"/>
              </w:rPr>
              <w:t xml:space="preserve">     </w:t>
            </w:r>
            <w:r w:rsidRPr="00AF603E">
              <w:rPr>
                <w:rFonts w:ascii="Arial" w:hAnsi="Arial" w:cs="Arial"/>
                <w:sz w:val="24"/>
                <w:szCs w:val="24"/>
                <w:lang w:val="el-GR"/>
              </w:rPr>
              <w:t>(8)  Με γνωστοποίηση του Εφόρου που δημοσιεύεται στην Επίσημη Εφημερίδα της Δημοκρατίας</w:t>
            </w:r>
            <w:r w:rsidRPr="00137F58">
              <w:rPr>
                <w:rFonts w:ascii="Arial" w:hAnsi="Arial" w:cs="Arial"/>
                <w:sz w:val="24"/>
                <w:szCs w:val="24"/>
                <w:lang w:val="el-GR"/>
              </w:rPr>
              <w:t xml:space="preserve"> </w:t>
            </w:r>
            <w:r w:rsidRPr="00AF603E">
              <w:rPr>
                <w:rFonts w:ascii="Arial" w:hAnsi="Arial" w:cs="Arial"/>
                <w:sz w:val="24"/>
                <w:szCs w:val="24"/>
                <w:lang w:val="el-GR"/>
              </w:rPr>
              <w:t>καθορίζονται και εξειδικεύονται το ακριβές περιεχόμενο και τα στοιχεία που περιέχονται στο Φάκελο Τεκμηρίωσης και το Συνοπτικό Πίνακα Πληροφοριών, οι περιπτώσεις κατά τις οποίες οι παραπάνω φάκελοι θεωρούνται μη πλήρεις ή μη επαρκείς, οι αποδεκτές μέθοδοι καθορισμού των τιμών των συναλλαγών και οι μέθοδοι καθορισμού του αποδεκτού εύρους των τιμών ή του περιθωρίου κέρδους.</w:t>
            </w:r>
          </w:p>
        </w:tc>
      </w:tr>
      <w:tr w:rsidR="00576289" w:rsidRPr="00532D8A" w:rsidTr="005B70BA">
        <w:trPr>
          <w:trHeight w:val="254"/>
        </w:trPr>
        <w:tc>
          <w:tcPr>
            <w:tcW w:w="1998" w:type="dxa"/>
          </w:tcPr>
          <w:p w:rsidR="00576289" w:rsidRPr="00576289" w:rsidRDefault="00576289" w:rsidP="007B0FC1">
            <w:pPr>
              <w:shd w:val="clear" w:color="auto" w:fill="FAFAFA"/>
              <w:spacing w:line="360" w:lineRule="auto"/>
              <w:jc w:val="right"/>
              <w:rPr>
                <w:rFonts w:ascii="Arial" w:eastAsia="Times New Roman" w:hAnsi="Arial" w:cs="Arial"/>
                <w:sz w:val="20"/>
                <w:szCs w:val="20"/>
                <w:lang w:val="el-GR" w:eastAsia="el-GR"/>
              </w:rPr>
            </w:pPr>
          </w:p>
        </w:tc>
        <w:tc>
          <w:tcPr>
            <w:tcW w:w="7783" w:type="dxa"/>
            <w:gridSpan w:val="2"/>
          </w:tcPr>
          <w:p w:rsidR="00576289" w:rsidRPr="007B0FC1" w:rsidRDefault="00576289"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7E4632">
            <w:pPr>
              <w:spacing w:line="360" w:lineRule="auto"/>
              <w:rPr>
                <w:rFonts w:ascii="Arial" w:hAnsi="Arial" w:cs="Arial"/>
                <w:sz w:val="20"/>
                <w:szCs w:val="20"/>
                <w:lang w:val="el-GR"/>
              </w:rPr>
            </w:pPr>
            <w:r w:rsidRPr="0070650F">
              <w:rPr>
                <w:rFonts w:ascii="Arial" w:hAnsi="Arial" w:cs="Arial"/>
                <w:sz w:val="20"/>
                <w:szCs w:val="20"/>
                <w:lang w:val="el-GR"/>
              </w:rPr>
              <w:t>Προέγκριση Μεθοδολογίας Ενδοομιλικής Τιμολόγησης διασυνοριακών συναλλαγών.</w:t>
            </w:r>
          </w:p>
        </w:tc>
        <w:tc>
          <w:tcPr>
            <w:tcW w:w="7783" w:type="dxa"/>
            <w:gridSpan w:val="2"/>
          </w:tcPr>
          <w:p w:rsidR="007E4632" w:rsidRPr="0070650F" w:rsidRDefault="003D68EE" w:rsidP="006804E2">
            <w:pPr>
              <w:spacing w:line="360" w:lineRule="auto"/>
              <w:jc w:val="both"/>
              <w:rPr>
                <w:rFonts w:ascii="Arial" w:hAnsi="Arial" w:cs="Arial"/>
                <w:sz w:val="24"/>
                <w:szCs w:val="24"/>
                <w:lang w:val="el-GR"/>
              </w:rPr>
            </w:pPr>
            <w:r>
              <w:rPr>
                <w:rFonts w:ascii="Arial" w:hAnsi="Arial" w:cs="Arial"/>
                <w:sz w:val="24"/>
                <w:szCs w:val="24"/>
                <w:lang w:val="el-GR"/>
              </w:rPr>
              <w:t>4.-</w:t>
            </w:r>
            <w:r w:rsidR="005B70BA">
              <w:rPr>
                <w:rFonts w:ascii="Arial" w:hAnsi="Arial" w:cs="Arial"/>
                <w:sz w:val="24"/>
                <w:szCs w:val="24"/>
                <w:lang w:val="el-GR"/>
              </w:rPr>
              <w:t xml:space="preserve">(1) </w:t>
            </w:r>
            <w:r w:rsidR="007E4632" w:rsidRPr="0070650F">
              <w:rPr>
                <w:rFonts w:ascii="Arial" w:hAnsi="Arial" w:cs="Arial"/>
                <w:sz w:val="24"/>
                <w:szCs w:val="24"/>
                <w:lang w:val="el-GR"/>
              </w:rPr>
              <w:t>Συνδεδεμένα πρόσωπα κατά την</w:t>
            </w:r>
            <w:r w:rsidR="005B70BA">
              <w:rPr>
                <w:rFonts w:ascii="Arial" w:hAnsi="Arial" w:cs="Arial"/>
                <w:sz w:val="24"/>
                <w:szCs w:val="24"/>
                <w:lang w:val="el-GR"/>
              </w:rPr>
              <w:t xml:space="preserve"> έννοια του άρθρου 33 του Νόμου </w:t>
            </w:r>
            <w:r w:rsidR="007E4632" w:rsidRPr="0070650F">
              <w:rPr>
                <w:rFonts w:ascii="Arial" w:hAnsi="Arial" w:cs="Arial"/>
                <w:sz w:val="24"/>
                <w:szCs w:val="24"/>
                <w:lang w:val="el-GR"/>
              </w:rPr>
              <w:t xml:space="preserve">που είναι κάτοικοι στη Δημοκρατία </w:t>
            </w:r>
            <w:r w:rsidR="005B70BA">
              <w:rPr>
                <w:rFonts w:ascii="Arial" w:hAnsi="Arial" w:cs="Arial"/>
                <w:sz w:val="24"/>
                <w:szCs w:val="24"/>
                <w:lang w:val="el-GR"/>
              </w:rPr>
              <w:t xml:space="preserve">καθώς και μόνιμη εγκατάσταση </w:t>
            </w:r>
            <w:r w:rsidR="007E4632" w:rsidRPr="0070650F">
              <w:rPr>
                <w:rFonts w:ascii="Arial" w:hAnsi="Arial" w:cs="Arial"/>
                <w:sz w:val="24"/>
                <w:szCs w:val="24"/>
                <w:lang w:val="el-GR"/>
              </w:rPr>
              <w:t>στη Δημοκρατία προσώπου μη κατοίκου  στη Δημοκρατία αναφορικά με τις συναλλαγές της με την έδρα (Ηead Οffice), καθώς και με τα συνδεδεμένα πρόσωπα της έδρας εκτός της Δημοκρατίας, δύνανται να υποβάλουν στον Έφορο Φορολογίας αίτηση προέγκρισης της μεθοδολογίας για την τιμολόγηση συγκεκριμένων μελλοντικών ή υφιστάμενων διασυνοριακών συναλλαγών τους με συνδεδεμένα πρόσωπα.</w:t>
            </w:r>
          </w:p>
        </w:tc>
      </w:tr>
      <w:tr w:rsidR="005B70BA" w:rsidRPr="00532D8A" w:rsidTr="005B70BA">
        <w:trPr>
          <w:trHeight w:val="254"/>
        </w:trPr>
        <w:tc>
          <w:tcPr>
            <w:tcW w:w="1998" w:type="dxa"/>
          </w:tcPr>
          <w:p w:rsidR="005B70BA" w:rsidRPr="0070650F" w:rsidRDefault="005B70BA" w:rsidP="007E4632">
            <w:pPr>
              <w:spacing w:line="360" w:lineRule="auto"/>
              <w:rPr>
                <w:rFonts w:ascii="Arial" w:hAnsi="Arial" w:cs="Arial"/>
                <w:sz w:val="20"/>
                <w:szCs w:val="20"/>
                <w:lang w:val="el-GR"/>
              </w:rPr>
            </w:pPr>
          </w:p>
        </w:tc>
        <w:tc>
          <w:tcPr>
            <w:tcW w:w="7783" w:type="dxa"/>
            <w:gridSpan w:val="2"/>
          </w:tcPr>
          <w:p w:rsidR="005B70BA" w:rsidRDefault="005B70BA"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7E4632" w:rsidRPr="0070650F">
              <w:rPr>
                <w:rFonts w:ascii="Arial" w:hAnsi="Arial" w:cs="Arial"/>
                <w:sz w:val="24"/>
                <w:szCs w:val="24"/>
                <w:lang w:val="el-GR"/>
              </w:rPr>
              <w:t>(2) Αντικείμενο της προέγκρισης της π</w:t>
            </w:r>
            <w:r w:rsidR="007E4632">
              <w:rPr>
                <w:rFonts w:ascii="Arial" w:hAnsi="Arial" w:cs="Arial"/>
                <w:sz w:val="24"/>
                <w:szCs w:val="24"/>
                <w:lang w:val="el-GR"/>
              </w:rPr>
              <w:t xml:space="preserve">ροηγούμενης παραγράφου αποτελεί </w:t>
            </w:r>
            <w:r w:rsidR="007E4632" w:rsidRPr="0070650F">
              <w:rPr>
                <w:rFonts w:ascii="Arial" w:hAnsi="Arial" w:cs="Arial"/>
                <w:sz w:val="24"/>
                <w:szCs w:val="24"/>
                <w:lang w:val="el-GR"/>
              </w:rPr>
              <w:t>το ενδεδειγμένο σύνολο κριτηρίων που χρησιμοποιούνται  για τον καθορισμό τω</w:t>
            </w:r>
            <w:r w:rsidR="007E4632">
              <w:rPr>
                <w:rFonts w:ascii="Arial" w:hAnsi="Arial" w:cs="Arial"/>
                <w:sz w:val="24"/>
                <w:szCs w:val="24"/>
                <w:lang w:val="el-GR"/>
              </w:rPr>
              <w:t xml:space="preserve">ν τιμών ενδοομιλικών συναλλαγών </w:t>
            </w:r>
            <w:r w:rsidR="007E4632" w:rsidRPr="0070650F">
              <w:rPr>
                <w:rFonts w:ascii="Arial" w:hAnsi="Arial" w:cs="Arial"/>
                <w:sz w:val="24"/>
                <w:szCs w:val="24"/>
                <w:lang w:val="el-GR"/>
              </w:rPr>
              <w:t xml:space="preserve">κατά τη διάρκεια </w:t>
            </w:r>
            <w:r w:rsidR="007E4632" w:rsidRPr="0070650F">
              <w:rPr>
                <w:rFonts w:ascii="Arial" w:hAnsi="Arial" w:cs="Arial"/>
                <w:sz w:val="24"/>
                <w:szCs w:val="24"/>
                <w:lang w:val="el-GR"/>
              </w:rPr>
              <w:lastRenderedPageBreak/>
              <w:t xml:space="preserve">μιας </w:t>
            </w:r>
            <w:r w:rsidR="007E4632">
              <w:rPr>
                <w:rFonts w:ascii="Arial" w:hAnsi="Arial" w:cs="Arial"/>
                <w:sz w:val="24"/>
                <w:szCs w:val="24"/>
                <w:lang w:val="el-GR"/>
              </w:rPr>
              <w:t xml:space="preserve">συγκριμένης χρονικής περιόδου. </w:t>
            </w:r>
            <w:r w:rsidR="007E4632" w:rsidRPr="0070650F">
              <w:rPr>
                <w:rFonts w:ascii="Arial" w:hAnsi="Arial" w:cs="Arial"/>
                <w:sz w:val="24"/>
                <w:szCs w:val="24"/>
                <w:lang w:val="el-GR"/>
              </w:rPr>
              <w:t>Τα κριτήρια αυτά περιλαμβάνουν κυρίως τη χρησιμοποιούμενη μέθοδο τεκμηρίωσης, τα στοιχεία σύγκρισης ή αναφοράς και τις σχετικές προσαρμογές, καθώς και τις κρίσιμες παραδοχές για το λειτουργικό προφίλ και τις συνθήκες της αγοράς.  Αντικείμενο της προέγκρισης μπορεί επίσης να αποτελέσει και κάθε άλλο εξειδικευμένο ζήτημα που αφορά την τιμολόγηση των συναλλαγών με συνδεδεμένα πρόσωπα.</w:t>
            </w:r>
          </w:p>
        </w:tc>
      </w:tr>
      <w:tr w:rsidR="00A37E47" w:rsidRPr="00532D8A" w:rsidTr="005B70BA">
        <w:trPr>
          <w:trHeight w:val="254"/>
        </w:trPr>
        <w:tc>
          <w:tcPr>
            <w:tcW w:w="1998" w:type="dxa"/>
          </w:tcPr>
          <w:p w:rsidR="00A37E47" w:rsidRDefault="00A37E47" w:rsidP="006804E2">
            <w:pPr>
              <w:spacing w:line="360" w:lineRule="auto"/>
              <w:jc w:val="right"/>
              <w:rPr>
                <w:rFonts w:ascii="Arial" w:hAnsi="Arial" w:cs="Arial"/>
                <w:sz w:val="20"/>
                <w:szCs w:val="20"/>
                <w:lang w:val="el-GR"/>
              </w:rPr>
            </w:pPr>
          </w:p>
        </w:tc>
        <w:tc>
          <w:tcPr>
            <w:tcW w:w="7783" w:type="dxa"/>
            <w:gridSpan w:val="2"/>
          </w:tcPr>
          <w:p w:rsidR="00A37E47" w:rsidRPr="0070650F" w:rsidRDefault="00A37E47"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3D68EE">
              <w:rPr>
                <w:rFonts w:ascii="Arial" w:hAnsi="Arial" w:cs="Arial"/>
                <w:sz w:val="24"/>
                <w:szCs w:val="24"/>
                <w:lang w:val="el-GR"/>
              </w:rPr>
              <w:t>(3)</w:t>
            </w:r>
            <w:r w:rsidR="007E4632" w:rsidRPr="0070650F">
              <w:rPr>
                <w:rFonts w:ascii="Arial" w:hAnsi="Arial" w:cs="Arial"/>
                <w:sz w:val="24"/>
                <w:szCs w:val="24"/>
                <w:lang w:val="el-GR"/>
              </w:rPr>
              <w:t>(α) Ο Έφορος εξετάζει την αίτηση και την αποδέχεται ή την απορρίπτει.  Η  σχετική απόφαση εκδίδεται εντός δέκα (10) μηνών από την υποβολή της αίτησης προέγκρισης μεθοδολογίας ενδοομιλικής τιμολόγησης και κοινοποιείται στους αιτούντες.  Η διάρκεια ισχύος της απόφασης προέγκρισης δεν δύναται να υπερβαίνει τα τέσσερα (4) έτη και η χρονική ισχύς της δεν δύναται να ανατρέχει σε φορολογικό έτος που έχει παρέλθει κατά τη στιγμή της υποβολής της αίτησης προέγκρισης.</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5F0DF3">
              <w:rPr>
                <w:rFonts w:ascii="Arial" w:hAnsi="Arial" w:cs="Arial"/>
                <w:sz w:val="24"/>
                <w:szCs w:val="24"/>
                <w:lang w:val="el-GR"/>
              </w:rPr>
              <w:t xml:space="preserve">(β) </w:t>
            </w:r>
            <w:r w:rsidR="007E4632" w:rsidRPr="0070650F">
              <w:rPr>
                <w:rFonts w:ascii="Arial" w:hAnsi="Arial" w:cs="Arial"/>
                <w:sz w:val="24"/>
                <w:szCs w:val="24"/>
                <w:lang w:val="el-GR"/>
              </w:rPr>
              <w:t>Με γνωστοποίηση του Εφόρου μπορεί να ορίζεται μεγαλύτερος χρόνος για την έκδοση της απόφασης σε αίτηση προέγκρισης μεθοδολογίας και μέχρι είκοσι τέσσερις (24) μήνες από την υποβολή της αίτησης.</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3D68EE">
              <w:rPr>
                <w:rFonts w:ascii="Arial" w:hAnsi="Arial" w:cs="Arial"/>
                <w:sz w:val="24"/>
                <w:szCs w:val="24"/>
                <w:lang w:val="el-GR"/>
              </w:rPr>
              <w:t>(4)</w:t>
            </w:r>
            <w:r w:rsidR="007E4632" w:rsidRPr="0070650F">
              <w:rPr>
                <w:rFonts w:ascii="Arial" w:hAnsi="Arial" w:cs="Arial"/>
                <w:sz w:val="24"/>
                <w:szCs w:val="24"/>
                <w:lang w:val="el-GR"/>
              </w:rPr>
              <w:t>(α)</w:t>
            </w:r>
            <w:r w:rsidR="005B70BA">
              <w:rPr>
                <w:rFonts w:ascii="Arial" w:hAnsi="Arial" w:cs="Arial"/>
                <w:sz w:val="24"/>
                <w:szCs w:val="24"/>
                <w:lang w:val="el-GR"/>
              </w:rPr>
              <w:t xml:space="preserve"> </w:t>
            </w:r>
            <w:r w:rsidR="007E4632" w:rsidRPr="0070650F">
              <w:rPr>
                <w:rFonts w:ascii="Arial" w:hAnsi="Arial" w:cs="Arial"/>
                <w:sz w:val="24"/>
                <w:szCs w:val="24"/>
                <w:lang w:val="el-GR"/>
              </w:rPr>
              <w:t>Όταν η αίτηση αφορά αίτημα συνεννόησης με τις αρμόδιες φορολογικές αρχές άλλων εμπλεκομένων κρατών με τα οποία υφίσταται Σύμβαση περί Αποφυγής Διπλής Φορολογίας Εισοδήματος, νοείται ότι ο αιτών θα πρέπει να υποβάλλει παράλληλα αιτήσεις στις φορολογικές αρχές των λοιπών εμπλεκομένων κρατών, περιλαμβάνοντας τα ίδια στοιχεία.</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BD03FF">
            <w:pPr>
              <w:tabs>
                <w:tab w:val="left" w:pos="567"/>
                <w:tab w:val="left" w:pos="732"/>
              </w:tabs>
              <w:spacing w:line="360" w:lineRule="auto"/>
              <w:jc w:val="both"/>
              <w:rPr>
                <w:rFonts w:ascii="Arial" w:hAnsi="Arial" w:cs="Arial"/>
                <w:sz w:val="24"/>
                <w:szCs w:val="24"/>
                <w:lang w:val="el-GR"/>
              </w:rPr>
            </w:pPr>
            <w:r>
              <w:rPr>
                <w:rFonts w:ascii="Arial" w:hAnsi="Arial" w:cs="Arial"/>
                <w:sz w:val="24"/>
                <w:szCs w:val="24"/>
                <w:lang w:val="el-GR"/>
              </w:rPr>
              <w:t xml:space="preserve">         </w:t>
            </w:r>
            <w:r w:rsidR="007E4632" w:rsidRPr="0070650F">
              <w:rPr>
                <w:rFonts w:ascii="Arial" w:hAnsi="Arial" w:cs="Arial"/>
                <w:sz w:val="24"/>
                <w:szCs w:val="24"/>
                <w:lang w:val="el-GR"/>
              </w:rPr>
              <w:t xml:space="preserve">(β) Σε περίπτωση που η αίτηση προέγκρισης περιλαμβάνει αίτημα συνεννόησης με τις αρμόδιες φορολογικές αρχές άλλων </w:t>
            </w:r>
            <w:r w:rsidR="007E4632" w:rsidRPr="0070650F">
              <w:rPr>
                <w:rFonts w:ascii="Arial" w:hAnsi="Arial" w:cs="Arial"/>
                <w:sz w:val="24"/>
                <w:szCs w:val="24"/>
                <w:lang w:val="el-GR"/>
              </w:rPr>
              <w:lastRenderedPageBreak/>
              <w:t xml:space="preserve">εμπλεκομένων κρατών, ο Έφορος δύναται να διενεργεί διαβουλεύσεις με τις αρχές αυτές στο πλαίσιο της αίτησης προέγκρισης με βάση τη διαδικασία αμοιβαίου διακανονισμού της εκάστοτε εφαρμοστέας Σύμβαση περί Αποφυγής Διπλής Φορολογίας Εισοδήματος. </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BD03FF">
            <w:pPr>
              <w:tabs>
                <w:tab w:val="left" w:pos="687"/>
                <w:tab w:val="left" w:pos="837"/>
              </w:tabs>
              <w:spacing w:line="360" w:lineRule="auto"/>
              <w:jc w:val="both"/>
              <w:rPr>
                <w:rFonts w:ascii="Arial" w:hAnsi="Arial" w:cs="Arial"/>
                <w:sz w:val="24"/>
                <w:szCs w:val="24"/>
                <w:lang w:val="el-GR"/>
              </w:rPr>
            </w:pPr>
            <w:r>
              <w:rPr>
                <w:rFonts w:ascii="Arial" w:hAnsi="Arial" w:cs="Arial"/>
                <w:sz w:val="24"/>
                <w:szCs w:val="24"/>
                <w:lang w:val="el-GR"/>
              </w:rPr>
              <w:t xml:space="preserve">         </w:t>
            </w:r>
            <w:r w:rsidR="005B70BA">
              <w:rPr>
                <w:rFonts w:ascii="Arial" w:hAnsi="Arial" w:cs="Arial"/>
                <w:sz w:val="24"/>
                <w:szCs w:val="24"/>
                <w:lang w:val="el-GR"/>
              </w:rPr>
              <w:t>(γ)</w:t>
            </w:r>
            <w:r w:rsidR="005F0DF3">
              <w:rPr>
                <w:rFonts w:ascii="Arial" w:hAnsi="Arial" w:cs="Arial"/>
                <w:sz w:val="24"/>
                <w:szCs w:val="24"/>
                <w:lang w:val="el-GR"/>
              </w:rPr>
              <w:t xml:space="preserve"> </w:t>
            </w:r>
            <w:r w:rsidR="007E4632" w:rsidRPr="0070650F">
              <w:rPr>
                <w:rFonts w:ascii="Arial" w:hAnsi="Arial" w:cs="Arial"/>
                <w:sz w:val="24"/>
                <w:szCs w:val="24"/>
                <w:lang w:val="el-GR"/>
              </w:rPr>
              <w:t>Η επίσημη ανταλλαγή απόψεων μεταξύ των αρμόδιων φορολογικών αρχών σύμφωνα με την υποπαράγραφο (β) πραγματοποιείται υπό μορφή ανταλλαγής εγγράφων διατύπωσης θέσεων μεταξύ των αρμόδιων αρχών, τα οποία διατίθενται στον αιτούντα τηρουμένων των διατάξεων -</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20" w:type="dxa"/>
          </w:tcPr>
          <w:p w:rsidR="007E4632" w:rsidRPr="0070650F" w:rsidRDefault="007E4632"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p>
        </w:tc>
        <w:tc>
          <w:tcPr>
            <w:tcW w:w="7063" w:type="dxa"/>
          </w:tcPr>
          <w:p w:rsidR="007E4632" w:rsidRPr="0070650F" w:rsidRDefault="007E4632" w:rsidP="005B70BA">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(α) </w:t>
            </w:r>
            <w:r w:rsidR="005B70BA">
              <w:rPr>
                <w:rFonts w:ascii="Arial" w:hAnsi="Arial" w:cs="Arial"/>
                <w:sz w:val="24"/>
                <w:szCs w:val="24"/>
                <w:lang w:val="el-GR"/>
              </w:rPr>
              <w:tab/>
            </w:r>
            <w:r w:rsidRPr="0070650F">
              <w:rPr>
                <w:rFonts w:ascii="Arial" w:hAnsi="Arial" w:cs="Arial"/>
                <w:sz w:val="24"/>
                <w:szCs w:val="24"/>
                <w:lang w:val="el-GR"/>
              </w:rPr>
              <w:t>που περιορίζουν και απαγορεύουν τη χρήση πληροφοριών οι οποίες περιέχονται σε διεθνή Συμφωνία της οποίας η Κυπριακή Δημοκρατία είναι μέρος, και</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7E463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20" w:type="dxa"/>
          </w:tcPr>
          <w:p w:rsidR="007E4632" w:rsidRDefault="007E4632" w:rsidP="006804E2">
            <w:pPr>
              <w:spacing w:line="360" w:lineRule="auto"/>
              <w:jc w:val="both"/>
              <w:rPr>
                <w:rFonts w:ascii="Arial" w:hAnsi="Arial" w:cs="Arial"/>
                <w:sz w:val="24"/>
                <w:szCs w:val="24"/>
                <w:lang w:val="el-GR"/>
              </w:rPr>
            </w:pPr>
          </w:p>
        </w:tc>
        <w:tc>
          <w:tcPr>
            <w:tcW w:w="7063" w:type="dxa"/>
          </w:tcPr>
          <w:p w:rsidR="007E4632" w:rsidRPr="0070650F" w:rsidRDefault="007E4632" w:rsidP="007E4632">
            <w:pPr>
              <w:spacing w:line="360" w:lineRule="auto"/>
              <w:jc w:val="both"/>
              <w:rPr>
                <w:rFonts w:ascii="Arial" w:hAnsi="Arial" w:cs="Arial"/>
                <w:sz w:val="24"/>
                <w:szCs w:val="24"/>
                <w:lang w:val="el-GR"/>
              </w:rPr>
            </w:pPr>
            <w:r w:rsidRPr="0070650F">
              <w:rPr>
                <w:rFonts w:ascii="Arial" w:hAnsi="Arial" w:cs="Arial"/>
                <w:sz w:val="24"/>
                <w:szCs w:val="24"/>
                <w:lang w:val="el-GR"/>
              </w:rPr>
              <w:t xml:space="preserve">(β) </w:t>
            </w:r>
            <w:r w:rsidR="005B70BA">
              <w:rPr>
                <w:rFonts w:ascii="Arial" w:hAnsi="Arial" w:cs="Arial"/>
                <w:sz w:val="24"/>
                <w:szCs w:val="24"/>
                <w:lang w:val="el-GR"/>
              </w:rPr>
              <w:tab/>
            </w:r>
            <w:r w:rsidRPr="0070650F">
              <w:rPr>
                <w:rFonts w:ascii="Arial" w:hAnsi="Arial" w:cs="Arial"/>
                <w:sz w:val="24"/>
                <w:szCs w:val="24"/>
                <w:lang w:val="el-GR"/>
              </w:rPr>
              <w:t>των διατάξεων του δικαίου της Ευρωπαϊκής Ένωσης.</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7E4632" w:rsidRPr="0070650F">
              <w:rPr>
                <w:rFonts w:ascii="Arial" w:hAnsi="Arial" w:cs="Arial"/>
                <w:sz w:val="24"/>
                <w:szCs w:val="24"/>
                <w:lang w:val="el-GR"/>
              </w:rPr>
              <w:t>(5)  Οι τιμές των ενδοομιλικών συναλλαγών της επιχείρησης, τις οποίες αφορά η απόφαση προέγκρισης</w:t>
            </w:r>
            <w:r w:rsidR="007E4632">
              <w:rPr>
                <w:rFonts w:ascii="Arial" w:hAnsi="Arial" w:cs="Arial"/>
                <w:sz w:val="24"/>
                <w:szCs w:val="24"/>
                <w:lang w:val="el-GR"/>
              </w:rPr>
              <w:t xml:space="preserve">, θεωρούνται ότι δεν διαφέρουν </w:t>
            </w:r>
            <w:r w:rsidR="007E4632" w:rsidRPr="0070650F">
              <w:rPr>
                <w:rFonts w:ascii="Arial" w:hAnsi="Arial" w:cs="Arial"/>
                <w:sz w:val="24"/>
                <w:szCs w:val="24"/>
                <w:lang w:val="el-GR"/>
              </w:rPr>
              <w:t>από αυτές που θα είχαν συμφωνηθεί μεταξύ ανεξάρτητων προσώπων, εφόσον τηρούνται τα οριζό</w:t>
            </w:r>
            <w:r w:rsidR="007E4632">
              <w:rPr>
                <w:rFonts w:ascii="Arial" w:hAnsi="Arial" w:cs="Arial"/>
                <w:sz w:val="24"/>
                <w:szCs w:val="24"/>
                <w:lang w:val="el-GR"/>
              </w:rPr>
              <w:t xml:space="preserve">μενα στην απόφαση προέγκρισης. </w:t>
            </w:r>
            <w:r w:rsidR="007E4632" w:rsidRPr="0070650F">
              <w:rPr>
                <w:rFonts w:ascii="Arial" w:hAnsi="Arial" w:cs="Arial"/>
                <w:sz w:val="24"/>
                <w:szCs w:val="24"/>
                <w:lang w:val="el-GR"/>
              </w:rPr>
              <w:t>Ο φορολογικός έλεγχος των συναλλαγών, οι οποίες αποτελούν αντικείμενο της προέγκρισης, περιορίζεται στην επαλήθευση, ότι τηρήθηκαν τα οριζόμενα στην απόφαση προέγκρισης και ότι εξακολουθούν να ισχύουν οι παραδοχές, οι περιστάσεις και οι όροι στις οποίες αυτή βασίστηκε.</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7E4632" w:rsidRPr="0070650F">
              <w:rPr>
                <w:rFonts w:ascii="Arial" w:hAnsi="Arial" w:cs="Arial"/>
                <w:sz w:val="24"/>
                <w:szCs w:val="24"/>
                <w:lang w:val="el-GR"/>
              </w:rPr>
              <w:t xml:space="preserve">(6) Πέραν των υποχρεώσεων τήρησης και διαφύλαξης στοιχείων που επιβάλλονται από άλλες διατάξεις της ισχύουσας νομοθεσίας, η επιχείρηση υποχρεούται να διαφυλάσσει τα στοιχεία τεκμηρίωσης που αφορούν την απόφαση προέγκρισης για το χρονικό διάστημα για το </w:t>
            </w:r>
            <w:r w:rsidR="007E4632" w:rsidRPr="0070650F">
              <w:rPr>
                <w:rFonts w:ascii="Arial" w:hAnsi="Arial" w:cs="Arial"/>
                <w:sz w:val="24"/>
                <w:szCs w:val="24"/>
                <w:lang w:val="el-GR"/>
              </w:rPr>
              <w:lastRenderedPageBreak/>
              <w:t>οποίο υφίσταται υποχρέωση διαφύλαξης βιβλίων και στοιχείων κάθε φορολογικού έτους το οποίο αφορά η απόφαση προέγκρισης.</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7E4632" w:rsidRPr="0070650F">
              <w:rPr>
                <w:rFonts w:ascii="Arial" w:hAnsi="Arial" w:cs="Arial"/>
                <w:sz w:val="24"/>
                <w:szCs w:val="24"/>
                <w:lang w:val="el-GR"/>
              </w:rPr>
              <w:t>(7)  Η απόφαση προέγκρισης αναθεωρείται κατά τη διάρκεια ισχύος της, είτε κατόπιν αίτησης από το ενδιαφερόμενο πρόσωπο, είτε αυτεπάγγελτα από τον Έφορο Φορολογίας, στις εξής περιπτώσεις:</w:t>
            </w:r>
          </w:p>
        </w:tc>
      </w:tr>
      <w:tr w:rsidR="007E4632" w:rsidRPr="00532D8A" w:rsidTr="005B70BA">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F0DF3">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20" w:type="dxa"/>
          </w:tcPr>
          <w:p w:rsidR="007E4632" w:rsidRPr="0070650F" w:rsidRDefault="005F0DF3"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7E4632">
              <w:rPr>
                <w:rFonts w:ascii="Arial" w:hAnsi="Arial" w:cs="Arial"/>
                <w:sz w:val="24"/>
                <w:szCs w:val="24"/>
                <w:lang w:val="el-GR"/>
              </w:rPr>
              <w:t xml:space="preserve">                </w:t>
            </w:r>
          </w:p>
        </w:tc>
        <w:tc>
          <w:tcPr>
            <w:tcW w:w="7063" w:type="dxa"/>
          </w:tcPr>
          <w:p w:rsidR="007E4632" w:rsidRPr="0070650F" w:rsidRDefault="007E4632" w:rsidP="003D68EE">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(α) </w:t>
            </w:r>
            <w:r w:rsidR="003D68EE">
              <w:rPr>
                <w:rFonts w:ascii="Arial" w:hAnsi="Arial" w:cs="Arial"/>
                <w:sz w:val="24"/>
                <w:szCs w:val="24"/>
                <w:lang w:val="el-GR"/>
              </w:rPr>
              <w:tab/>
            </w:r>
            <w:r w:rsidRPr="0070650F">
              <w:rPr>
                <w:rFonts w:ascii="Arial" w:hAnsi="Arial" w:cs="Arial"/>
                <w:sz w:val="24"/>
                <w:szCs w:val="24"/>
                <w:lang w:val="el-GR"/>
              </w:rPr>
              <w:t>εφόσον οι κρίσιμες παραδοχές στις οποίες βασίστηκε η απόφαση προέγκρισης αποδειχθούν εσφαλμένες·</w:t>
            </w:r>
          </w:p>
        </w:tc>
      </w:tr>
      <w:tr w:rsidR="007E4632" w:rsidRPr="00532D8A" w:rsidTr="005F0DF3">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20" w:type="dxa"/>
          </w:tcPr>
          <w:p w:rsidR="007E4632" w:rsidRDefault="007E4632" w:rsidP="006804E2">
            <w:pPr>
              <w:spacing w:line="360" w:lineRule="auto"/>
              <w:jc w:val="both"/>
              <w:rPr>
                <w:rFonts w:ascii="Arial" w:hAnsi="Arial" w:cs="Arial"/>
                <w:sz w:val="24"/>
                <w:szCs w:val="24"/>
                <w:lang w:val="el-GR"/>
              </w:rPr>
            </w:pPr>
          </w:p>
        </w:tc>
        <w:tc>
          <w:tcPr>
            <w:tcW w:w="7063" w:type="dxa"/>
          </w:tcPr>
          <w:p w:rsidR="007E4632" w:rsidRPr="0070650F" w:rsidRDefault="007E4632" w:rsidP="006804E2">
            <w:pPr>
              <w:spacing w:line="360" w:lineRule="auto"/>
              <w:jc w:val="both"/>
              <w:rPr>
                <w:rFonts w:ascii="Arial" w:hAnsi="Arial" w:cs="Arial"/>
                <w:sz w:val="24"/>
                <w:szCs w:val="24"/>
                <w:lang w:val="el-GR"/>
              </w:rPr>
            </w:pPr>
          </w:p>
        </w:tc>
      </w:tr>
      <w:tr w:rsidR="007E4632" w:rsidRPr="00532D8A" w:rsidTr="005F0DF3">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20" w:type="dxa"/>
          </w:tcPr>
          <w:p w:rsidR="007E4632" w:rsidRDefault="007E4632" w:rsidP="006804E2">
            <w:pPr>
              <w:spacing w:line="360" w:lineRule="auto"/>
              <w:jc w:val="both"/>
              <w:rPr>
                <w:rFonts w:ascii="Arial" w:hAnsi="Arial" w:cs="Arial"/>
                <w:sz w:val="24"/>
                <w:szCs w:val="24"/>
                <w:lang w:val="el-GR"/>
              </w:rPr>
            </w:pPr>
          </w:p>
        </w:tc>
        <w:tc>
          <w:tcPr>
            <w:tcW w:w="7063" w:type="dxa"/>
          </w:tcPr>
          <w:p w:rsidR="007E4632" w:rsidRPr="0070650F" w:rsidRDefault="003D68EE" w:rsidP="003D68EE">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(β) </w:t>
            </w:r>
            <w:r>
              <w:rPr>
                <w:rFonts w:ascii="Arial" w:hAnsi="Arial" w:cs="Arial"/>
                <w:sz w:val="24"/>
                <w:szCs w:val="24"/>
                <w:lang w:val="el-GR"/>
              </w:rPr>
              <w:tab/>
            </w:r>
            <w:r w:rsidRPr="0070650F">
              <w:rPr>
                <w:rFonts w:ascii="Arial" w:hAnsi="Arial" w:cs="Arial"/>
                <w:sz w:val="24"/>
                <w:szCs w:val="24"/>
                <w:lang w:val="el-GR"/>
              </w:rPr>
              <w:t>εφόσον επήλθε ουσιώδης μεταβολή των κρίσιμων παραδοχών ή συνθηκών που καθιστά αδύνατη την τήρηση των οριζομένων στην απόφαση προέγκρισης·</w:t>
            </w:r>
          </w:p>
        </w:tc>
      </w:tr>
      <w:tr w:rsidR="003D68EE" w:rsidRPr="00532D8A" w:rsidTr="005F0DF3">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6804E2">
            <w:pPr>
              <w:spacing w:line="360" w:lineRule="auto"/>
              <w:jc w:val="both"/>
              <w:rPr>
                <w:rFonts w:ascii="Arial" w:hAnsi="Arial" w:cs="Arial"/>
                <w:sz w:val="24"/>
                <w:szCs w:val="24"/>
                <w:lang w:val="el-GR"/>
              </w:rPr>
            </w:pPr>
          </w:p>
        </w:tc>
        <w:tc>
          <w:tcPr>
            <w:tcW w:w="7063" w:type="dxa"/>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5F0DF3">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C879F9"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p>
        </w:tc>
        <w:tc>
          <w:tcPr>
            <w:tcW w:w="7063" w:type="dxa"/>
          </w:tcPr>
          <w:p w:rsidR="003D68EE" w:rsidRPr="0070650F" w:rsidRDefault="003D68EE" w:rsidP="003D68EE">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(γ) </w:t>
            </w:r>
            <w:r>
              <w:rPr>
                <w:rFonts w:ascii="Arial" w:hAnsi="Arial" w:cs="Arial"/>
                <w:sz w:val="24"/>
                <w:szCs w:val="24"/>
                <w:lang w:val="el-GR"/>
              </w:rPr>
              <w:tab/>
            </w:r>
            <w:r w:rsidRPr="0070650F">
              <w:rPr>
                <w:rFonts w:ascii="Arial" w:hAnsi="Arial" w:cs="Arial"/>
                <w:sz w:val="24"/>
                <w:szCs w:val="24"/>
                <w:lang w:val="el-GR"/>
              </w:rPr>
              <w:t>σε περίπτωση εφαρμογής της διαδικασίας αμοιβαίου διακανονισμού της εκάστοτε εφαρμοστέας διμερούς σύμβασης για την αποφυγή της διπλής φορολογίας ή της Ευρωπαϊκής Σύμβασης για την εξάλειψη της διπλής φορολογίας σε περίπτωση διορθώσεως των κερδών συνδεδεμένων επιχειρήσεων για τις ίδιες συναλλαγές του ίδιου φορολογουμένου.</w:t>
            </w:r>
          </w:p>
        </w:tc>
      </w:tr>
      <w:tr w:rsidR="00E323D2" w:rsidRPr="00532D8A" w:rsidTr="007B0FC1">
        <w:trPr>
          <w:trHeight w:val="254"/>
        </w:trPr>
        <w:tc>
          <w:tcPr>
            <w:tcW w:w="1998" w:type="dxa"/>
          </w:tcPr>
          <w:p w:rsidR="00E323D2" w:rsidRDefault="00E323D2" w:rsidP="006804E2">
            <w:pPr>
              <w:spacing w:line="360" w:lineRule="auto"/>
              <w:jc w:val="right"/>
              <w:rPr>
                <w:rFonts w:ascii="Arial" w:hAnsi="Arial" w:cs="Arial"/>
                <w:sz w:val="20"/>
                <w:szCs w:val="20"/>
                <w:lang w:val="el-GR"/>
              </w:rPr>
            </w:pPr>
          </w:p>
        </w:tc>
        <w:tc>
          <w:tcPr>
            <w:tcW w:w="7783" w:type="dxa"/>
            <w:gridSpan w:val="2"/>
          </w:tcPr>
          <w:p w:rsidR="00E323D2" w:rsidRPr="0070650F" w:rsidRDefault="00E323D2" w:rsidP="003D68EE">
            <w:pPr>
              <w:spacing w:line="360" w:lineRule="auto"/>
              <w:ind w:left="720" w:hanging="720"/>
              <w:jc w:val="both"/>
              <w:rPr>
                <w:rFonts w:ascii="Arial" w:hAnsi="Arial" w:cs="Arial"/>
                <w:sz w:val="24"/>
                <w:szCs w:val="24"/>
                <w:lang w:val="el-GR"/>
              </w:rPr>
            </w:pPr>
          </w:p>
        </w:tc>
      </w:tr>
      <w:tr w:rsidR="003D68EE" w:rsidRPr="00532D8A" w:rsidTr="005B70BA">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783" w:type="dxa"/>
            <w:gridSpan w:val="2"/>
          </w:tcPr>
          <w:p w:rsidR="003D68EE"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3D68EE" w:rsidRPr="0070650F">
              <w:rPr>
                <w:rFonts w:ascii="Arial" w:hAnsi="Arial" w:cs="Arial"/>
                <w:sz w:val="24"/>
                <w:szCs w:val="24"/>
                <w:lang w:val="el-GR"/>
              </w:rPr>
              <w:t>(8) Ο Έφορος εκδίδει απόφαση για την αναθεώρηση της αρχικής απόφασης προέγκρισης, η οποία κοινοποιείται στους αιτούντες και έχει τα αποτελέσματα που ορίζονται στην παράγραφο 4, αρχής γενομένης από την έκδοση της και για την υπολειπόμενη περίοδο ισχύος της αρχικής απόφασης προέγκρισης.</w:t>
            </w:r>
          </w:p>
        </w:tc>
      </w:tr>
      <w:tr w:rsidR="003D68EE" w:rsidRPr="00532D8A" w:rsidTr="005B70BA">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783" w:type="dxa"/>
            <w:gridSpan w:val="2"/>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5B70BA">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783" w:type="dxa"/>
            <w:gridSpan w:val="2"/>
          </w:tcPr>
          <w:p w:rsidR="003D68EE"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5F0DF3">
              <w:rPr>
                <w:rFonts w:ascii="Arial" w:hAnsi="Arial" w:cs="Arial"/>
                <w:sz w:val="24"/>
                <w:szCs w:val="24"/>
                <w:lang w:val="el-GR"/>
              </w:rPr>
              <w:t>(9)</w:t>
            </w:r>
            <w:r w:rsidR="003D68EE" w:rsidRPr="0070650F">
              <w:rPr>
                <w:rFonts w:ascii="Arial" w:hAnsi="Arial" w:cs="Arial"/>
                <w:sz w:val="24"/>
                <w:szCs w:val="24"/>
                <w:lang w:val="el-GR"/>
              </w:rPr>
              <w:t>(1)  Η απόφαση προέγκρισης δύναται να ανακληθεί από τον Έφορο Φορολογίας κατά τη διάρκεια ισχύος της στις ακόλουθες περιπτώσεις:</w:t>
            </w:r>
          </w:p>
        </w:tc>
      </w:tr>
      <w:tr w:rsidR="007E4632" w:rsidRPr="00532D8A" w:rsidTr="00C879F9">
        <w:trPr>
          <w:trHeight w:val="254"/>
        </w:trPr>
        <w:tc>
          <w:tcPr>
            <w:tcW w:w="1998" w:type="dxa"/>
          </w:tcPr>
          <w:p w:rsidR="007E4632" w:rsidRDefault="007E4632" w:rsidP="006804E2">
            <w:pPr>
              <w:spacing w:line="360" w:lineRule="auto"/>
              <w:jc w:val="right"/>
              <w:rPr>
                <w:rFonts w:ascii="Arial" w:hAnsi="Arial" w:cs="Arial"/>
                <w:sz w:val="20"/>
                <w:szCs w:val="20"/>
                <w:lang w:val="el-GR"/>
              </w:rPr>
            </w:pPr>
          </w:p>
        </w:tc>
        <w:tc>
          <w:tcPr>
            <w:tcW w:w="7783" w:type="dxa"/>
            <w:gridSpan w:val="2"/>
          </w:tcPr>
          <w:p w:rsidR="007E4632" w:rsidRPr="0070650F" w:rsidRDefault="007E4632" w:rsidP="006804E2">
            <w:pPr>
              <w:spacing w:line="360" w:lineRule="auto"/>
              <w:jc w:val="both"/>
              <w:rPr>
                <w:rFonts w:ascii="Arial" w:hAnsi="Arial" w:cs="Arial"/>
                <w:sz w:val="24"/>
                <w:szCs w:val="24"/>
                <w:lang w:val="el-GR"/>
              </w:rPr>
            </w:pPr>
          </w:p>
        </w:tc>
      </w:tr>
      <w:tr w:rsidR="003D68EE" w:rsidRPr="00532D8A" w:rsidTr="00C879F9">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Pr="0070650F" w:rsidRDefault="00C879F9"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5F0DF3">
              <w:rPr>
                <w:rFonts w:ascii="Arial" w:hAnsi="Arial" w:cs="Arial"/>
                <w:sz w:val="24"/>
                <w:szCs w:val="24"/>
                <w:lang w:val="el-GR"/>
              </w:rPr>
              <w:t xml:space="preserve">        </w:t>
            </w:r>
            <w:r w:rsidR="003D68EE">
              <w:rPr>
                <w:rFonts w:ascii="Arial" w:hAnsi="Arial" w:cs="Arial"/>
                <w:sz w:val="24"/>
                <w:szCs w:val="24"/>
                <w:lang w:val="el-GR"/>
              </w:rPr>
              <w:t xml:space="preserve">        </w:t>
            </w:r>
          </w:p>
        </w:tc>
        <w:tc>
          <w:tcPr>
            <w:tcW w:w="7063" w:type="dxa"/>
          </w:tcPr>
          <w:p w:rsidR="003D68EE" w:rsidRPr="0070650F" w:rsidRDefault="003D68EE" w:rsidP="005F0DF3">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(α) </w:t>
            </w:r>
            <w:r w:rsidR="005F0DF3">
              <w:rPr>
                <w:rFonts w:ascii="Arial" w:hAnsi="Arial" w:cs="Arial"/>
                <w:sz w:val="24"/>
                <w:szCs w:val="24"/>
                <w:lang w:val="el-GR"/>
              </w:rPr>
              <w:tab/>
            </w:r>
            <w:r w:rsidRPr="0070650F">
              <w:rPr>
                <w:rFonts w:ascii="Arial" w:hAnsi="Arial" w:cs="Arial"/>
                <w:sz w:val="24"/>
                <w:szCs w:val="24"/>
                <w:lang w:val="el-GR"/>
              </w:rPr>
              <w:t>εφόσον διαπιστωθεί, ότι τα στοιχεία ή κρίσιμες παραδοχές στα οποία βασίστηκε η απόφαση προέγκρισης ήταν ανακριβείς, λόγω εσφαλμένης ερμηνείας ή πλημμελειών που αποδίδονται στον φορολογούμενο·</w:t>
            </w:r>
          </w:p>
        </w:tc>
      </w:tr>
      <w:tr w:rsidR="003D68EE" w:rsidRPr="00532D8A" w:rsidTr="00C879F9">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6804E2">
            <w:pPr>
              <w:spacing w:line="360" w:lineRule="auto"/>
              <w:jc w:val="both"/>
              <w:rPr>
                <w:rFonts w:ascii="Arial" w:hAnsi="Arial" w:cs="Arial"/>
                <w:sz w:val="24"/>
                <w:szCs w:val="24"/>
                <w:lang w:val="el-GR"/>
              </w:rPr>
            </w:pPr>
          </w:p>
        </w:tc>
        <w:tc>
          <w:tcPr>
            <w:tcW w:w="7063" w:type="dxa"/>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C879F9">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6804E2">
            <w:pPr>
              <w:spacing w:line="360" w:lineRule="auto"/>
              <w:jc w:val="both"/>
              <w:rPr>
                <w:rFonts w:ascii="Arial" w:hAnsi="Arial" w:cs="Arial"/>
                <w:sz w:val="24"/>
                <w:szCs w:val="24"/>
                <w:lang w:val="el-GR"/>
              </w:rPr>
            </w:pPr>
          </w:p>
        </w:tc>
        <w:tc>
          <w:tcPr>
            <w:tcW w:w="7063" w:type="dxa"/>
          </w:tcPr>
          <w:p w:rsidR="003D68EE" w:rsidRPr="0070650F" w:rsidRDefault="003D68EE" w:rsidP="00603AEF">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(β) </w:t>
            </w:r>
            <w:r w:rsidR="005F0DF3">
              <w:rPr>
                <w:rFonts w:ascii="Arial" w:hAnsi="Arial" w:cs="Arial"/>
                <w:sz w:val="24"/>
                <w:szCs w:val="24"/>
                <w:lang w:val="el-GR"/>
              </w:rPr>
              <w:tab/>
            </w:r>
            <w:r w:rsidRPr="0070650F">
              <w:rPr>
                <w:rFonts w:ascii="Arial" w:hAnsi="Arial" w:cs="Arial"/>
                <w:sz w:val="24"/>
                <w:szCs w:val="24"/>
                <w:lang w:val="el-GR"/>
              </w:rPr>
              <w:t>εφόσον διαπιστωθεί, ότι οι αιτούντες δεν τήρησαν ουσιώδη όρο ή υποχρέωση που ορίζονται στην απόφαση προέγκρισης</w:t>
            </w:r>
            <w:r w:rsidR="00603AEF">
              <w:rPr>
                <w:rFonts w:ascii="Arial" w:hAnsi="Arial" w:cs="Arial"/>
                <w:sz w:val="24"/>
                <w:szCs w:val="24"/>
                <w:lang w:val="el-GR"/>
              </w:rPr>
              <w:t>∙</w:t>
            </w:r>
          </w:p>
        </w:tc>
      </w:tr>
      <w:tr w:rsidR="003D68EE" w:rsidRPr="00532D8A" w:rsidTr="00C879F9">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6804E2">
            <w:pPr>
              <w:spacing w:line="360" w:lineRule="auto"/>
              <w:jc w:val="both"/>
              <w:rPr>
                <w:rFonts w:ascii="Arial" w:hAnsi="Arial" w:cs="Arial"/>
                <w:sz w:val="24"/>
                <w:szCs w:val="24"/>
                <w:lang w:val="el-GR"/>
              </w:rPr>
            </w:pPr>
          </w:p>
        </w:tc>
        <w:tc>
          <w:tcPr>
            <w:tcW w:w="7063" w:type="dxa"/>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C879F9">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6804E2">
            <w:pPr>
              <w:spacing w:line="360" w:lineRule="auto"/>
              <w:jc w:val="both"/>
              <w:rPr>
                <w:rFonts w:ascii="Arial" w:hAnsi="Arial" w:cs="Arial"/>
                <w:sz w:val="24"/>
                <w:szCs w:val="24"/>
                <w:lang w:val="el-GR"/>
              </w:rPr>
            </w:pPr>
          </w:p>
        </w:tc>
        <w:tc>
          <w:tcPr>
            <w:tcW w:w="7063" w:type="dxa"/>
          </w:tcPr>
          <w:p w:rsidR="003D68EE" w:rsidRPr="0070650F" w:rsidRDefault="003D68EE" w:rsidP="005F0DF3">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 xml:space="preserve">(β) </w:t>
            </w:r>
            <w:r w:rsidR="005F0DF3">
              <w:rPr>
                <w:rFonts w:ascii="Arial" w:hAnsi="Arial" w:cs="Arial"/>
                <w:sz w:val="24"/>
                <w:szCs w:val="24"/>
                <w:lang w:val="el-GR"/>
              </w:rPr>
              <w:tab/>
            </w:r>
            <w:r w:rsidR="00603AEF">
              <w:rPr>
                <w:rFonts w:ascii="Arial" w:hAnsi="Arial" w:cs="Arial"/>
                <w:sz w:val="24"/>
                <w:szCs w:val="24"/>
                <w:lang w:val="el-GR"/>
              </w:rPr>
              <w:t>σ</w:t>
            </w:r>
            <w:r w:rsidRPr="0070650F">
              <w:rPr>
                <w:rFonts w:ascii="Arial" w:hAnsi="Arial" w:cs="Arial"/>
                <w:sz w:val="24"/>
                <w:szCs w:val="24"/>
                <w:lang w:val="el-GR"/>
              </w:rPr>
              <w:t>ε περίπτωση ανάκλησης, η απόφαση προέγκρισης θεωρείται ως μηδέποτε εκδοθείσα.</w:t>
            </w:r>
          </w:p>
        </w:tc>
      </w:tr>
      <w:tr w:rsidR="003D68EE" w:rsidRPr="00532D8A" w:rsidTr="005B70BA">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783" w:type="dxa"/>
            <w:gridSpan w:val="2"/>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5B70BA">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783" w:type="dxa"/>
            <w:gridSpan w:val="2"/>
          </w:tcPr>
          <w:p w:rsidR="003D68EE"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3D68EE">
              <w:rPr>
                <w:rFonts w:ascii="Arial" w:hAnsi="Arial" w:cs="Arial"/>
                <w:sz w:val="24"/>
                <w:szCs w:val="24"/>
                <w:lang w:val="el-GR"/>
              </w:rPr>
              <w:t>(10)</w:t>
            </w:r>
            <w:r w:rsidR="003D68EE" w:rsidRPr="0070650F">
              <w:rPr>
                <w:rFonts w:ascii="Arial" w:hAnsi="Arial" w:cs="Arial"/>
                <w:sz w:val="24"/>
                <w:szCs w:val="24"/>
                <w:lang w:val="el-GR"/>
              </w:rPr>
              <w:t>(α) Η απόφαση προέγκρισης δύναται να ακυρωθεί από τον Έφορο Φορολογίας οποτεδήποτε κατά τη διάρκεια ισχύος της στις ακόλουθες περιπτώσεις:</w:t>
            </w:r>
          </w:p>
        </w:tc>
      </w:tr>
      <w:tr w:rsidR="003D68EE" w:rsidRPr="00532D8A" w:rsidTr="005B70BA">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783" w:type="dxa"/>
            <w:gridSpan w:val="2"/>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5F0DF3">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Pr="0070650F" w:rsidRDefault="005F0DF3" w:rsidP="003D68EE">
            <w:pPr>
              <w:spacing w:line="360" w:lineRule="auto"/>
              <w:rPr>
                <w:rFonts w:ascii="Arial" w:hAnsi="Arial" w:cs="Arial"/>
                <w:sz w:val="24"/>
                <w:szCs w:val="24"/>
                <w:lang w:val="el-GR"/>
              </w:rPr>
            </w:pPr>
            <w:r>
              <w:rPr>
                <w:rFonts w:ascii="Arial" w:hAnsi="Arial" w:cs="Arial"/>
                <w:sz w:val="24"/>
                <w:szCs w:val="24"/>
                <w:lang w:val="el-GR"/>
              </w:rPr>
              <w:t xml:space="preserve">        </w:t>
            </w:r>
            <w:r w:rsidR="003D68EE">
              <w:rPr>
                <w:rFonts w:ascii="Arial" w:hAnsi="Arial" w:cs="Arial"/>
                <w:sz w:val="24"/>
                <w:szCs w:val="24"/>
                <w:lang w:val="el-GR"/>
              </w:rPr>
              <w:t xml:space="preserve">         </w:t>
            </w:r>
          </w:p>
        </w:tc>
        <w:tc>
          <w:tcPr>
            <w:tcW w:w="7063" w:type="dxa"/>
          </w:tcPr>
          <w:p w:rsidR="003D68EE" w:rsidRPr="0070650F" w:rsidRDefault="003D68EE" w:rsidP="005F0DF3">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w:t>
            </w:r>
            <w:r w:rsidRPr="0070650F">
              <w:rPr>
                <w:rFonts w:ascii="Arial" w:hAnsi="Arial" w:cs="Arial"/>
                <w:sz w:val="24"/>
                <w:szCs w:val="24"/>
              </w:rPr>
              <w:t>i</w:t>
            </w:r>
            <w:r w:rsidRPr="0070650F">
              <w:rPr>
                <w:rFonts w:ascii="Arial" w:hAnsi="Arial" w:cs="Arial"/>
                <w:sz w:val="24"/>
                <w:szCs w:val="24"/>
                <w:lang w:val="el-GR"/>
              </w:rPr>
              <w:t xml:space="preserve">) </w:t>
            </w:r>
            <w:r w:rsidR="005F0DF3">
              <w:rPr>
                <w:rFonts w:ascii="Arial" w:hAnsi="Arial" w:cs="Arial"/>
                <w:sz w:val="24"/>
                <w:szCs w:val="24"/>
                <w:lang w:val="el-GR"/>
              </w:rPr>
              <w:tab/>
            </w:r>
            <w:r w:rsidRPr="0070650F">
              <w:rPr>
                <w:rFonts w:ascii="Arial" w:hAnsi="Arial" w:cs="Arial"/>
                <w:sz w:val="24"/>
                <w:szCs w:val="24"/>
                <w:lang w:val="el-GR"/>
              </w:rPr>
              <w:t>εφόσον διαπιστωθεί ότι επήλθε ουσιώδης μεταβολή των κρίσιμων παραδοχών ή συνθηκών στις οποίες βασίστηκε η απόφαση προέγκρισης·</w:t>
            </w:r>
          </w:p>
        </w:tc>
      </w:tr>
      <w:tr w:rsidR="003D68EE" w:rsidRPr="00532D8A" w:rsidTr="005F0DF3">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3D68EE">
            <w:pPr>
              <w:spacing w:line="360" w:lineRule="auto"/>
              <w:rPr>
                <w:rFonts w:ascii="Arial" w:hAnsi="Arial" w:cs="Arial"/>
                <w:sz w:val="24"/>
                <w:szCs w:val="24"/>
                <w:lang w:val="el-GR"/>
              </w:rPr>
            </w:pPr>
          </w:p>
        </w:tc>
        <w:tc>
          <w:tcPr>
            <w:tcW w:w="7063" w:type="dxa"/>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5F0DF3">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3D68EE">
            <w:pPr>
              <w:spacing w:line="360" w:lineRule="auto"/>
              <w:rPr>
                <w:rFonts w:ascii="Arial" w:hAnsi="Arial" w:cs="Arial"/>
                <w:sz w:val="24"/>
                <w:szCs w:val="24"/>
                <w:lang w:val="el-GR"/>
              </w:rPr>
            </w:pPr>
          </w:p>
        </w:tc>
        <w:tc>
          <w:tcPr>
            <w:tcW w:w="7063" w:type="dxa"/>
          </w:tcPr>
          <w:p w:rsidR="003D68EE" w:rsidRPr="0070650F" w:rsidRDefault="003D68EE" w:rsidP="005F0DF3">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w:t>
            </w:r>
            <w:r w:rsidRPr="0070650F">
              <w:rPr>
                <w:rFonts w:ascii="Arial" w:hAnsi="Arial" w:cs="Arial"/>
                <w:sz w:val="24"/>
                <w:szCs w:val="24"/>
              </w:rPr>
              <w:t>ii</w:t>
            </w:r>
            <w:r w:rsidRPr="0070650F">
              <w:rPr>
                <w:rFonts w:ascii="Arial" w:hAnsi="Arial" w:cs="Arial"/>
                <w:sz w:val="24"/>
                <w:szCs w:val="24"/>
                <w:lang w:val="el-GR"/>
              </w:rPr>
              <w:t xml:space="preserve">) </w:t>
            </w:r>
            <w:r w:rsidR="005F0DF3">
              <w:rPr>
                <w:rFonts w:ascii="Arial" w:hAnsi="Arial" w:cs="Arial"/>
                <w:sz w:val="24"/>
                <w:szCs w:val="24"/>
                <w:lang w:val="el-GR"/>
              </w:rPr>
              <w:tab/>
            </w:r>
            <w:r w:rsidRPr="0070650F">
              <w:rPr>
                <w:rFonts w:ascii="Arial" w:hAnsi="Arial" w:cs="Arial"/>
                <w:sz w:val="24"/>
                <w:szCs w:val="24"/>
                <w:lang w:val="el-GR"/>
              </w:rPr>
              <w:t>εφόσον διαπιστωθεί ότι η επιχείρηση δεν τήρησε ουσιώδεις όρους η υποχρεώσεις που ορίζονται από την απόφαση προέγκρισης·</w:t>
            </w:r>
          </w:p>
        </w:tc>
      </w:tr>
      <w:tr w:rsidR="003D68EE" w:rsidRPr="00532D8A" w:rsidTr="005F0DF3">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3D68EE">
            <w:pPr>
              <w:spacing w:line="360" w:lineRule="auto"/>
              <w:rPr>
                <w:rFonts w:ascii="Arial" w:hAnsi="Arial" w:cs="Arial"/>
                <w:sz w:val="24"/>
                <w:szCs w:val="24"/>
                <w:lang w:val="el-GR"/>
              </w:rPr>
            </w:pPr>
          </w:p>
        </w:tc>
        <w:tc>
          <w:tcPr>
            <w:tcW w:w="7063" w:type="dxa"/>
          </w:tcPr>
          <w:p w:rsidR="003D68EE" w:rsidRPr="0070650F" w:rsidRDefault="003D68EE" w:rsidP="006804E2">
            <w:pPr>
              <w:spacing w:line="360" w:lineRule="auto"/>
              <w:jc w:val="both"/>
              <w:rPr>
                <w:rFonts w:ascii="Arial" w:hAnsi="Arial" w:cs="Arial"/>
                <w:sz w:val="24"/>
                <w:szCs w:val="24"/>
                <w:lang w:val="el-GR"/>
              </w:rPr>
            </w:pPr>
          </w:p>
        </w:tc>
      </w:tr>
      <w:tr w:rsidR="003D68EE" w:rsidRPr="00532D8A" w:rsidTr="005F0DF3">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20" w:type="dxa"/>
          </w:tcPr>
          <w:p w:rsidR="003D68EE" w:rsidRDefault="003D68EE" w:rsidP="003D68EE">
            <w:pPr>
              <w:spacing w:line="360" w:lineRule="auto"/>
              <w:rPr>
                <w:rFonts w:ascii="Arial" w:hAnsi="Arial" w:cs="Arial"/>
                <w:sz w:val="24"/>
                <w:szCs w:val="24"/>
                <w:lang w:val="el-GR"/>
              </w:rPr>
            </w:pPr>
          </w:p>
        </w:tc>
        <w:tc>
          <w:tcPr>
            <w:tcW w:w="7063" w:type="dxa"/>
          </w:tcPr>
          <w:p w:rsidR="003D68EE" w:rsidRPr="0070650F" w:rsidRDefault="003D68EE" w:rsidP="005F0DF3">
            <w:pPr>
              <w:spacing w:line="360" w:lineRule="auto"/>
              <w:ind w:left="720" w:hanging="720"/>
              <w:jc w:val="both"/>
              <w:rPr>
                <w:rFonts w:ascii="Arial" w:hAnsi="Arial" w:cs="Arial"/>
                <w:sz w:val="24"/>
                <w:szCs w:val="24"/>
                <w:lang w:val="el-GR"/>
              </w:rPr>
            </w:pPr>
            <w:r w:rsidRPr="0070650F">
              <w:rPr>
                <w:rFonts w:ascii="Arial" w:hAnsi="Arial" w:cs="Arial"/>
                <w:sz w:val="24"/>
                <w:szCs w:val="24"/>
                <w:lang w:val="el-GR"/>
              </w:rPr>
              <w:t>(</w:t>
            </w:r>
            <w:r w:rsidRPr="0070650F">
              <w:rPr>
                <w:rFonts w:ascii="Arial" w:hAnsi="Arial" w:cs="Arial"/>
                <w:sz w:val="24"/>
                <w:szCs w:val="24"/>
              </w:rPr>
              <w:t>iii</w:t>
            </w:r>
            <w:r w:rsidRPr="0070650F">
              <w:rPr>
                <w:rFonts w:ascii="Arial" w:hAnsi="Arial" w:cs="Arial"/>
                <w:sz w:val="24"/>
                <w:szCs w:val="24"/>
                <w:lang w:val="el-GR"/>
              </w:rPr>
              <w:t xml:space="preserve">) </w:t>
            </w:r>
            <w:r w:rsidR="005F0DF3">
              <w:rPr>
                <w:rFonts w:ascii="Arial" w:hAnsi="Arial" w:cs="Arial"/>
                <w:sz w:val="24"/>
                <w:szCs w:val="24"/>
                <w:lang w:val="el-GR"/>
              </w:rPr>
              <w:tab/>
            </w:r>
            <w:r w:rsidRPr="0070650F">
              <w:rPr>
                <w:rFonts w:ascii="Arial" w:hAnsi="Arial" w:cs="Arial"/>
                <w:sz w:val="24"/>
                <w:szCs w:val="24"/>
                <w:lang w:val="el-GR"/>
              </w:rPr>
              <w:t>εφόσον επέλθει ουσιώδης μεταβολή των εφαρμοστέων φορολογικών διατάξεων οι οποίες επηρεάζουν ο</w:t>
            </w:r>
            <w:r w:rsidR="00603AEF">
              <w:rPr>
                <w:rFonts w:ascii="Arial" w:hAnsi="Arial" w:cs="Arial"/>
                <w:sz w:val="24"/>
                <w:szCs w:val="24"/>
                <w:lang w:val="el-GR"/>
              </w:rPr>
              <w:t>υσιωδώς την απόφαση προέγκρισης.</w:t>
            </w:r>
          </w:p>
        </w:tc>
      </w:tr>
      <w:tr w:rsidR="003D68EE" w:rsidRPr="00532D8A" w:rsidTr="005B70BA">
        <w:trPr>
          <w:trHeight w:val="254"/>
        </w:trPr>
        <w:tc>
          <w:tcPr>
            <w:tcW w:w="1998" w:type="dxa"/>
          </w:tcPr>
          <w:p w:rsidR="003D68EE" w:rsidRDefault="003D68EE" w:rsidP="006804E2">
            <w:pPr>
              <w:spacing w:line="360" w:lineRule="auto"/>
              <w:jc w:val="right"/>
              <w:rPr>
                <w:rFonts w:ascii="Arial" w:hAnsi="Arial" w:cs="Arial"/>
                <w:sz w:val="20"/>
                <w:szCs w:val="20"/>
                <w:lang w:val="el-GR"/>
              </w:rPr>
            </w:pPr>
          </w:p>
        </w:tc>
        <w:tc>
          <w:tcPr>
            <w:tcW w:w="7783" w:type="dxa"/>
            <w:gridSpan w:val="2"/>
          </w:tcPr>
          <w:p w:rsidR="003D68EE" w:rsidRPr="0070650F" w:rsidRDefault="003D68EE" w:rsidP="006804E2">
            <w:pPr>
              <w:spacing w:line="360" w:lineRule="auto"/>
              <w:jc w:val="both"/>
              <w:rPr>
                <w:rFonts w:ascii="Arial" w:hAnsi="Arial" w:cs="Arial"/>
                <w:sz w:val="24"/>
                <w:szCs w:val="24"/>
                <w:lang w:val="el-GR"/>
              </w:rPr>
            </w:pPr>
          </w:p>
        </w:tc>
      </w:tr>
      <w:tr w:rsidR="00F0194C" w:rsidRPr="00532D8A" w:rsidTr="005B70BA">
        <w:trPr>
          <w:trHeight w:val="254"/>
        </w:trPr>
        <w:tc>
          <w:tcPr>
            <w:tcW w:w="1998" w:type="dxa"/>
          </w:tcPr>
          <w:p w:rsidR="00F0194C" w:rsidRDefault="00F0194C" w:rsidP="006804E2">
            <w:pPr>
              <w:spacing w:line="360" w:lineRule="auto"/>
              <w:jc w:val="right"/>
              <w:rPr>
                <w:rFonts w:ascii="Arial" w:hAnsi="Arial" w:cs="Arial"/>
                <w:sz w:val="20"/>
                <w:szCs w:val="20"/>
                <w:lang w:val="el-GR"/>
              </w:rPr>
            </w:pPr>
          </w:p>
        </w:tc>
        <w:tc>
          <w:tcPr>
            <w:tcW w:w="7783" w:type="dxa"/>
            <w:gridSpan w:val="2"/>
          </w:tcPr>
          <w:p w:rsidR="00F0194C"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F0194C" w:rsidRPr="0070650F">
              <w:rPr>
                <w:rFonts w:ascii="Arial" w:hAnsi="Arial" w:cs="Arial"/>
                <w:sz w:val="24"/>
                <w:szCs w:val="24"/>
                <w:lang w:val="el-GR"/>
              </w:rPr>
              <w:t xml:space="preserve">(β) Δεν επιτρέπεται η ακύρωση της απόφασης προέγκρισης, </w:t>
            </w:r>
            <w:r w:rsidR="00F0194C" w:rsidRPr="0070650F">
              <w:rPr>
                <w:rFonts w:ascii="Arial" w:hAnsi="Arial" w:cs="Arial"/>
                <w:sz w:val="24"/>
                <w:szCs w:val="24"/>
                <w:lang w:val="el-GR"/>
              </w:rPr>
              <w:lastRenderedPageBreak/>
              <w:t>εφόσον είναι δυνατή η αναθεώρηση της σύμφωνα με τα οριζόμενα στην παράγραφο (7).</w:t>
            </w:r>
          </w:p>
        </w:tc>
      </w:tr>
      <w:tr w:rsidR="00F0194C" w:rsidRPr="00532D8A" w:rsidTr="005B70BA">
        <w:trPr>
          <w:trHeight w:val="254"/>
        </w:trPr>
        <w:tc>
          <w:tcPr>
            <w:tcW w:w="1998" w:type="dxa"/>
          </w:tcPr>
          <w:p w:rsidR="00F0194C" w:rsidRDefault="00F0194C" w:rsidP="006804E2">
            <w:pPr>
              <w:spacing w:line="360" w:lineRule="auto"/>
              <w:jc w:val="right"/>
              <w:rPr>
                <w:rFonts w:ascii="Arial" w:hAnsi="Arial" w:cs="Arial"/>
                <w:sz w:val="20"/>
                <w:szCs w:val="20"/>
                <w:lang w:val="el-GR"/>
              </w:rPr>
            </w:pPr>
          </w:p>
        </w:tc>
        <w:tc>
          <w:tcPr>
            <w:tcW w:w="7783" w:type="dxa"/>
            <w:gridSpan w:val="2"/>
          </w:tcPr>
          <w:p w:rsidR="00F0194C" w:rsidRPr="0070650F" w:rsidRDefault="00F0194C" w:rsidP="006804E2">
            <w:pPr>
              <w:spacing w:line="360" w:lineRule="auto"/>
              <w:jc w:val="both"/>
              <w:rPr>
                <w:rFonts w:ascii="Arial" w:hAnsi="Arial" w:cs="Arial"/>
                <w:sz w:val="24"/>
                <w:szCs w:val="24"/>
                <w:lang w:val="el-GR"/>
              </w:rPr>
            </w:pPr>
          </w:p>
        </w:tc>
      </w:tr>
      <w:tr w:rsidR="00F0194C" w:rsidRPr="00532D8A" w:rsidTr="005B70BA">
        <w:trPr>
          <w:trHeight w:val="254"/>
        </w:trPr>
        <w:tc>
          <w:tcPr>
            <w:tcW w:w="1998" w:type="dxa"/>
          </w:tcPr>
          <w:p w:rsidR="00F0194C" w:rsidRDefault="00F0194C" w:rsidP="006804E2">
            <w:pPr>
              <w:spacing w:line="360" w:lineRule="auto"/>
              <w:jc w:val="right"/>
              <w:rPr>
                <w:rFonts w:ascii="Arial" w:hAnsi="Arial" w:cs="Arial"/>
                <w:sz w:val="20"/>
                <w:szCs w:val="20"/>
                <w:lang w:val="el-GR"/>
              </w:rPr>
            </w:pPr>
          </w:p>
        </w:tc>
        <w:tc>
          <w:tcPr>
            <w:tcW w:w="7783" w:type="dxa"/>
            <w:gridSpan w:val="2"/>
          </w:tcPr>
          <w:p w:rsidR="00F0194C"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(γ) </w:t>
            </w:r>
            <w:r w:rsidR="00F0194C" w:rsidRPr="0070650F">
              <w:rPr>
                <w:rFonts w:ascii="Arial" w:hAnsi="Arial" w:cs="Arial"/>
                <w:sz w:val="24"/>
                <w:szCs w:val="24"/>
                <w:lang w:val="el-GR"/>
              </w:rPr>
              <w:t>Σε περίπτωση ακύρωσης</w:t>
            </w:r>
            <w:r w:rsidR="00603AEF">
              <w:rPr>
                <w:rFonts w:ascii="Arial" w:hAnsi="Arial" w:cs="Arial"/>
                <w:sz w:val="24"/>
                <w:szCs w:val="24"/>
                <w:lang w:val="el-GR"/>
              </w:rPr>
              <w:t xml:space="preserve"> της απόφασης προέγκρισης</w:t>
            </w:r>
            <w:r w:rsidR="00F0194C" w:rsidRPr="0070650F">
              <w:rPr>
                <w:rFonts w:ascii="Arial" w:hAnsi="Arial" w:cs="Arial"/>
                <w:sz w:val="24"/>
                <w:szCs w:val="24"/>
                <w:lang w:val="el-GR"/>
              </w:rPr>
              <w:t>, η ισχύς της απόφασης προέγκρισης παύει από το χρονικό σημείο που ορίζεται στην απόφαση ακύρωσης.</w:t>
            </w:r>
          </w:p>
        </w:tc>
      </w:tr>
      <w:tr w:rsidR="00F0194C" w:rsidRPr="00532D8A" w:rsidTr="005B70BA">
        <w:trPr>
          <w:trHeight w:val="254"/>
        </w:trPr>
        <w:tc>
          <w:tcPr>
            <w:tcW w:w="1998" w:type="dxa"/>
          </w:tcPr>
          <w:p w:rsidR="00F0194C" w:rsidRDefault="00F0194C" w:rsidP="006804E2">
            <w:pPr>
              <w:spacing w:line="360" w:lineRule="auto"/>
              <w:jc w:val="right"/>
              <w:rPr>
                <w:rFonts w:ascii="Arial" w:hAnsi="Arial" w:cs="Arial"/>
                <w:sz w:val="20"/>
                <w:szCs w:val="20"/>
                <w:lang w:val="el-GR"/>
              </w:rPr>
            </w:pPr>
          </w:p>
        </w:tc>
        <w:tc>
          <w:tcPr>
            <w:tcW w:w="7783" w:type="dxa"/>
            <w:gridSpan w:val="2"/>
          </w:tcPr>
          <w:p w:rsidR="00F0194C" w:rsidRPr="0070650F" w:rsidRDefault="00F0194C" w:rsidP="006804E2">
            <w:pPr>
              <w:spacing w:line="360" w:lineRule="auto"/>
              <w:jc w:val="both"/>
              <w:rPr>
                <w:rFonts w:ascii="Arial" w:hAnsi="Arial" w:cs="Arial"/>
                <w:sz w:val="24"/>
                <w:szCs w:val="24"/>
                <w:lang w:val="el-GR"/>
              </w:rPr>
            </w:pPr>
          </w:p>
        </w:tc>
      </w:tr>
      <w:tr w:rsidR="00F0194C" w:rsidRPr="00532D8A" w:rsidTr="005B70BA">
        <w:trPr>
          <w:trHeight w:val="254"/>
        </w:trPr>
        <w:tc>
          <w:tcPr>
            <w:tcW w:w="1998" w:type="dxa"/>
          </w:tcPr>
          <w:p w:rsidR="00F0194C" w:rsidRDefault="00F0194C" w:rsidP="006804E2">
            <w:pPr>
              <w:spacing w:line="360" w:lineRule="auto"/>
              <w:jc w:val="right"/>
              <w:rPr>
                <w:rFonts w:ascii="Arial" w:hAnsi="Arial" w:cs="Arial"/>
                <w:sz w:val="20"/>
                <w:szCs w:val="20"/>
                <w:lang w:val="el-GR"/>
              </w:rPr>
            </w:pPr>
          </w:p>
        </w:tc>
        <w:tc>
          <w:tcPr>
            <w:tcW w:w="7783" w:type="dxa"/>
            <w:gridSpan w:val="2"/>
          </w:tcPr>
          <w:p w:rsidR="00F0194C" w:rsidRPr="0070650F" w:rsidRDefault="00BD03FF" w:rsidP="006804E2">
            <w:pPr>
              <w:spacing w:line="360" w:lineRule="auto"/>
              <w:jc w:val="both"/>
              <w:rPr>
                <w:rFonts w:ascii="Arial" w:hAnsi="Arial" w:cs="Arial"/>
                <w:sz w:val="24"/>
                <w:szCs w:val="24"/>
                <w:lang w:val="el-GR"/>
              </w:rPr>
            </w:pPr>
            <w:r>
              <w:rPr>
                <w:rFonts w:ascii="Arial" w:hAnsi="Arial" w:cs="Arial"/>
                <w:sz w:val="24"/>
                <w:szCs w:val="24"/>
                <w:lang w:val="el-GR"/>
              </w:rPr>
              <w:t xml:space="preserve">     </w:t>
            </w:r>
            <w:r w:rsidR="00F0194C" w:rsidRPr="0070650F">
              <w:rPr>
                <w:rFonts w:ascii="Arial" w:hAnsi="Arial" w:cs="Arial"/>
                <w:sz w:val="24"/>
                <w:szCs w:val="24"/>
                <w:lang w:val="el-GR"/>
              </w:rPr>
              <w:t xml:space="preserve">(11)  Με απόφαση του Εφόρου ορίζονται τα ειδικότερα θέματα τα οποία είναι αναγκαία για την εφαρμογή των διατάξεων των προηγούμενων παραγράφων και ειδικότερα </w:t>
            </w:r>
            <w:r w:rsidR="003711EC">
              <w:rPr>
                <w:rFonts w:ascii="Arial" w:hAnsi="Arial" w:cs="Arial"/>
                <w:sz w:val="24"/>
                <w:szCs w:val="24"/>
                <w:lang w:val="el-GR"/>
              </w:rPr>
              <w:t xml:space="preserve">η διαδικασία για την προέγκριση </w:t>
            </w:r>
            <w:r w:rsidR="00F0194C" w:rsidRPr="0070650F">
              <w:rPr>
                <w:rFonts w:ascii="Arial" w:hAnsi="Arial" w:cs="Arial"/>
                <w:sz w:val="24"/>
                <w:szCs w:val="24"/>
                <w:lang w:val="el-GR"/>
              </w:rPr>
              <w:t>μεθοδολογίας ενδοομιλικής τιμολόγησης, την αναθεώρηση, την ανάκληση και την ακύρωσή της, το ειδικότερο περιεχόμενο της αίτησης προέγκρισης, τα σχετικά παράβολα, η διαδικασία συνεννόησης με τις αρμόδιες αρχές άλλων εμπλεκομένων κρατών, ο τύπος και το περιεχόμενο των αποφάσεων του Τμήματος Φορολογίας  καθώς και κάθε άλλο σχετικό θέμα.</w:t>
            </w:r>
          </w:p>
        </w:tc>
      </w:tr>
    </w:tbl>
    <w:p w:rsidR="007C4F3D" w:rsidRDefault="007C4F3D" w:rsidP="000652E4">
      <w:pPr>
        <w:spacing w:after="0" w:line="360" w:lineRule="auto"/>
        <w:rPr>
          <w:rFonts w:ascii="Arial" w:hAnsi="Arial" w:cs="Arial"/>
          <w:sz w:val="24"/>
          <w:szCs w:val="24"/>
          <w:lang w:val="el-GR"/>
        </w:rPr>
      </w:pPr>
    </w:p>
    <w:p w:rsidR="005F0DF3" w:rsidRDefault="005F0DF3" w:rsidP="000652E4">
      <w:pPr>
        <w:spacing w:after="0" w:line="360" w:lineRule="auto"/>
        <w:rPr>
          <w:rFonts w:ascii="Arial" w:hAnsi="Arial" w:cs="Arial"/>
          <w:sz w:val="24"/>
          <w:szCs w:val="24"/>
          <w:lang w:val="el-GR"/>
        </w:rPr>
      </w:pPr>
    </w:p>
    <w:p w:rsidR="005F0DF3" w:rsidRDefault="005F0DF3" w:rsidP="000652E4">
      <w:pPr>
        <w:spacing w:after="0" w:line="360" w:lineRule="auto"/>
        <w:rPr>
          <w:rFonts w:ascii="Arial" w:hAnsi="Arial" w:cs="Arial"/>
          <w:sz w:val="24"/>
          <w:szCs w:val="24"/>
          <w:lang w:val="el-GR"/>
        </w:rPr>
      </w:pPr>
    </w:p>
    <w:p w:rsidR="005F0DF3" w:rsidRDefault="005F0DF3" w:rsidP="000652E4">
      <w:pPr>
        <w:spacing w:after="0" w:line="360" w:lineRule="auto"/>
        <w:rPr>
          <w:rFonts w:ascii="Arial" w:hAnsi="Arial" w:cs="Arial"/>
          <w:sz w:val="24"/>
          <w:szCs w:val="24"/>
          <w:lang w:val="el-GR"/>
        </w:rPr>
      </w:pPr>
    </w:p>
    <w:p w:rsidR="005F0DF3" w:rsidRDefault="005F0DF3" w:rsidP="000652E4">
      <w:pPr>
        <w:spacing w:after="0" w:line="360" w:lineRule="auto"/>
        <w:rPr>
          <w:rFonts w:ascii="Arial" w:hAnsi="Arial" w:cs="Arial"/>
          <w:sz w:val="24"/>
          <w:szCs w:val="24"/>
          <w:lang w:val="el-GR"/>
        </w:rPr>
      </w:pPr>
    </w:p>
    <w:p w:rsidR="005F0DF3" w:rsidRDefault="005F0DF3" w:rsidP="000652E4">
      <w:pPr>
        <w:spacing w:after="0" w:line="360" w:lineRule="auto"/>
        <w:rPr>
          <w:rFonts w:ascii="Arial" w:hAnsi="Arial" w:cs="Arial"/>
          <w:sz w:val="24"/>
          <w:szCs w:val="24"/>
          <w:lang w:val="el-GR"/>
        </w:rPr>
      </w:pPr>
    </w:p>
    <w:p w:rsidR="005F0DF3" w:rsidRDefault="005F0DF3" w:rsidP="000652E4">
      <w:pPr>
        <w:spacing w:after="0" w:line="360" w:lineRule="auto"/>
        <w:rPr>
          <w:rFonts w:ascii="Arial" w:hAnsi="Arial" w:cs="Arial"/>
          <w:sz w:val="24"/>
          <w:szCs w:val="24"/>
          <w:lang w:val="el-GR"/>
        </w:rPr>
      </w:pPr>
    </w:p>
    <w:p w:rsidR="005F0DF3" w:rsidRDefault="005F0DF3" w:rsidP="000652E4">
      <w:pPr>
        <w:spacing w:after="0" w:line="360" w:lineRule="auto"/>
        <w:rPr>
          <w:rFonts w:ascii="Arial" w:hAnsi="Arial" w:cs="Arial"/>
          <w:sz w:val="24"/>
          <w:szCs w:val="24"/>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6E20EF" w:rsidRDefault="006E20EF" w:rsidP="00576289">
      <w:pPr>
        <w:spacing w:after="0" w:line="240" w:lineRule="auto"/>
        <w:rPr>
          <w:rFonts w:ascii="Arial" w:hAnsi="Arial" w:cs="Arial"/>
          <w:sz w:val="20"/>
          <w:szCs w:val="20"/>
          <w:lang w:val="el-GR"/>
        </w:rPr>
      </w:pPr>
    </w:p>
    <w:p w:rsidR="005F0DF3" w:rsidRDefault="005F0DF3" w:rsidP="00576289">
      <w:pPr>
        <w:spacing w:after="0" w:line="240" w:lineRule="auto"/>
        <w:rPr>
          <w:rFonts w:ascii="Arial" w:hAnsi="Arial" w:cs="Arial"/>
          <w:sz w:val="20"/>
          <w:szCs w:val="20"/>
          <w:lang w:val="el-GR"/>
        </w:rPr>
      </w:pPr>
      <w:r w:rsidRPr="005F0DF3">
        <w:rPr>
          <w:rFonts w:ascii="Arial" w:hAnsi="Arial" w:cs="Arial"/>
          <w:sz w:val="20"/>
          <w:szCs w:val="20"/>
          <w:lang w:val="el-GR"/>
        </w:rPr>
        <w:t>ΕΣ/ΓΣΤ</w:t>
      </w:r>
    </w:p>
    <w:p w:rsidR="00576289" w:rsidRDefault="00576289" w:rsidP="00576289">
      <w:pPr>
        <w:spacing w:after="0" w:line="240" w:lineRule="auto"/>
        <w:rPr>
          <w:rFonts w:ascii="Arial" w:hAnsi="Arial" w:cs="Arial"/>
          <w:sz w:val="12"/>
          <w:szCs w:val="12"/>
          <w:lang w:val="el-GR"/>
        </w:rPr>
      </w:pPr>
      <w:r w:rsidRPr="00576289">
        <w:rPr>
          <w:rFonts w:ascii="Arial" w:hAnsi="Arial" w:cs="Arial"/>
          <w:sz w:val="12"/>
          <w:szCs w:val="12"/>
          <w:lang w:val="el-GR"/>
        </w:rPr>
        <w:t>Νομοσχέδια 2020</w:t>
      </w:r>
    </w:p>
    <w:p w:rsidR="00603AEF" w:rsidRPr="00576289" w:rsidRDefault="00603AEF" w:rsidP="00576289">
      <w:pPr>
        <w:spacing w:after="0" w:line="240" w:lineRule="auto"/>
        <w:rPr>
          <w:rFonts w:ascii="Arial" w:hAnsi="Arial" w:cs="Arial"/>
          <w:sz w:val="12"/>
          <w:szCs w:val="12"/>
          <w:lang w:val="el-GR"/>
        </w:rPr>
      </w:pPr>
      <w:r>
        <w:rPr>
          <w:rFonts w:ascii="Arial" w:hAnsi="Arial" w:cs="Arial"/>
          <w:sz w:val="12"/>
          <w:szCs w:val="12"/>
          <w:lang w:val="el-GR"/>
        </w:rPr>
        <w:t>ΓΕ 50 02 Ν3 15</w:t>
      </w:r>
    </w:p>
    <w:p w:rsidR="005F0DF3" w:rsidRDefault="005F0DF3" w:rsidP="000652E4">
      <w:pPr>
        <w:spacing w:after="0" w:line="360" w:lineRule="auto"/>
        <w:rPr>
          <w:rFonts w:ascii="Arial" w:hAnsi="Arial" w:cs="Arial"/>
          <w:sz w:val="24"/>
          <w:szCs w:val="24"/>
          <w:lang w:val="el-GR"/>
        </w:rPr>
      </w:pPr>
    </w:p>
    <w:p w:rsidR="005F0DF3" w:rsidRPr="0070650F" w:rsidRDefault="005F0DF3" w:rsidP="000652E4">
      <w:pPr>
        <w:spacing w:after="0" w:line="360" w:lineRule="auto"/>
        <w:rPr>
          <w:rFonts w:ascii="Arial" w:hAnsi="Arial" w:cs="Arial"/>
          <w:sz w:val="24"/>
          <w:szCs w:val="24"/>
          <w:lang w:val="el-GR"/>
        </w:rPr>
      </w:pPr>
    </w:p>
    <w:sectPr w:rsidR="005F0DF3" w:rsidRPr="0070650F" w:rsidSect="00532D8A">
      <w:headerReference w:type="default" r:id="rId8"/>
      <w:footerReference w:type="default" r:id="rId9"/>
      <w:pgSz w:w="12240" w:h="15840"/>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9C" w:rsidRDefault="009A499C" w:rsidP="0025335D">
      <w:pPr>
        <w:spacing w:after="0" w:line="240" w:lineRule="auto"/>
      </w:pPr>
      <w:r>
        <w:separator/>
      </w:r>
    </w:p>
  </w:endnote>
  <w:endnote w:type="continuationSeparator" w:id="0">
    <w:p w:rsidR="009A499C" w:rsidRDefault="009A499C" w:rsidP="0025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C1" w:rsidRDefault="007B0FC1">
    <w:pPr>
      <w:pStyle w:val="Footer"/>
      <w:jc w:val="center"/>
    </w:pPr>
  </w:p>
  <w:p w:rsidR="007B0FC1" w:rsidRDefault="007B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9C" w:rsidRDefault="009A499C" w:rsidP="0025335D">
      <w:pPr>
        <w:spacing w:after="0" w:line="240" w:lineRule="auto"/>
      </w:pPr>
      <w:r>
        <w:separator/>
      </w:r>
    </w:p>
  </w:footnote>
  <w:footnote w:type="continuationSeparator" w:id="0">
    <w:p w:rsidR="009A499C" w:rsidRDefault="009A499C" w:rsidP="00253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18404"/>
      <w:docPartObj>
        <w:docPartGallery w:val="Page Numbers (Top of Page)"/>
        <w:docPartUnique/>
      </w:docPartObj>
    </w:sdtPr>
    <w:sdtEndPr>
      <w:rPr>
        <w:noProof/>
      </w:rPr>
    </w:sdtEndPr>
    <w:sdtContent>
      <w:p w:rsidR="00532D8A" w:rsidRDefault="00532D8A">
        <w:pPr>
          <w:pStyle w:val="Header"/>
          <w:jc w:val="center"/>
        </w:pPr>
        <w:r>
          <w:fldChar w:fldCharType="begin"/>
        </w:r>
        <w:r>
          <w:instrText xml:space="preserve"> PAGE   \* MERGEFORMAT </w:instrText>
        </w:r>
        <w:r>
          <w:fldChar w:fldCharType="separate"/>
        </w:r>
        <w:r w:rsidR="00FA7355">
          <w:rPr>
            <w:noProof/>
          </w:rPr>
          <w:t>2</w:t>
        </w:r>
        <w:r>
          <w:rPr>
            <w:noProof/>
          </w:rPr>
          <w:fldChar w:fldCharType="end"/>
        </w:r>
      </w:p>
    </w:sdtContent>
  </w:sdt>
  <w:p w:rsidR="00532D8A" w:rsidRDefault="00532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4E"/>
    <w:multiLevelType w:val="multilevel"/>
    <w:tmpl w:val="65E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C276E"/>
    <w:multiLevelType w:val="multilevel"/>
    <w:tmpl w:val="D6B2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77A3E"/>
    <w:multiLevelType w:val="multilevel"/>
    <w:tmpl w:val="F08C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861D6"/>
    <w:multiLevelType w:val="multilevel"/>
    <w:tmpl w:val="478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92D41"/>
    <w:multiLevelType w:val="multilevel"/>
    <w:tmpl w:val="A0D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95250"/>
    <w:multiLevelType w:val="hybridMultilevel"/>
    <w:tmpl w:val="52DA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16084"/>
    <w:multiLevelType w:val="hybridMultilevel"/>
    <w:tmpl w:val="E61A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112CD"/>
    <w:multiLevelType w:val="hybridMultilevel"/>
    <w:tmpl w:val="900A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A0264"/>
    <w:multiLevelType w:val="multilevel"/>
    <w:tmpl w:val="D2C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20C1B"/>
    <w:multiLevelType w:val="multilevel"/>
    <w:tmpl w:val="546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50532"/>
    <w:multiLevelType w:val="multilevel"/>
    <w:tmpl w:val="032E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F019C"/>
    <w:multiLevelType w:val="multilevel"/>
    <w:tmpl w:val="BAF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5"/>
  </w:num>
  <w:num w:numId="5">
    <w:abstractNumId w:val="10"/>
  </w:num>
  <w:num w:numId="6">
    <w:abstractNumId w:val="8"/>
  </w:num>
  <w:num w:numId="7">
    <w:abstractNumId w:val="9"/>
  </w:num>
  <w:num w:numId="8">
    <w:abstractNumId w:val="11"/>
  </w:num>
  <w:num w:numId="9">
    <w:abstractNumId w:val="2"/>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4F3D"/>
    <w:rsid w:val="00025472"/>
    <w:rsid w:val="00027051"/>
    <w:rsid w:val="000637BD"/>
    <w:rsid w:val="000652E4"/>
    <w:rsid w:val="000A14EB"/>
    <w:rsid w:val="000B3E1F"/>
    <w:rsid w:val="000D07DE"/>
    <w:rsid w:val="000D4E8C"/>
    <w:rsid w:val="000E591E"/>
    <w:rsid w:val="000E5DE8"/>
    <w:rsid w:val="00114F90"/>
    <w:rsid w:val="001342B9"/>
    <w:rsid w:val="00135546"/>
    <w:rsid w:val="0015445C"/>
    <w:rsid w:val="0015760A"/>
    <w:rsid w:val="00173E78"/>
    <w:rsid w:val="00177030"/>
    <w:rsid w:val="00177878"/>
    <w:rsid w:val="0019128A"/>
    <w:rsid w:val="001A2EC8"/>
    <w:rsid w:val="001B46D6"/>
    <w:rsid w:val="001C0502"/>
    <w:rsid w:val="001E6BFD"/>
    <w:rsid w:val="001F5699"/>
    <w:rsid w:val="00204336"/>
    <w:rsid w:val="00221AD6"/>
    <w:rsid w:val="00230C94"/>
    <w:rsid w:val="00234092"/>
    <w:rsid w:val="0025335D"/>
    <w:rsid w:val="00254423"/>
    <w:rsid w:val="002555E3"/>
    <w:rsid w:val="00262A39"/>
    <w:rsid w:val="00293189"/>
    <w:rsid w:val="00294025"/>
    <w:rsid w:val="00297258"/>
    <w:rsid w:val="002A3C7D"/>
    <w:rsid w:val="002A6830"/>
    <w:rsid w:val="002C7E06"/>
    <w:rsid w:val="002D136B"/>
    <w:rsid w:val="002D20A7"/>
    <w:rsid w:val="002D60ED"/>
    <w:rsid w:val="002F509F"/>
    <w:rsid w:val="00303ECA"/>
    <w:rsid w:val="0031470C"/>
    <w:rsid w:val="0032282A"/>
    <w:rsid w:val="0032687A"/>
    <w:rsid w:val="00334087"/>
    <w:rsid w:val="003341EE"/>
    <w:rsid w:val="00334B97"/>
    <w:rsid w:val="003436A8"/>
    <w:rsid w:val="0034726A"/>
    <w:rsid w:val="00353248"/>
    <w:rsid w:val="003711EC"/>
    <w:rsid w:val="0038679C"/>
    <w:rsid w:val="00397B57"/>
    <w:rsid w:val="003A2B46"/>
    <w:rsid w:val="003C5239"/>
    <w:rsid w:val="003C64E4"/>
    <w:rsid w:val="003D510C"/>
    <w:rsid w:val="003D68EE"/>
    <w:rsid w:val="003F2E61"/>
    <w:rsid w:val="00410E4C"/>
    <w:rsid w:val="00420846"/>
    <w:rsid w:val="00423F1B"/>
    <w:rsid w:val="004329B2"/>
    <w:rsid w:val="00434728"/>
    <w:rsid w:val="00434820"/>
    <w:rsid w:val="00443FDC"/>
    <w:rsid w:val="004707EF"/>
    <w:rsid w:val="00472589"/>
    <w:rsid w:val="00486146"/>
    <w:rsid w:val="00493565"/>
    <w:rsid w:val="004A0428"/>
    <w:rsid w:val="004B097E"/>
    <w:rsid w:val="004C39FC"/>
    <w:rsid w:val="004F4A8F"/>
    <w:rsid w:val="005025CB"/>
    <w:rsid w:val="005034D4"/>
    <w:rsid w:val="00504039"/>
    <w:rsid w:val="005167A7"/>
    <w:rsid w:val="0052355C"/>
    <w:rsid w:val="00532D8A"/>
    <w:rsid w:val="00535BE9"/>
    <w:rsid w:val="005743E7"/>
    <w:rsid w:val="00576289"/>
    <w:rsid w:val="00577329"/>
    <w:rsid w:val="005917BF"/>
    <w:rsid w:val="00593A47"/>
    <w:rsid w:val="00596034"/>
    <w:rsid w:val="00596874"/>
    <w:rsid w:val="00596DBD"/>
    <w:rsid w:val="005B0927"/>
    <w:rsid w:val="005B70BA"/>
    <w:rsid w:val="005C55B7"/>
    <w:rsid w:val="005D4F04"/>
    <w:rsid w:val="005E5C0F"/>
    <w:rsid w:val="005F0DF3"/>
    <w:rsid w:val="00603AEF"/>
    <w:rsid w:val="00614672"/>
    <w:rsid w:val="00621500"/>
    <w:rsid w:val="00625B95"/>
    <w:rsid w:val="006312AD"/>
    <w:rsid w:val="006504BF"/>
    <w:rsid w:val="006804E2"/>
    <w:rsid w:val="006854C6"/>
    <w:rsid w:val="006B2CE7"/>
    <w:rsid w:val="006C5CFC"/>
    <w:rsid w:val="006D62C1"/>
    <w:rsid w:val="006E0D9A"/>
    <w:rsid w:val="006E20EF"/>
    <w:rsid w:val="006E275A"/>
    <w:rsid w:val="006E2A6C"/>
    <w:rsid w:val="006E3E7B"/>
    <w:rsid w:val="0070650F"/>
    <w:rsid w:val="007201FB"/>
    <w:rsid w:val="007262EB"/>
    <w:rsid w:val="00736533"/>
    <w:rsid w:val="007460EB"/>
    <w:rsid w:val="00763EBB"/>
    <w:rsid w:val="00770DDA"/>
    <w:rsid w:val="00771F97"/>
    <w:rsid w:val="00791598"/>
    <w:rsid w:val="007B0FC1"/>
    <w:rsid w:val="007B1504"/>
    <w:rsid w:val="007C29BF"/>
    <w:rsid w:val="007C4F3D"/>
    <w:rsid w:val="007D47A3"/>
    <w:rsid w:val="007E1B49"/>
    <w:rsid w:val="007E4632"/>
    <w:rsid w:val="007F04C5"/>
    <w:rsid w:val="007F1E4F"/>
    <w:rsid w:val="007F332E"/>
    <w:rsid w:val="00804805"/>
    <w:rsid w:val="00827C99"/>
    <w:rsid w:val="00840C34"/>
    <w:rsid w:val="00847625"/>
    <w:rsid w:val="00866286"/>
    <w:rsid w:val="00875236"/>
    <w:rsid w:val="00875C10"/>
    <w:rsid w:val="008853AD"/>
    <w:rsid w:val="008B547E"/>
    <w:rsid w:val="008C356E"/>
    <w:rsid w:val="008D1D7D"/>
    <w:rsid w:val="008D71D9"/>
    <w:rsid w:val="008E2443"/>
    <w:rsid w:val="008F6AD4"/>
    <w:rsid w:val="00900644"/>
    <w:rsid w:val="00907669"/>
    <w:rsid w:val="009162BF"/>
    <w:rsid w:val="00930809"/>
    <w:rsid w:val="00930810"/>
    <w:rsid w:val="0093106C"/>
    <w:rsid w:val="00935FA3"/>
    <w:rsid w:val="00941D73"/>
    <w:rsid w:val="009432F4"/>
    <w:rsid w:val="00962315"/>
    <w:rsid w:val="00966ED2"/>
    <w:rsid w:val="00982BBB"/>
    <w:rsid w:val="009A499C"/>
    <w:rsid w:val="009F4159"/>
    <w:rsid w:val="00A37E47"/>
    <w:rsid w:val="00A4214D"/>
    <w:rsid w:val="00A43FA6"/>
    <w:rsid w:val="00A46766"/>
    <w:rsid w:val="00A5236E"/>
    <w:rsid w:val="00A7440D"/>
    <w:rsid w:val="00A978EF"/>
    <w:rsid w:val="00AA191E"/>
    <w:rsid w:val="00AB360C"/>
    <w:rsid w:val="00AE7A0F"/>
    <w:rsid w:val="00AF603E"/>
    <w:rsid w:val="00B01BA6"/>
    <w:rsid w:val="00B04C80"/>
    <w:rsid w:val="00B329CB"/>
    <w:rsid w:val="00B36DA8"/>
    <w:rsid w:val="00B42B54"/>
    <w:rsid w:val="00B43803"/>
    <w:rsid w:val="00B91F5B"/>
    <w:rsid w:val="00BA1ACD"/>
    <w:rsid w:val="00BA556F"/>
    <w:rsid w:val="00BA7044"/>
    <w:rsid w:val="00BB1D25"/>
    <w:rsid w:val="00BD03FF"/>
    <w:rsid w:val="00BD2466"/>
    <w:rsid w:val="00BE2E25"/>
    <w:rsid w:val="00C75B9E"/>
    <w:rsid w:val="00C779C1"/>
    <w:rsid w:val="00C84D90"/>
    <w:rsid w:val="00C879F9"/>
    <w:rsid w:val="00C91DCC"/>
    <w:rsid w:val="00C92E88"/>
    <w:rsid w:val="00CA4EE1"/>
    <w:rsid w:val="00CC2955"/>
    <w:rsid w:val="00CC4E49"/>
    <w:rsid w:val="00CD56D5"/>
    <w:rsid w:val="00CD59EF"/>
    <w:rsid w:val="00CE5298"/>
    <w:rsid w:val="00CE7F1D"/>
    <w:rsid w:val="00CF66AF"/>
    <w:rsid w:val="00CF7AFC"/>
    <w:rsid w:val="00D03437"/>
    <w:rsid w:val="00D155DD"/>
    <w:rsid w:val="00D27B7B"/>
    <w:rsid w:val="00D35573"/>
    <w:rsid w:val="00D5153E"/>
    <w:rsid w:val="00D61140"/>
    <w:rsid w:val="00D63D8F"/>
    <w:rsid w:val="00D64B5D"/>
    <w:rsid w:val="00DA01EB"/>
    <w:rsid w:val="00DB62E2"/>
    <w:rsid w:val="00DC05DA"/>
    <w:rsid w:val="00DC2899"/>
    <w:rsid w:val="00DD3192"/>
    <w:rsid w:val="00E21500"/>
    <w:rsid w:val="00E323D2"/>
    <w:rsid w:val="00E35F02"/>
    <w:rsid w:val="00E43544"/>
    <w:rsid w:val="00E51FAF"/>
    <w:rsid w:val="00E76C4E"/>
    <w:rsid w:val="00E834F7"/>
    <w:rsid w:val="00E95140"/>
    <w:rsid w:val="00EB1852"/>
    <w:rsid w:val="00EB2640"/>
    <w:rsid w:val="00EB4309"/>
    <w:rsid w:val="00EC4008"/>
    <w:rsid w:val="00ED3A82"/>
    <w:rsid w:val="00ED79E7"/>
    <w:rsid w:val="00EF08BC"/>
    <w:rsid w:val="00F0194C"/>
    <w:rsid w:val="00F125B2"/>
    <w:rsid w:val="00F354E1"/>
    <w:rsid w:val="00F91B53"/>
    <w:rsid w:val="00FA271E"/>
    <w:rsid w:val="00FA7355"/>
    <w:rsid w:val="00FA7668"/>
    <w:rsid w:val="00FB50D1"/>
    <w:rsid w:val="00FB5DA2"/>
    <w:rsid w:val="00FF5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CC3EE-F282-4AB3-AB3C-8CB2AC4F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F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3D"/>
    <w:rPr>
      <w:rFonts w:ascii="Tahoma" w:hAnsi="Tahoma" w:cs="Tahoma"/>
      <w:sz w:val="16"/>
      <w:szCs w:val="16"/>
    </w:rPr>
  </w:style>
  <w:style w:type="character" w:customStyle="1" w:styleId="toc-instrument-enum">
    <w:name w:val="toc-instrument-enum"/>
    <w:basedOn w:val="DefaultParagraphFont"/>
    <w:rsid w:val="00114F90"/>
  </w:style>
  <w:style w:type="paragraph" w:styleId="ListParagraph">
    <w:name w:val="List Paragraph"/>
    <w:basedOn w:val="Normal"/>
    <w:uiPriority w:val="34"/>
    <w:qFormat/>
    <w:rsid w:val="00114F90"/>
    <w:pPr>
      <w:ind w:left="720"/>
      <w:contextualSpacing/>
    </w:pPr>
  </w:style>
  <w:style w:type="paragraph" w:styleId="Header">
    <w:name w:val="header"/>
    <w:basedOn w:val="Normal"/>
    <w:link w:val="HeaderChar"/>
    <w:uiPriority w:val="99"/>
    <w:unhideWhenUsed/>
    <w:rsid w:val="0025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35D"/>
  </w:style>
  <w:style w:type="paragraph" w:styleId="Footer">
    <w:name w:val="footer"/>
    <w:basedOn w:val="Normal"/>
    <w:link w:val="FooterChar"/>
    <w:uiPriority w:val="99"/>
    <w:unhideWhenUsed/>
    <w:rsid w:val="0025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5D"/>
  </w:style>
  <w:style w:type="character" w:styleId="CommentReference">
    <w:name w:val="annotation reference"/>
    <w:basedOn w:val="DefaultParagraphFont"/>
    <w:uiPriority w:val="99"/>
    <w:semiHidden/>
    <w:unhideWhenUsed/>
    <w:rsid w:val="00B43803"/>
    <w:rPr>
      <w:sz w:val="16"/>
      <w:szCs w:val="16"/>
    </w:rPr>
  </w:style>
  <w:style w:type="paragraph" w:styleId="CommentText">
    <w:name w:val="annotation text"/>
    <w:basedOn w:val="Normal"/>
    <w:link w:val="CommentTextChar"/>
    <w:uiPriority w:val="99"/>
    <w:semiHidden/>
    <w:unhideWhenUsed/>
    <w:rsid w:val="00B43803"/>
    <w:pPr>
      <w:spacing w:line="240" w:lineRule="auto"/>
    </w:pPr>
    <w:rPr>
      <w:sz w:val="20"/>
      <w:szCs w:val="20"/>
    </w:rPr>
  </w:style>
  <w:style w:type="character" w:customStyle="1" w:styleId="CommentTextChar">
    <w:name w:val="Comment Text Char"/>
    <w:basedOn w:val="DefaultParagraphFont"/>
    <w:link w:val="CommentText"/>
    <w:uiPriority w:val="99"/>
    <w:semiHidden/>
    <w:rsid w:val="00B43803"/>
    <w:rPr>
      <w:sz w:val="20"/>
      <w:szCs w:val="20"/>
    </w:rPr>
  </w:style>
  <w:style w:type="paragraph" w:styleId="CommentSubject">
    <w:name w:val="annotation subject"/>
    <w:basedOn w:val="CommentText"/>
    <w:next w:val="CommentText"/>
    <w:link w:val="CommentSubjectChar"/>
    <w:uiPriority w:val="99"/>
    <w:semiHidden/>
    <w:unhideWhenUsed/>
    <w:rsid w:val="00B43803"/>
    <w:rPr>
      <w:b/>
      <w:bCs/>
    </w:rPr>
  </w:style>
  <w:style w:type="character" w:customStyle="1" w:styleId="CommentSubjectChar">
    <w:name w:val="Comment Subject Char"/>
    <w:basedOn w:val="CommentTextChar"/>
    <w:link w:val="CommentSubject"/>
    <w:uiPriority w:val="99"/>
    <w:semiHidden/>
    <w:rsid w:val="00B43803"/>
    <w:rPr>
      <w:b/>
      <w:bCs/>
      <w:sz w:val="20"/>
      <w:szCs w:val="20"/>
    </w:rPr>
  </w:style>
  <w:style w:type="paragraph" w:styleId="NoSpacing">
    <w:name w:val="No Spacing"/>
    <w:uiPriority w:val="1"/>
    <w:qFormat/>
    <w:rsid w:val="007B1504"/>
    <w:pPr>
      <w:spacing w:after="0" w:line="240" w:lineRule="auto"/>
    </w:pPr>
  </w:style>
  <w:style w:type="paragraph" w:styleId="Revision">
    <w:name w:val="Revision"/>
    <w:hidden/>
    <w:uiPriority w:val="99"/>
    <w:semiHidden/>
    <w:rsid w:val="006C5CFC"/>
    <w:pPr>
      <w:spacing w:after="0" w:line="240" w:lineRule="auto"/>
    </w:pPr>
  </w:style>
  <w:style w:type="paragraph" w:customStyle="1" w:styleId="toc-instrument">
    <w:name w:val="toc-instrument"/>
    <w:basedOn w:val="Normal"/>
    <w:rsid w:val="007D4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342">
      <w:bodyDiv w:val="1"/>
      <w:marLeft w:val="0"/>
      <w:marRight w:val="0"/>
      <w:marTop w:val="0"/>
      <w:marBottom w:val="0"/>
      <w:divBdr>
        <w:top w:val="none" w:sz="0" w:space="0" w:color="auto"/>
        <w:left w:val="none" w:sz="0" w:space="0" w:color="auto"/>
        <w:bottom w:val="none" w:sz="0" w:space="0" w:color="auto"/>
        <w:right w:val="none" w:sz="0" w:space="0" w:color="auto"/>
      </w:divBdr>
      <w:divsChild>
        <w:div w:id="1903367019">
          <w:marLeft w:val="0"/>
          <w:marRight w:val="0"/>
          <w:marTop w:val="0"/>
          <w:marBottom w:val="0"/>
          <w:divBdr>
            <w:top w:val="none" w:sz="0" w:space="0" w:color="auto"/>
            <w:left w:val="none" w:sz="0" w:space="0" w:color="auto"/>
            <w:bottom w:val="none" w:sz="0" w:space="0" w:color="auto"/>
            <w:right w:val="none" w:sz="0" w:space="0" w:color="auto"/>
          </w:divBdr>
        </w:div>
      </w:divsChild>
    </w:div>
    <w:div w:id="385225012">
      <w:bodyDiv w:val="1"/>
      <w:marLeft w:val="0"/>
      <w:marRight w:val="0"/>
      <w:marTop w:val="0"/>
      <w:marBottom w:val="0"/>
      <w:divBdr>
        <w:top w:val="none" w:sz="0" w:space="0" w:color="auto"/>
        <w:left w:val="none" w:sz="0" w:space="0" w:color="auto"/>
        <w:bottom w:val="none" w:sz="0" w:space="0" w:color="auto"/>
        <w:right w:val="none" w:sz="0" w:space="0" w:color="auto"/>
      </w:divBdr>
      <w:divsChild>
        <w:div w:id="1298492491">
          <w:marLeft w:val="0"/>
          <w:marRight w:val="0"/>
          <w:marTop w:val="0"/>
          <w:marBottom w:val="0"/>
          <w:divBdr>
            <w:top w:val="none" w:sz="0" w:space="0" w:color="auto"/>
            <w:left w:val="none" w:sz="0" w:space="0" w:color="auto"/>
            <w:bottom w:val="none" w:sz="0" w:space="0" w:color="auto"/>
            <w:right w:val="none" w:sz="0" w:space="0" w:color="auto"/>
          </w:divBdr>
        </w:div>
      </w:divsChild>
    </w:div>
    <w:div w:id="478350693">
      <w:bodyDiv w:val="1"/>
      <w:marLeft w:val="0"/>
      <w:marRight w:val="0"/>
      <w:marTop w:val="0"/>
      <w:marBottom w:val="0"/>
      <w:divBdr>
        <w:top w:val="none" w:sz="0" w:space="0" w:color="auto"/>
        <w:left w:val="none" w:sz="0" w:space="0" w:color="auto"/>
        <w:bottom w:val="none" w:sz="0" w:space="0" w:color="auto"/>
        <w:right w:val="none" w:sz="0" w:space="0" w:color="auto"/>
      </w:divBdr>
      <w:divsChild>
        <w:div w:id="1567062879">
          <w:marLeft w:val="0"/>
          <w:marRight w:val="0"/>
          <w:marTop w:val="0"/>
          <w:marBottom w:val="0"/>
          <w:divBdr>
            <w:top w:val="none" w:sz="0" w:space="0" w:color="auto"/>
            <w:left w:val="none" w:sz="0" w:space="0" w:color="auto"/>
            <w:bottom w:val="none" w:sz="0" w:space="0" w:color="auto"/>
            <w:right w:val="none" w:sz="0" w:space="0" w:color="auto"/>
          </w:divBdr>
        </w:div>
      </w:divsChild>
    </w:div>
    <w:div w:id="587470658">
      <w:bodyDiv w:val="1"/>
      <w:marLeft w:val="0"/>
      <w:marRight w:val="0"/>
      <w:marTop w:val="0"/>
      <w:marBottom w:val="0"/>
      <w:divBdr>
        <w:top w:val="none" w:sz="0" w:space="0" w:color="auto"/>
        <w:left w:val="none" w:sz="0" w:space="0" w:color="auto"/>
        <w:bottom w:val="none" w:sz="0" w:space="0" w:color="auto"/>
        <w:right w:val="none" w:sz="0" w:space="0" w:color="auto"/>
      </w:divBdr>
    </w:div>
    <w:div w:id="694624058">
      <w:bodyDiv w:val="1"/>
      <w:marLeft w:val="0"/>
      <w:marRight w:val="0"/>
      <w:marTop w:val="0"/>
      <w:marBottom w:val="0"/>
      <w:divBdr>
        <w:top w:val="none" w:sz="0" w:space="0" w:color="auto"/>
        <w:left w:val="none" w:sz="0" w:space="0" w:color="auto"/>
        <w:bottom w:val="none" w:sz="0" w:space="0" w:color="auto"/>
        <w:right w:val="none" w:sz="0" w:space="0" w:color="auto"/>
      </w:divBdr>
      <w:divsChild>
        <w:div w:id="1663316980">
          <w:marLeft w:val="0"/>
          <w:marRight w:val="0"/>
          <w:marTop w:val="0"/>
          <w:marBottom w:val="0"/>
          <w:divBdr>
            <w:top w:val="none" w:sz="0" w:space="0" w:color="auto"/>
            <w:left w:val="none" w:sz="0" w:space="0" w:color="auto"/>
            <w:bottom w:val="none" w:sz="0" w:space="0" w:color="auto"/>
            <w:right w:val="none" w:sz="0" w:space="0" w:color="auto"/>
          </w:divBdr>
        </w:div>
      </w:divsChild>
    </w:div>
    <w:div w:id="928854080">
      <w:bodyDiv w:val="1"/>
      <w:marLeft w:val="0"/>
      <w:marRight w:val="0"/>
      <w:marTop w:val="0"/>
      <w:marBottom w:val="0"/>
      <w:divBdr>
        <w:top w:val="none" w:sz="0" w:space="0" w:color="auto"/>
        <w:left w:val="none" w:sz="0" w:space="0" w:color="auto"/>
        <w:bottom w:val="none" w:sz="0" w:space="0" w:color="auto"/>
        <w:right w:val="none" w:sz="0" w:space="0" w:color="auto"/>
      </w:divBdr>
    </w:div>
    <w:div w:id="1291091204">
      <w:bodyDiv w:val="1"/>
      <w:marLeft w:val="0"/>
      <w:marRight w:val="0"/>
      <w:marTop w:val="0"/>
      <w:marBottom w:val="0"/>
      <w:divBdr>
        <w:top w:val="none" w:sz="0" w:space="0" w:color="auto"/>
        <w:left w:val="none" w:sz="0" w:space="0" w:color="auto"/>
        <w:bottom w:val="none" w:sz="0" w:space="0" w:color="auto"/>
        <w:right w:val="none" w:sz="0" w:space="0" w:color="auto"/>
      </w:divBdr>
      <w:divsChild>
        <w:div w:id="1941141147">
          <w:marLeft w:val="0"/>
          <w:marRight w:val="0"/>
          <w:marTop w:val="0"/>
          <w:marBottom w:val="0"/>
          <w:divBdr>
            <w:top w:val="none" w:sz="0" w:space="0" w:color="auto"/>
            <w:left w:val="none" w:sz="0" w:space="0" w:color="auto"/>
            <w:bottom w:val="none" w:sz="0" w:space="0" w:color="auto"/>
            <w:right w:val="none" w:sz="0" w:space="0" w:color="auto"/>
          </w:divBdr>
        </w:div>
      </w:divsChild>
    </w:div>
    <w:div w:id="20052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4670-F182-4BBC-93C7-099DA9A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 Makri</cp:lastModifiedBy>
  <cp:revision>13</cp:revision>
  <cp:lastPrinted>2018-12-07T07:03:00Z</cp:lastPrinted>
  <dcterms:created xsi:type="dcterms:W3CDTF">2020-10-29T07:12:00Z</dcterms:created>
  <dcterms:modified xsi:type="dcterms:W3CDTF">2021-04-12T07:36:00Z</dcterms:modified>
</cp:coreProperties>
</file>