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72" w:rsidRPr="00C32C78" w:rsidRDefault="00E6081E" w:rsidP="004A3C72">
      <w:pPr>
        <w:contextualSpacing/>
        <w:jc w:val="right"/>
        <w:rPr>
          <w:b/>
          <w:sz w:val="22"/>
          <w:szCs w:val="28"/>
          <w:lang w:val="el-GR"/>
        </w:rPr>
      </w:pPr>
      <w:bookmarkStart w:id="0" w:name="_GoBack"/>
      <w:r w:rsidRPr="00C32C78">
        <w:rPr>
          <w:b/>
          <w:sz w:val="22"/>
          <w:szCs w:val="28"/>
          <w:lang w:val="el-GR"/>
        </w:rPr>
        <w:t>ΠΑΡΑΡΤΗΜΑ Ι</w:t>
      </w:r>
    </w:p>
    <w:bookmarkEnd w:id="0"/>
    <w:p w:rsidR="004A3C72" w:rsidRDefault="004A3C72" w:rsidP="004A3C72">
      <w:pPr>
        <w:pStyle w:val="ListParagraph"/>
        <w:spacing w:after="0" w:line="240" w:lineRule="auto"/>
        <w:ind w:left="0"/>
        <w:jc w:val="center"/>
        <w:rPr>
          <w:b/>
        </w:rPr>
      </w:pPr>
    </w:p>
    <w:p w:rsidR="004A3C72" w:rsidRDefault="004A3C72" w:rsidP="004A3C72">
      <w:pPr>
        <w:pStyle w:val="ListParagraph"/>
        <w:spacing w:after="0" w:line="240" w:lineRule="auto"/>
        <w:ind w:left="0"/>
        <w:jc w:val="center"/>
        <w:rPr>
          <w:rFonts w:ascii="Arial" w:hAnsi="Arial" w:cs="Arial"/>
          <w:b/>
          <w:u w:val="single"/>
        </w:rPr>
      </w:pPr>
    </w:p>
    <w:p w:rsidR="004A3C72" w:rsidRPr="009B4D1B" w:rsidRDefault="004A3C72" w:rsidP="004A3C72">
      <w:pPr>
        <w:pStyle w:val="ListParagraph"/>
        <w:spacing w:after="0" w:line="240" w:lineRule="auto"/>
        <w:ind w:left="0"/>
        <w:jc w:val="center"/>
        <w:rPr>
          <w:rFonts w:ascii="Arial" w:hAnsi="Arial" w:cs="Arial"/>
          <w:b/>
          <w:u w:val="single"/>
        </w:rPr>
      </w:pPr>
      <w:r w:rsidRPr="009B4D1B">
        <w:rPr>
          <w:rFonts w:ascii="Arial" w:hAnsi="Arial" w:cs="Arial"/>
          <w:b/>
          <w:u w:val="single"/>
        </w:rPr>
        <w:t>ΝΟΜΟΣΧΕΔΙΟ ΜΕ ΤΙΤΛΟ «ΝΟΜΟΣ ΠΟΥ ΤΡΟΠΟΠΟΙΕΙ ΤΟΝ ΠΕΡΙ ΑΛΙΕΙΑΣ ΝΟΜΟ»</w:t>
      </w:r>
    </w:p>
    <w:p w:rsidR="004A3C72" w:rsidRDefault="004A3C72" w:rsidP="004A3C72">
      <w:pPr>
        <w:pStyle w:val="ListParagraph"/>
        <w:spacing w:after="0" w:line="240" w:lineRule="auto"/>
        <w:ind w:left="0"/>
        <w:jc w:val="center"/>
        <w:rPr>
          <w:b/>
        </w:rPr>
      </w:pPr>
    </w:p>
    <w:p w:rsidR="004A3C72" w:rsidRPr="00855068" w:rsidRDefault="004A3C72" w:rsidP="004A3C72">
      <w:pPr>
        <w:pStyle w:val="ListParagraph"/>
        <w:spacing w:after="0" w:line="240" w:lineRule="auto"/>
        <w:ind w:left="0"/>
        <w:jc w:val="center"/>
        <w:rPr>
          <w:b/>
        </w:rPr>
      </w:pPr>
    </w:p>
    <w:tbl>
      <w:tblPr>
        <w:tblW w:w="9606" w:type="dxa"/>
        <w:tblLayout w:type="fixed"/>
        <w:tblLook w:val="04A0" w:firstRow="1" w:lastRow="0" w:firstColumn="1" w:lastColumn="0" w:noHBand="0" w:noVBand="1"/>
      </w:tblPr>
      <w:tblGrid>
        <w:gridCol w:w="1786"/>
        <w:gridCol w:w="732"/>
        <w:gridCol w:w="709"/>
        <w:gridCol w:w="6379"/>
      </w:tblGrid>
      <w:tr w:rsidR="004A3C72" w:rsidRPr="00C32C78" w:rsidTr="002C735E">
        <w:tc>
          <w:tcPr>
            <w:tcW w:w="1786" w:type="dxa"/>
          </w:tcPr>
          <w:p w:rsidR="004A3C72" w:rsidRPr="00FA5517" w:rsidRDefault="004A3C72" w:rsidP="002C735E">
            <w:pPr>
              <w:pStyle w:val="ListParagraph"/>
              <w:spacing w:after="0" w:line="240" w:lineRule="auto"/>
              <w:ind w:left="0"/>
              <w:jc w:val="both"/>
              <w:rPr>
                <w:sz w:val="20"/>
                <w:szCs w:val="20"/>
              </w:rPr>
            </w:pPr>
          </w:p>
        </w:tc>
        <w:tc>
          <w:tcPr>
            <w:tcW w:w="7820" w:type="dxa"/>
            <w:gridSpan w:val="3"/>
          </w:tcPr>
          <w:p w:rsidR="004A3C72" w:rsidRPr="00B37C65" w:rsidRDefault="004A3C72" w:rsidP="002C735E">
            <w:pPr>
              <w:contextualSpacing/>
              <w:jc w:val="both"/>
              <w:rPr>
                <w:sz w:val="22"/>
                <w:lang w:val="el-GR"/>
              </w:rPr>
            </w:pPr>
            <w:r w:rsidRPr="00B37C65">
              <w:rPr>
                <w:sz w:val="22"/>
                <w:lang w:val="el-GR"/>
              </w:rPr>
              <w:t>Η Βουλή των Αντιπροσώπων ψηφίζει ως ακολούθως:</w:t>
            </w:r>
          </w:p>
        </w:tc>
      </w:tr>
      <w:tr w:rsidR="004A3C72" w:rsidRPr="00C32C78" w:rsidTr="002C735E">
        <w:tc>
          <w:tcPr>
            <w:tcW w:w="1786" w:type="dxa"/>
          </w:tcPr>
          <w:p w:rsidR="004A3C72" w:rsidRPr="00FA5517" w:rsidRDefault="004A3C72" w:rsidP="002C735E">
            <w:pPr>
              <w:pStyle w:val="ListParagraph"/>
              <w:spacing w:after="0" w:line="240" w:lineRule="auto"/>
              <w:ind w:left="0"/>
              <w:jc w:val="both"/>
              <w:rPr>
                <w:sz w:val="20"/>
                <w:szCs w:val="20"/>
              </w:rPr>
            </w:pPr>
          </w:p>
        </w:tc>
        <w:tc>
          <w:tcPr>
            <w:tcW w:w="7820" w:type="dxa"/>
            <w:gridSpan w:val="3"/>
          </w:tcPr>
          <w:p w:rsidR="004A3C72" w:rsidRPr="00B37C65" w:rsidRDefault="004A3C72" w:rsidP="002C735E">
            <w:pPr>
              <w:contextualSpacing/>
              <w:jc w:val="both"/>
              <w:rPr>
                <w:sz w:val="22"/>
                <w:lang w:val="el-GR"/>
              </w:rPr>
            </w:pPr>
          </w:p>
        </w:tc>
      </w:tr>
      <w:tr w:rsidR="004A3C72" w:rsidRPr="00C32C78" w:rsidTr="002C735E">
        <w:tc>
          <w:tcPr>
            <w:tcW w:w="1786" w:type="dxa"/>
          </w:tcPr>
          <w:p w:rsidR="004A3C72" w:rsidRPr="009B4D1B" w:rsidRDefault="004A3C72" w:rsidP="002C735E">
            <w:pPr>
              <w:pStyle w:val="ListParagraph"/>
              <w:spacing w:after="0" w:line="240" w:lineRule="auto"/>
              <w:ind w:left="0"/>
              <w:jc w:val="both"/>
              <w:rPr>
                <w:rFonts w:ascii="Arial" w:hAnsi="Arial" w:cs="Arial"/>
                <w:sz w:val="20"/>
                <w:szCs w:val="20"/>
              </w:rPr>
            </w:pPr>
            <w:r w:rsidRPr="009B4D1B">
              <w:rPr>
                <w:rFonts w:ascii="Arial" w:hAnsi="Arial" w:cs="Arial"/>
                <w:sz w:val="20"/>
                <w:szCs w:val="20"/>
              </w:rPr>
              <w:t>Συνοπτικός τίτλος.</w:t>
            </w:r>
          </w:p>
          <w:p w:rsidR="004A3C72" w:rsidRPr="009B4D1B" w:rsidRDefault="004A3C72" w:rsidP="002C735E">
            <w:pPr>
              <w:pStyle w:val="ListParagraph"/>
              <w:spacing w:after="0" w:line="240" w:lineRule="auto"/>
              <w:ind w:left="0"/>
              <w:jc w:val="both"/>
              <w:rPr>
                <w:rFonts w:ascii="Arial" w:hAnsi="Arial" w:cs="Arial"/>
                <w:sz w:val="20"/>
                <w:szCs w:val="20"/>
              </w:rPr>
            </w:pPr>
            <w:r w:rsidRPr="009B4D1B">
              <w:rPr>
                <w:rFonts w:ascii="Arial" w:hAnsi="Arial" w:cs="Arial"/>
                <w:sz w:val="20"/>
                <w:szCs w:val="20"/>
              </w:rPr>
              <w:t>Κεφ. 135.</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44 του 1961</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 xml:space="preserve">109 του 1968 </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2 του 1970</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9 του 1972</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 xml:space="preserve">19 του 1981 </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210 του 1987</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170 του 1990</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22(Ι) του 1994</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102(Ι) του 2000</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61(Ι) του 2001</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106(Ι) του 2004</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63(Ι) του 2005.</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132(Ι) του 2007</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29(Ι) του 2016</w:t>
            </w:r>
          </w:p>
          <w:p w:rsidR="004A3C72" w:rsidRPr="009B4D1B" w:rsidRDefault="004A3C72" w:rsidP="002C735E">
            <w:pPr>
              <w:pStyle w:val="ListParagraph"/>
              <w:spacing w:after="0" w:line="240" w:lineRule="auto"/>
              <w:ind w:left="0"/>
              <w:jc w:val="right"/>
              <w:rPr>
                <w:rFonts w:ascii="Arial" w:hAnsi="Arial" w:cs="Arial"/>
                <w:sz w:val="20"/>
                <w:szCs w:val="20"/>
              </w:rPr>
            </w:pPr>
            <w:r w:rsidRPr="009B4D1B">
              <w:rPr>
                <w:rFonts w:ascii="Arial" w:hAnsi="Arial" w:cs="Arial"/>
                <w:sz w:val="20"/>
                <w:szCs w:val="20"/>
              </w:rPr>
              <w:t>170(Ι) του 2019.</w:t>
            </w:r>
          </w:p>
        </w:tc>
        <w:tc>
          <w:tcPr>
            <w:tcW w:w="7820" w:type="dxa"/>
            <w:gridSpan w:val="3"/>
          </w:tcPr>
          <w:p w:rsidR="004A3C72" w:rsidRPr="00B37C65" w:rsidRDefault="004A3C72" w:rsidP="002C735E">
            <w:pPr>
              <w:contextualSpacing/>
              <w:jc w:val="both"/>
              <w:rPr>
                <w:sz w:val="22"/>
                <w:lang w:val="el-GR"/>
              </w:rPr>
            </w:pPr>
            <w:r w:rsidRPr="00B37C65">
              <w:rPr>
                <w:sz w:val="22"/>
                <w:lang w:val="el-GR"/>
              </w:rPr>
              <w:t>1.  Ο παρών Νόμος θα αναφέρεται ως ο περί Αλιείας (Τροποποιητικός) Νόμος του 2021 και θα διαβάζεται μαζί με τον περί Αλιείας Νόμο (που στο εξής θα αναφέρεται ως «ο βασικός νόμος»).</w:t>
            </w:r>
          </w:p>
        </w:tc>
      </w:tr>
      <w:tr w:rsidR="004A3C72" w:rsidRPr="00C32C78" w:rsidTr="002C735E">
        <w:tc>
          <w:tcPr>
            <w:tcW w:w="1786" w:type="dxa"/>
          </w:tcPr>
          <w:p w:rsidR="004A3C72" w:rsidRPr="009B4D1B" w:rsidRDefault="004A3C72" w:rsidP="002C735E">
            <w:pPr>
              <w:pStyle w:val="ListParagraph"/>
              <w:spacing w:after="0" w:line="240" w:lineRule="auto"/>
              <w:ind w:left="0"/>
              <w:jc w:val="both"/>
              <w:rPr>
                <w:rFonts w:ascii="Arial" w:hAnsi="Arial" w:cs="Arial"/>
                <w:sz w:val="20"/>
                <w:szCs w:val="20"/>
              </w:rPr>
            </w:pPr>
          </w:p>
        </w:tc>
        <w:tc>
          <w:tcPr>
            <w:tcW w:w="7820" w:type="dxa"/>
            <w:gridSpan w:val="3"/>
          </w:tcPr>
          <w:p w:rsidR="004A3C72" w:rsidRPr="00B37C65" w:rsidRDefault="004A3C72" w:rsidP="002C735E">
            <w:pPr>
              <w:contextualSpacing/>
              <w:jc w:val="both"/>
              <w:rPr>
                <w:sz w:val="22"/>
                <w:lang w:val="el-GR"/>
              </w:rPr>
            </w:pPr>
          </w:p>
        </w:tc>
      </w:tr>
      <w:tr w:rsidR="004A3C72" w:rsidRPr="00C32C78" w:rsidTr="002C735E">
        <w:tc>
          <w:tcPr>
            <w:tcW w:w="1786" w:type="dxa"/>
          </w:tcPr>
          <w:p w:rsidR="004A3C72" w:rsidRPr="009B4D1B" w:rsidRDefault="004A3C72" w:rsidP="002C735E">
            <w:pPr>
              <w:pStyle w:val="ListParagraph"/>
              <w:spacing w:after="0" w:line="240" w:lineRule="auto"/>
              <w:ind w:left="0"/>
              <w:rPr>
                <w:rFonts w:ascii="Arial" w:hAnsi="Arial" w:cs="Arial"/>
                <w:sz w:val="20"/>
                <w:szCs w:val="20"/>
              </w:rPr>
            </w:pPr>
            <w:r w:rsidRPr="009B4D1B">
              <w:rPr>
                <w:rFonts w:ascii="Arial" w:hAnsi="Arial" w:cs="Arial"/>
                <w:sz w:val="20"/>
                <w:szCs w:val="20"/>
              </w:rPr>
              <w:t>Τροποποίηση του άρθρου 5Α του βασικού νόμου.</w:t>
            </w:r>
          </w:p>
        </w:tc>
        <w:tc>
          <w:tcPr>
            <w:tcW w:w="7820" w:type="dxa"/>
            <w:gridSpan w:val="3"/>
          </w:tcPr>
          <w:p w:rsidR="004A3C72" w:rsidRPr="00B37C65" w:rsidRDefault="004A3C72" w:rsidP="002C735E">
            <w:pPr>
              <w:contextualSpacing/>
              <w:rPr>
                <w:sz w:val="22"/>
                <w:lang w:val="el-GR"/>
              </w:rPr>
            </w:pPr>
            <w:r w:rsidRPr="00B37C65">
              <w:rPr>
                <w:sz w:val="22"/>
                <w:lang w:val="el-GR"/>
              </w:rPr>
              <w:t>2. Το άρθρο 5Α του βασικού νόμου τροποποιείται με -</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rPr>
            </w:pPr>
            <w:r w:rsidRPr="00B37C65">
              <w:rPr>
                <w:sz w:val="22"/>
              </w:rPr>
              <w:t xml:space="preserve">(α) </w:t>
            </w:r>
          </w:p>
        </w:tc>
        <w:tc>
          <w:tcPr>
            <w:tcW w:w="7088" w:type="dxa"/>
            <w:gridSpan w:val="2"/>
          </w:tcPr>
          <w:p w:rsidR="004A3C72" w:rsidRPr="00B37C65" w:rsidRDefault="004A3C72" w:rsidP="002C735E">
            <w:pPr>
              <w:contextualSpacing/>
              <w:jc w:val="both"/>
              <w:rPr>
                <w:sz w:val="22"/>
                <w:lang w:val="el-GR"/>
              </w:rPr>
            </w:pPr>
            <w:r w:rsidRPr="00B37C65">
              <w:rPr>
                <w:sz w:val="22"/>
                <w:lang w:val="el-GR"/>
              </w:rPr>
              <w:t>την αντικατάσταση του πλαγιότιτλου αυτού με τον ακόλουθο νέο πλαγιότιτλο «Διάταγμα απαγόρευσης αλιείας και/ ή διέλευσης σκαφών σε καθορισμένες θαλάσσιες περιοχές και διάταγμα διαχείρισης των θαλάσσιων περιοχών αυτών.»·</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rPr>
            </w:pPr>
            <w:r w:rsidRPr="00B37C65">
              <w:rPr>
                <w:sz w:val="22"/>
              </w:rPr>
              <w:t>(β)</w:t>
            </w:r>
          </w:p>
        </w:tc>
        <w:tc>
          <w:tcPr>
            <w:tcW w:w="7088" w:type="dxa"/>
            <w:gridSpan w:val="2"/>
          </w:tcPr>
          <w:p w:rsidR="004A3C72" w:rsidRPr="00B37C65" w:rsidRDefault="004A3C72" w:rsidP="002C735E">
            <w:pPr>
              <w:contextualSpacing/>
              <w:rPr>
                <w:sz w:val="22"/>
                <w:lang w:val="el-GR"/>
              </w:rPr>
            </w:pPr>
            <w:r w:rsidRPr="00B37C65">
              <w:rPr>
                <w:sz w:val="22"/>
                <w:lang w:val="el-GR"/>
              </w:rPr>
              <w:t xml:space="preserve">την αρίθμηση του υφιστάμενου κειμένου αυτού σε εδάφιο (1), και </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rPr>
            </w:pPr>
            <w:r w:rsidRPr="00B37C65">
              <w:rPr>
                <w:sz w:val="22"/>
              </w:rPr>
              <w:t xml:space="preserve">(γ) </w:t>
            </w:r>
          </w:p>
        </w:tc>
        <w:tc>
          <w:tcPr>
            <w:tcW w:w="7088" w:type="dxa"/>
            <w:gridSpan w:val="2"/>
          </w:tcPr>
          <w:p w:rsidR="004A3C72" w:rsidRPr="00B37C65" w:rsidRDefault="004A3C72" w:rsidP="002C735E">
            <w:pPr>
              <w:contextualSpacing/>
              <w:rPr>
                <w:sz w:val="22"/>
                <w:lang w:val="el-GR"/>
              </w:rPr>
            </w:pPr>
            <w:r w:rsidRPr="00B37C65">
              <w:rPr>
                <w:sz w:val="22"/>
                <w:lang w:val="el-GR"/>
              </w:rPr>
              <w:t>την προσθήκη των ακόλουθων νέων εδαφίων (2), (3), (4), (5) και (6):</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jc w:val="both"/>
              <w:rPr>
                <w:sz w:val="22"/>
                <w:lang w:val="el-GR"/>
              </w:rPr>
            </w:pPr>
            <w:r w:rsidRPr="00B37C65">
              <w:rPr>
                <w:sz w:val="22"/>
                <w:lang w:val="el-GR"/>
              </w:rPr>
              <w:t xml:space="preserve">«(2) Για τις θαλάσσιες περιοχές που αναφέρονται στο εδάφιο (1), ο Υπουργός δύναται με Διάταγμά του που δημοσιεύεται στην Επίσημη Εφημερίδα της Δημοκρατίας, να εκπονεί Σχέδια Διαχείρισης, τα οποία μπορούν να τίθενται σε ισχύ σε ημερομηνία μεταγενέστερη της δημοσίευσης του Διατάγματος, που καθορίζεται με γνωστοποίηση του Υπουργού στην Επίσημη Εφημερίδα της Δημοκρατίας. </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jc w:val="both"/>
              <w:rPr>
                <w:sz w:val="22"/>
                <w:lang w:val="el-GR"/>
              </w:rPr>
            </w:pPr>
            <w:r w:rsidRPr="00B37C65">
              <w:rPr>
                <w:sz w:val="22"/>
                <w:lang w:val="el-GR"/>
              </w:rPr>
              <w:t>(3) Ένα Σχέδιο Διαχείρισης μπορεί να αφορά μία ή περισσότερες θαλάσσιες περιοχές των εδαφίων (1) και (2).</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jc w:val="both"/>
              <w:rPr>
                <w:sz w:val="22"/>
                <w:lang w:val="el-GR"/>
              </w:rPr>
            </w:pPr>
            <w:r w:rsidRPr="00B37C65">
              <w:rPr>
                <w:sz w:val="22"/>
                <w:lang w:val="el-GR"/>
              </w:rPr>
              <w:t>(4) (α) Κάθε Σχέδιο Διαχείρισης καθορίζει τους σκοπούς και τους στόχους διατήρησης της θαλάσσιας περιοχής.</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jc w:val="both"/>
              <w:rPr>
                <w:sz w:val="22"/>
                <w:lang w:val="el-GR"/>
              </w:rPr>
            </w:pPr>
            <w:r w:rsidRPr="00B37C65">
              <w:rPr>
                <w:sz w:val="22"/>
                <w:lang w:val="el-GR"/>
              </w:rPr>
              <w:t xml:space="preserve">      (β) Στο στάδιο της ετοιμασίας του Σχεδίου Διαχείρισης, λαμβάνονται υπόψη οι απόψεις των αρμοδίων τμημάτων, υπηρεσιών και μη κυβερνητικών οργανισμών.</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r w:rsidRPr="00B37C65">
              <w:rPr>
                <w:sz w:val="22"/>
                <w:lang w:val="el-GR"/>
              </w:rPr>
              <w:t xml:space="preserve">    (γ) Κάθε Σχέδιο Διαχείρισης περιλαμβάνει -</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4A3C72">
            <w:pPr>
              <w:pStyle w:val="ListParagraph"/>
              <w:numPr>
                <w:ilvl w:val="0"/>
                <w:numId w:val="1"/>
              </w:numPr>
              <w:spacing w:after="0" w:line="240" w:lineRule="auto"/>
              <w:ind w:left="601" w:firstLine="0"/>
              <w:jc w:val="both"/>
              <w:rPr>
                <w:rFonts w:ascii="Arial" w:hAnsi="Arial" w:cs="Arial"/>
                <w:szCs w:val="24"/>
              </w:rPr>
            </w:pPr>
            <w:r w:rsidRPr="00B37C65">
              <w:rPr>
                <w:rFonts w:ascii="Arial" w:hAnsi="Arial" w:cs="Arial"/>
                <w:szCs w:val="24"/>
              </w:rPr>
              <w:t>Τα απαιτούμενα μέτρα για την επίτευξη των σκοπών και στόχων διαχείρισης της θαλάσσιας περιοχής, περιλαμβανομένων μέτρων για την προστασία και αποκατάσταση των θαλάσσιων ειδών και οικοτόπων και της βιοποικιλότητας εν γένει·</w:t>
            </w:r>
          </w:p>
          <w:p w:rsidR="004A3C72" w:rsidRPr="00B37C65" w:rsidRDefault="004A3C72" w:rsidP="004A3C72">
            <w:pPr>
              <w:pStyle w:val="ListParagraph"/>
              <w:numPr>
                <w:ilvl w:val="0"/>
                <w:numId w:val="1"/>
              </w:numPr>
              <w:spacing w:after="0" w:line="240" w:lineRule="auto"/>
              <w:ind w:left="601" w:firstLine="0"/>
              <w:jc w:val="both"/>
              <w:rPr>
                <w:rFonts w:ascii="Arial" w:hAnsi="Arial" w:cs="Arial"/>
                <w:szCs w:val="24"/>
              </w:rPr>
            </w:pPr>
            <w:r w:rsidRPr="00B37C65">
              <w:rPr>
                <w:rFonts w:ascii="Arial" w:hAnsi="Arial" w:cs="Arial"/>
                <w:szCs w:val="24"/>
              </w:rPr>
              <w:t>Απαγορεύσεις ή ρυθμίσεις συγκεκριμένων δραστηριοτήτων εντός της θαλάσσιας περιοχής·</w:t>
            </w:r>
          </w:p>
          <w:p w:rsidR="004A3C72" w:rsidRPr="00B37C65" w:rsidRDefault="004A3C72" w:rsidP="004A3C72">
            <w:pPr>
              <w:pStyle w:val="ListParagraph"/>
              <w:numPr>
                <w:ilvl w:val="0"/>
                <w:numId w:val="1"/>
              </w:numPr>
              <w:spacing w:after="0" w:line="240" w:lineRule="auto"/>
              <w:ind w:left="601" w:firstLine="0"/>
              <w:jc w:val="both"/>
              <w:rPr>
                <w:rFonts w:ascii="Arial" w:hAnsi="Arial" w:cs="Arial"/>
                <w:szCs w:val="24"/>
              </w:rPr>
            </w:pPr>
            <w:r w:rsidRPr="00B37C65">
              <w:rPr>
                <w:rFonts w:ascii="Arial" w:hAnsi="Arial" w:cs="Arial"/>
                <w:szCs w:val="24"/>
              </w:rPr>
              <w:t>Κανόνες λειτουργίας εντός της θαλάσσιας περιοχής και</w:t>
            </w:r>
          </w:p>
          <w:p w:rsidR="004A3C72" w:rsidRPr="00B37C65" w:rsidRDefault="004A3C72" w:rsidP="003F0D2D">
            <w:pPr>
              <w:pStyle w:val="ListParagraph"/>
              <w:numPr>
                <w:ilvl w:val="0"/>
                <w:numId w:val="1"/>
              </w:numPr>
              <w:spacing w:after="0" w:line="240" w:lineRule="auto"/>
              <w:ind w:left="601" w:firstLine="0"/>
              <w:jc w:val="both"/>
            </w:pPr>
            <w:r w:rsidRPr="00B37C65">
              <w:rPr>
                <w:rFonts w:ascii="Arial" w:hAnsi="Arial" w:cs="Arial"/>
                <w:szCs w:val="24"/>
              </w:rPr>
              <w:t>Καθορισμό τελών εισόδου στη θαλάσσια περιοχή.</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r w:rsidRPr="00B37C65">
              <w:rPr>
                <w:sz w:val="22"/>
                <w:lang w:val="el-GR"/>
              </w:rPr>
              <w:t xml:space="preserve">   (5) Πριν την εκπόνηση ή τροποποίηση ενός Σχεδίου Διαχείρισης, ο Διευθυντής –</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9" w:type="dxa"/>
          </w:tcPr>
          <w:p w:rsidR="004A3C72" w:rsidRPr="00B37C65" w:rsidRDefault="004A3C72" w:rsidP="002C735E">
            <w:pPr>
              <w:contextualSpacing/>
              <w:jc w:val="right"/>
              <w:rPr>
                <w:sz w:val="22"/>
              </w:rPr>
            </w:pPr>
            <w:r w:rsidRPr="00B37C65">
              <w:rPr>
                <w:sz w:val="22"/>
              </w:rPr>
              <w:t>(α)</w:t>
            </w:r>
          </w:p>
        </w:tc>
        <w:tc>
          <w:tcPr>
            <w:tcW w:w="6379" w:type="dxa"/>
          </w:tcPr>
          <w:p w:rsidR="004A3C72" w:rsidRPr="00B37C65" w:rsidRDefault="004A3C72" w:rsidP="002C735E">
            <w:pPr>
              <w:contextualSpacing/>
              <w:jc w:val="both"/>
              <w:rPr>
                <w:sz w:val="22"/>
                <w:lang w:val="el-GR"/>
              </w:rPr>
            </w:pPr>
            <w:r w:rsidRPr="00B37C65">
              <w:rPr>
                <w:sz w:val="22"/>
                <w:lang w:val="el-GR"/>
              </w:rPr>
              <w:t>αποστέλλει αντίγραφο του προσχεδίου αυτού σε όλα τα ενδιαφερόμενα κυβερνητικά τμήματα ή υπηρεσίες, ζητώντας τις απόψεις τους, οι οποίες πρέπει να υποβληθούν εντός ενός μηνός από την ημερομηνία λήψης τους από τα εν λόγω τμήματα ή υπηρεσίες·</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9" w:type="dxa"/>
          </w:tcPr>
          <w:p w:rsidR="004A3C72" w:rsidRPr="00B37C65" w:rsidRDefault="004A3C72" w:rsidP="002C735E">
            <w:pPr>
              <w:contextualSpacing/>
              <w:jc w:val="right"/>
              <w:rPr>
                <w:sz w:val="22"/>
                <w:lang w:val="el-GR"/>
              </w:rPr>
            </w:pPr>
          </w:p>
        </w:tc>
        <w:tc>
          <w:tcPr>
            <w:tcW w:w="6379" w:type="dxa"/>
          </w:tcPr>
          <w:p w:rsidR="004A3C72" w:rsidRPr="00B37C65" w:rsidRDefault="004A3C72" w:rsidP="002C735E">
            <w:pPr>
              <w:contextualSpacing/>
              <w:jc w:val="both"/>
              <w:rPr>
                <w:sz w:val="22"/>
                <w:lang w:val="el-GR"/>
              </w:rPr>
            </w:pP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9" w:type="dxa"/>
          </w:tcPr>
          <w:p w:rsidR="004A3C72" w:rsidRPr="00B37C65" w:rsidRDefault="004A3C72" w:rsidP="002C735E">
            <w:pPr>
              <w:contextualSpacing/>
              <w:jc w:val="right"/>
              <w:rPr>
                <w:sz w:val="22"/>
              </w:rPr>
            </w:pPr>
            <w:r w:rsidRPr="00B37C65">
              <w:rPr>
                <w:sz w:val="22"/>
              </w:rPr>
              <w:t>(β)</w:t>
            </w:r>
          </w:p>
        </w:tc>
        <w:tc>
          <w:tcPr>
            <w:tcW w:w="6379" w:type="dxa"/>
          </w:tcPr>
          <w:p w:rsidR="004A3C72" w:rsidRPr="00B37C65" w:rsidRDefault="004A3C72" w:rsidP="002C735E">
            <w:pPr>
              <w:contextualSpacing/>
              <w:jc w:val="both"/>
              <w:rPr>
                <w:sz w:val="22"/>
                <w:lang w:val="el-GR"/>
              </w:rPr>
            </w:pPr>
            <w:r w:rsidRPr="00B37C65">
              <w:rPr>
                <w:sz w:val="22"/>
                <w:lang w:val="el-GR"/>
              </w:rPr>
              <w:t>διοργανώνει τουλάχιστον μια δημόσια παρουσίαση του προσχεδίου, στην οποία καλούνται να παρευρεθούν οι επηρεαζόμενες αρχές τοπικής διοίκησης, μη κυβερνητικοί οργανισμοί και  το ευρύ κοινό.</w:t>
            </w:r>
          </w:p>
        </w:tc>
      </w:tr>
      <w:tr w:rsidR="004A3C72" w:rsidRPr="00C32C78" w:rsidTr="002C735E">
        <w:tc>
          <w:tcPr>
            <w:tcW w:w="1786" w:type="dxa"/>
          </w:tcPr>
          <w:p w:rsidR="004A3C72" w:rsidRPr="00FA5517" w:rsidRDefault="004A3C72" w:rsidP="002C735E">
            <w:pPr>
              <w:pStyle w:val="ListParagraph"/>
              <w:spacing w:after="0" w:line="240" w:lineRule="auto"/>
              <w:ind w:left="0"/>
              <w:rPr>
                <w:sz w:val="20"/>
                <w:szCs w:val="20"/>
              </w:rPr>
            </w:pPr>
          </w:p>
        </w:tc>
        <w:tc>
          <w:tcPr>
            <w:tcW w:w="732" w:type="dxa"/>
          </w:tcPr>
          <w:p w:rsidR="004A3C72" w:rsidRPr="00B37C65" w:rsidRDefault="004A3C72" w:rsidP="002C735E">
            <w:pPr>
              <w:contextualSpacing/>
              <w:jc w:val="right"/>
              <w:rPr>
                <w:sz w:val="22"/>
                <w:lang w:val="el-GR"/>
              </w:rPr>
            </w:pPr>
          </w:p>
        </w:tc>
        <w:tc>
          <w:tcPr>
            <w:tcW w:w="7088" w:type="dxa"/>
            <w:gridSpan w:val="2"/>
          </w:tcPr>
          <w:p w:rsidR="004A3C72" w:rsidRPr="00B37C65" w:rsidRDefault="004A3C72" w:rsidP="002C735E">
            <w:pPr>
              <w:contextualSpacing/>
              <w:rPr>
                <w:sz w:val="22"/>
                <w:lang w:val="el-GR"/>
              </w:rPr>
            </w:pPr>
          </w:p>
        </w:tc>
      </w:tr>
      <w:tr w:rsidR="004A3C72" w:rsidRPr="00C32C78" w:rsidTr="002C735E">
        <w:trPr>
          <w:trHeight w:val="995"/>
        </w:trPr>
        <w:tc>
          <w:tcPr>
            <w:tcW w:w="1786" w:type="dxa"/>
          </w:tcPr>
          <w:p w:rsidR="004A3C72" w:rsidRPr="00FA5517" w:rsidRDefault="004A3C72" w:rsidP="002C735E">
            <w:pPr>
              <w:pStyle w:val="ListParagraph"/>
              <w:spacing w:after="0" w:line="240" w:lineRule="auto"/>
              <w:ind w:left="0"/>
              <w:rPr>
                <w:sz w:val="20"/>
                <w:szCs w:val="20"/>
              </w:rPr>
            </w:pPr>
          </w:p>
        </w:tc>
        <w:tc>
          <w:tcPr>
            <w:tcW w:w="7820" w:type="dxa"/>
            <w:gridSpan w:val="3"/>
          </w:tcPr>
          <w:p w:rsidR="004A3C72" w:rsidRPr="00B37C65" w:rsidRDefault="004A3C72" w:rsidP="002C735E">
            <w:pPr>
              <w:ind w:left="720"/>
              <w:contextualSpacing/>
              <w:jc w:val="both"/>
              <w:rPr>
                <w:sz w:val="22"/>
                <w:lang w:val="el-GR"/>
              </w:rPr>
            </w:pPr>
            <w:r w:rsidRPr="00B37C65">
              <w:rPr>
                <w:sz w:val="22"/>
                <w:lang w:val="el-GR"/>
              </w:rPr>
              <w:t xml:space="preserve">    (6) Πρόσωπο το οποίο προβαίνει σε πράξη ή παράλειψη, κατά παράβαση των απαγορευτικών ή επιτακτικών διατάξεων διατάγματος που εκδίδεται δυνάμει του παρόντος άρθρου, είναι ένοχο αδικήματος και, σε περίπτωση καταδίκης του, υπόκειται σε φυλάκιση που δεν υπερβαίνει τα δύο (2) χρόνια ή σε χρηματική ποινή που δεν υπερβαίνει τα Δεκαεπτά χιλιάδες και πεντακόσια (17.500) Ευρώ ή και στις δύο αυτές ποινές.».</w:t>
            </w:r>
          </w:p>
        </w:tc>
      </w:tr>
    </w:tbl>
    <w:p w:rsidR="004A3C72" w:rsidRPr="00287941" w:rsidRDefault="004A3C72" w:rsidP="004A3C72">
      <w:pPr>
        <w:contextualSpacing/>
        <w:jc w:val="center"/>
        <w:rPr>
          <w:b/>
          <w:u w:val="single"/>
          <w:lang w:val="el-GR"/>
        </w:rPr>
      </w:pPr>
    </w:p>
    <w:p w:rsidR="00CC72C8" w:rsidRPr="004A3C72" w:rsidRDefault="00CC72C8">
      <w:pPr>
        <w:rPr>
          <w:lang w:val="el-GR"/>
        </w:rPr>
      </w:pPr>
    </w:p>
    <w:sectPr w:rsidR="00CC72C8" w:rsidRPr="004A3C72" w:rsidSect="00B37C65">
      <w:footerReference w:type="even" r:id="rId8"/>
      <w:footerReference w:type="default" r:id="rId9"/>
      <w:pgSz w:w="12240" w:h="15840"/>
      <w:pgMar w:top="709" w:right="1325"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28" w:rsidRDefault="00064128">
      <w:r>
        <w:separator/>
      </w:r>
    </w:p>
  </w:endnote>
  <w:endnote w:type="continuationSeparator" w:id="0">
    <w:p w:rsidR="00064128" w:rsidRDefault="0006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Founder Extended)">
    <w:altName w:val="SimSun"/>
    <w:charset w:val="86"/>
    <w:family w:val="script"/>
    <w:pitch w:val="fixed"/>
    <w:sig w:usb0="00000000"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53" w:rsidRDefault="004A3C72" w:rsidP="000A4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53" w:rsidRDefault="00064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53" w:rsidRPr="005E79C8" w:rsidRDefault="00064128" w:rsidP="005E79C8">
    <w:pPr>
      <w:pStyle w:val="Footer"/>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28" w:rsidRDefault="00064128">
      <w:r>
        <w:separator/>
      </w:r>
    </w:p>
  </w:footnote>
  <w:footnote w:type="continuationSeparator" w:id="0">
    <w:p w:rsidR="00064128" w:rsidRDefault="00064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27"/>
    <w:multiLevelType w:val="hybridMultilevel"/>
    <w:tmpl w:val="398AD376"/>
    <w:lvl w:ilvl="0" w:tplc="E48ED068">
      <w:start w:val="1"/>
      <w:numFmt w:val="lowerRoman"/>
      <w:lvlText w:val="(%1)"/>
      <w:lvlJc w:val="left"/>
      <w:pPr>
        <w:ind w:left="4363" w:hanging="720"/>
      </w:pPr>
      <w:rPr>
        <w:rFonts w:ascii="Arial" w:hAnsi="Arial" w:cs="Arial" w:hint="default"/>
        <w:sz w:val="22"/>
        <w:szCs w:val="22"/>
      </w:rPr>
    </w:lvl>
    <w:lvl w:ilvl="1" w:tplc="04080019" w:tentative="1">
      <w:start w:val="1"/>
      <w:numFmt w:val="lowerLetter"/>
      <w:lvlText w:val="%2."/>
      <w:lvlJc w:val="left"/>
      <w:pPr>
        <w:ind w:left="4723" w:hanging="360"/>
      </w:pPr>
    </w:lvl>
    <w:lvl w:ilvl="2" w:tplc="0408001B" w:tentative="1">
      <w:start w:val="1"/>
      <w:numFmt w:val="lowerRoman"/>
      <w:lvlText w:val="%3."/>
      <w:lvlJc w:val="right"/>
      <w:pPr>
        <w:ind w:left="5443" w:hanging="180"/>
      </w:pPr>
    </w:lvl>
    <w:lvl w:ilvl="3" w:tplc="0408000F" w:tentative="1">
      <w:start w:val="1"/>
      <w:numFmt w:val="decimal"/>
      <w:lvlText w:val="%4."/>
      <w:lvlJc w:val="left"/>
      <w:pPr>
        <w:ind w:left="6163" w:hanging="360"/>
      </w:pPr>
    </w:lvl>
    <w:lvl w:ilvl="4" w:tplc="04080019" w:tentative="1">
      <w:start w:val="1"/>
      <w:numFmt w:val="lowerLetter"/>
      <w:lvlText w:val="%5."/>
      <w:lvlJc w:val="left"/>
      <w:pPr>
        <w:ind w:left="6883" w:hanging="360"/>
      </w:pPr>
    </w:lvl>
    <w:lvl w:ilvl="5" w:tplc="0408001B" w:tentative="1">
      <w:start w:val="1"/>
      <w:numFmt w:val="lowerRoman"/>
      <w:lvlText w:val="%6."/>
      <w:lvlJc w:val="right"/>
      <w:pPr>
        <w:ind w:left="7603" w:hanging="180"/>
      </w:pPr>
    </w:lvl>
    <w:lvl w:ilvl="6" w:tplc="0408000F" w:tentative="1">
      <w:start w:val="1"/>
      <w:numFmt w:val="decimal"/>
      <w:lvlText w:val="%7."/>
      <w:lvlJc w:val="left"/>
      <w:pPr>
        <w:ind w:left="8323" w:hanging="360"/>
      </w:pPr>
    </w:lvl>
    <w:lvl w:ilvl="7" w:tplc="04080019" w:tentative="1">
      <w:start w:val="1"/>
      <w:numFmt w:val="lowerLetter"/>
      <w:lvlText w:val="%8."/>
      <w:lvlJc w:val="left"/>
      <w:pPr>
        <w:ind w:left="9043" w:hanging="360"/>
      </w:pPr>
    </w:lvl>
    <w:lvl w:ilvl="8" w:tplc="0408001B" w:tentative="1">
      <w:start w:val="1"/>
      <w:numFmt w:val="lowerRoman"/>
      <w:lvlText w:val="%9."/>
      <w:lvlJc w:val="right"/>
      <w:pPr>
        <w:ind w:left="9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F3"/>
    <w:rsid w:val="00064128"/>
    <w:rsid w:val="00396B7D"/>
    <w:rsid w:val="003F0D2D"/>
    <w:rsid w:val="004A3C72"/>
    <w:rsid w:val="00C32C78"/>
    <w:rsid w:val="00CC72C8"/>
    <w:rsid w:val="00E327F3"/>
    <w:rsid w:val="00E6081E"/>
    <w:rsid w:val="00EB16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72"/>
    <w:pPr>
      <w:spacing w:after="0" w:line="240" w:lineRule="auto"/>
    </w:pPr>
    <w:rPr>
      <w:rFonts w:ascii="Arial" w:eastAsia="Simsun (Founder Extended)" w:hAnsi="Arial"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C72"/>
    <w:pPr>
      <w:tabs>
        <w:tab w:val="center" w:pos="4320"/>
        <w:tab w:val="right" w:pos="8640"/>
      </w:tabs>
    </w:pPr>
  </w:style>
  <w:style w:type="character" w:customStyle="1" w:styleId="FooterChar">
    <w:name w:val="Footer Char"/>
    <w:basedOn w:val="DefaultParagraphFont"/>
    <w:link w:val="Footer"/>
    <w:rsid w:val="004A3C72"/>
    <w:rPr>
      <w:rFonts w:ascii="Arial" w:eastAsia="Simsun (Founder Extended)" w:hAnsi="Arial" w:cs="Arial"/>
      <w:sz w:val="24"/>
      <w:szCs w:val="24"/>
      <w:lang w:val="en-US" w:eastAsia="zh-CN"/>
    </w:rPr>
  </w:style>
  <w:style w:type="character" w:styleId="PageNumber">
    <w:name w:val="page number"/>
    <w:basedOn w:val="DefaultParagraphFont"/>
    <w:rsid w:val="004A3C72"/>
  </w:style>
  <w:style w:type="paragraph" w:styleId="ListParagraph">
    <w:name w:val="List Paragraph"/>
    <w:basedOn w:val="Normal"/>
    <w:uiPriority w:val="34"/>
    <w:qFormat/>
    <w:rsid w:val="004A3C72"/>
    <w:pPr>
      <w:spacing w:after="200" w:line="276" w:lineRule="auto"/>
      <w:ind w:left="720"/>
      <w:contextualSpacing/>
    </w:pPr>
    <w:rPr>
      <w:rFonts w:ascii="Calibri" w:eastAsia="Calibri" w:hAnsi="Calibri" w:cs="Times New Roman"/>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72"/>
    <w:pPr>
      <w:spacing w:after="0" w:line="240" w:lineRule="auto"/>
    </w:pPr>
    <w:rPr>
      <w:rFonts w:ascii="Arial" w:eastAsia="Simsun (Founder Extended)" w:hAnsi="Arial"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C72"/>
    <w:pPr>
      <w:tabs>
        <w:tab w:val="center" w:pos="4320"/>
        <w:tab w:val="right" w:pos="8640"/>
      </w:tabs>
    </w:pPr>
  </w:style>
  <w:style w:type="character" w:customStyle="1" w:styleId="FooterChar">
    <w:name w:val="Footer Char"/>
    <w:basedOn w:val="DefaultParagraphFont"/>
    <w:link w:val="Footer"/>
    <w:rsid w:val="004A3C72"/>
    <w:rPr>
      <w:rFonts w:ascii="Arial" w:eastAsia="Simsun (Founder Extended)" w:hAnsi="Arial" w:cs="Arial"/>
      <w:sz w:val="24"/>
      <w:szCs w:val="24"/>
      <w:lang w:val="en-US" w:eastAsia="zh-CN"/>
    </w:rPr>
  </w:style>
  <w:style w:type="character" w:styleId="PageNumber">
    <w:name w:val="page number"/>
    <w:basedOn w:val="DefaultParagraphFont"/>
    <w:rsid w:val="004A3C72"/>
  </w:style>
  <w:style w:type="paragraph" w:styleId="ListParagraph">
    <w:name w:val="List Paragraph"/>
    <w:basedOn w:val="Normal"/>
    <w:uiPriority w:val="34"/>
    <w:qFormat/>
    <w:rsid w:val="004A3C72"/>
    <w:pPr>
      <w:spacing w:after="200" w:line="276" w:lineRule="auto"/>
      <w:ind w:left="720"/>
      <w:contextualSpacing/>
    </w:pPr>
    <w:rPr>
      <w:rFonts w:ascii="Calibri" w:eastAsia="Calibri" w:hAnsi="Calibri" w:cs="Times New Roman"/>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2715</Characters>
  <Application>Microsoft Office Word</Application>
  <DocSecurity>0</DocSecurity>
  <Lines>22</Lines>
  <Paragraphs>6</Paragraphs>
  <ScaleCrop>false</ScaleCrop>
  <Company>Hewlett-Packard Company</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2021-11-02T06:12:00Z</cp:lastPrinted>
  <dcterms:created xsi:type="dcterms:W3CDTF">2021-10-20T09:57:00Z</dcterms:created>
  <dcterms:modified xsi:type="dcterms:W3CDTF">2021-11-02T06:12:00Z</dcterms:modified>
</cp:coreProperties>
</file>