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4E16" w14:textId="77777777" w:rsidR="00314C10" w:rsidRPr="00934476" w:rsidRDefault="00314C10" w:rsidP="00314C10">
      <w:pPr>
        <w:tabs>
          <w:tab w:val="clear" w:pos="567"/>
        </w:tabs>
        <w:jc w:val="center"/>
        <w:rPr>
          <w:b/>
        </w:rPr>
      </w:pPr>
      <w:r>
        <w:rPr>
          <w:b/>
        </w:rPr>
        <w:t>Έ</w:t>
      </w:r>
      <w:r w:rsidRPr="002267AA">
        <w:rPr>
          <w:b/>
        </w:rPr>
        <w:t>κθεση της Κοινοβουλευτικής Επιτροπής Οικονομικών και Προϋπολογισμο</w:t>
      </w:r>
      <w:r>
        <w:rPr>
          <w:b/>
        </w:rPr>
        <w:t>ύ για το νομοσχέδιο «</w:t>
      </w:r>
      <w:r w:rsidRPr="007D1B72">
        <w:rPr>
          <w:b/>
        </w:rPr>
        <w:t>Ο περί Προϋπολογισμού του</w:t>
      </w:r>
      <w:r w:rsidRPr="008E72F0">
        <w:rPr>
          <w:b/>
        </w:rPr>
        <w:t xml:space="preserve"> </w:t>
      </w:r>
      <w:r w:rsidR="006A6DC0">
        <w:rPr>
          <w:b/>
        </w:rPr>
        <w:t>Οργανισμού Χρηματοδοτήσεως Στέγης</w:t>
      </w:r>
      <w:r w:rsidR="007A58CF">
        <w:rPr>
          <w:b/>
        </w:rPr>
        <w:t xml:space="preserve"> του</w:t>
      </w:r>
      <w:r>
        <w:rPr>
          <w:b/>
        </w:rPr>
        <w:t xml:space="preserve"> 20</w:t>
      </w:r>
      <w:r w:rsidR="006A6DC0">
        <w:rPr>
          <w:b/>
        </w:rPr>
        <w:t>22</w:t>
      </w:r>
      <w:r>
        <w:rPr>
          <w:b/>
        </w:rPr>
        <w:t xml:space="preserve"> Νόμος του 20</w:t>
      </w:r>
      <w:r w:rsidR="006A6DC0">
        <w:rPr>
          <w:b/>
        </w:rPr>
        <w:t>22</w:t>
      </w:r>
      <w:r w:rsidRPr="00934476">
        <w:rPr>
          <w:b/>
        </w:rPr>
        <w:t>»</w:t>
      </w:r>
    </w:p>
    <w:p w14:paraId="71718BA3" w14:textId="77777777" w:rsidR="00314C10" w:rsidRPr="002267AA" w:rsidRDefault="00314C10" w:rsidP="00314C10">
      <w:pPr>
        <w:rPr>
          <w:b/>
        </w:rPr>
      </w:pPr>
      <w:r w:rsidRPr="002267AA">
        <w:rPr>
          <w:b/>
        </w:rPr>
        <w:t>Παρόντες:</w:t>
      </w:r>
    </w:p>
    <w:p w14:paraId="2C06F0C4" w14:textId="5B4B8562" w:rsidR="005E74EA" w:rsidRDefault="00314C10" w:rsidP="0015207A">
      <w:pPr>
        <w:tabs>
          <w:tab w:val="clear" w:pos="4961"/>
          <w:tab w:val="left" w:pos="5075"/>
        </w:tabs>
      </w:pPr>
      <w:r>
        <w:tab/>
      </w:r>
      <w:r w:rsidR="004B4EC6">
        <w:t>Χρύσης Παντελίδης</w:t>
      </w:r>
      <w:r w:rsidR="004B4EC6" w:rsidRPr="004B4EC6">
        <w:t xml:space="preserve">, </w:t>
      </w:r>
      <w:r w:rsidR="004B4EC6">
        <w:t>αναπλ. πρ</w:t>
      </w:r>
      <w:r w:rsidR="00E5003E">
        <w:t>ό</w:t>
      </w:r>
      <w:r w:rsidR="004B4EC6">
        <w:t>εδρος</w:t>
      </w:r>
      <w:r w:rsidR="00542E9A">
        <w:tab/>
      </w:r>
      <w:r w:rsidR="006A6DC0">
        <w:t xml:space="preserve">Χρίστος Χριστοφίδης </w:t>
      </w:r>
    </w:p>
    <w:p w14:paraId="214F4F1F" w14:textId="77777777" w:rsidR="004B4EC6" w:rsidRDefault="005E74EA" w:rsidP="0015207A">
      <w:pPr>
        <w:tabs>
          <w:tab w:val="clear" w:pos="4961"/>
          <w:tab w:val="left" w:pos="5075"/>
        </w:tabs>
      </w:pPr>
      <w:r>
        <w:tab/>
      </w:r>
      <w:r w:rsidR="004B4EC6">
        <w:t>Χάρης Γεωργιάδης</w:t>
      </w:r>
      <w:r w:rsidR="00D15122">
        <w:tab/>
      </w:r>
      <w:r w:rsidR="004B4EC6">
        <w:t>Ηλίας Μυριάνθους</w:t>
      </w:r>
    </w:p>
    <w:p w14:paraId="7A9B0969" w14:textId="77777777" w:rsidR="00461FD3" w:rsidRDefault="00D15122" w:rsidP="0015207A">
      <w:pPr>
        <w:tabs>
          <w:tab w:val="clear" w:pos="4961"/>
          <w:tab w:val="left" w:pos="5075"/>
        </w:tabs>
      </w:pPr>
      <w:r>
        <w:tab/>
      </w:r>
      <w:r w:rsidR="004B4EC6">
        <w:t>Ονούφριος Κουλλά</w:t>
      </w:r>
      <w:r w:rsidR="00314C10">
        <w:tab/>
      </w:r>
      <w:r w:rsidR="004B4EC6">
        <w:t>Αλέκος Τρυφωνίδης</w:t>
      </w:r>
    </w:p>
    <w:p w14:paraId="28C50758" w14:textId="77777777" w:rsidR="003919D6" w:rsidRPr="0015207A" w:rsidRDefault="00314C10" w:rsidP="0015207A">
      <w:pPr>
        <w:tabs>
          <w:tab w:val="clear" w:pos="4961"/>
          <w:tab w:val="left" w:pos="5075"/>
        </w:tabs>
        <w:rPr>
          <w:b/>
        </w:rPr>
      </w:pPr>
      <w:r>
        <w:tab/>
      </w:r>
      <w:r w:rsidR="004B4EC6">
        <w:t>Σάβια Ορφανίδου</w:t>
      </w:r>
      <w:r>
        <w:tab/>
      </w:r>
      <w:r w:rsidR="004B4EC6" w:rsidRPr="0015207A">
        <w:rPr>
          <w:b/>
        </w:rPr>
        <w:t>Μη μέλη της επιτροπής:</w:t>
      </w:r>
    </w:p>
    <w:p w14:paraId="29B77ABC" w14:textId="77777777" w:rsidR="006A6DC0" w:rsidRDefault="00314C10" w:rsidP="0015207A">
      <w:pPr>
        <w:tabs>
          <w:tab w:val="clear" w:pos="4961"/>
          <w:tab w:val="left" w:pos="5075"/>
        </w:tabs>
      </w:pPr>
      <w:r>
        <w:tab/>
      </w:r>
      <w:r w:rsidR="004B4EC6">
        <w:t>Αντρέας Καυκαλιάς</w:t>
      </w:r>
      <w:r>
        <w:tab/>
      </w:r>
      <w:r w:rsidR="004B4EC6">
        <w:t>Σταύρος Παπαδούρης</w:t>
      </w:r>
    </w:p>
    <w:p w14:paraId="7EEC47DF" w14:textId="1BA2D678" w:rsidR="0051729E" w:rsidRDefault="00314C10" w:rsidP="004B4EC6">
      <w:pPr>
        <w:tabs>
          <w:tab w:val="clear" w:pos="4961"/>
          <w:tab w:val="left" w:pos="5075"/>
        </w:tabs>
      </w:pPr>
      <w:r>
        <w:tab/>
        <w:t>Η Κοινοβουλευτική Επιτροπή Οικονομικών και Προϋπολογισμού μελέτησε το πιο πάνω νομοσχέδιο</w:t>
      </w:r>
      <w:r w:rsidR="0051729E">
        <w:t xml:space="preserve"> σε δύο συνεδρίες της, που πραγματοποιήθηκαν στις 24 και </w:t>
      </w:r>
      <w:r w:rsidR="0012544A">
        <w:t xml:space="preserve">την </w:t>
      </w:r>
      <w:r w:rsidR="0051729E">
        <w:t>31</w:t>
      </w:r>
      <w:r w:rsidR="0012544A" w:rsidRPr="0012544A">
        <w:rPr>
          <w:vertAlign w:val="superscript"/>
        </w:rPr>
        <w:t>η</w:t>
      </w:r>
      <w:r w:rsidR="0012544A">
        <w:rPr>
          <w:vertAlign w:val="superscript"/>
        </w:rPr>
        <w:t xml:space="preserve"> </w:t>
      </w:r>
      <w:r w:rsidR="0051729E">
        <w:t xml:space="preserve">Ιανουαρίου 2022. </w:t>
      </w:r>
      <w:r w:rsidR="00720299">
        <w:t xml:space="preserve"> </w:t>
      </w:r>
      <w:r w:rsidRPr="007D1B72">
        <w:t>Στη</w:t>
      </w:r>
      <w:r w:rsidR="0051729E">
        <w:t>ν πρώτη</w:t>
      </w:r>
      <w:r w:rsidRPr="007D1B72">
        <w:t xml:space="preserve"> συνεδρία της επιτροπής παρευρέθηκαν εκπρόσω</w:t>
      </w:r>
      <w:r w:rsidR="00466954">
        <w:t>ποι του Υπουργείου Οικονομικών</w:t>
      </w:r>
      <w:r w:rsidR="0051729E">
        <w:t xml:space="preserve">, ο </w:t>
      </w:r>
      <w:r w:rsidR="00E5003E">
        <w:t>π</w:t>
      </w:r>
      <w:r w:rsidR="0051729E">
        <w:t xml:space="preserve">ρόεδρος του </w:t>
      </w:r>
      <w:r w:rsidR="00E5003E">
        <w:t>δ</w:t>
      </w:r>
      <w:r w:rsidR="0051729E">
        <w:t xml:space="preserve">ιοικητικού </w:t>
      </w:r>
      <w:r w:rsidR="00E5003E">
        <w:t>σ</w:t>
      </w:r>
      <w:r w:rsidR="0051729E">
        <w:t>υμβουλίου και η αναπληρώτρια γενική διευθύντρια</w:t>
      </w:r>
      <w:r w:rsidR="004B4EC6">
        <w:t xml:space="preserve"> του Οργανισμού Χρηματοδοτήσεως Στέγης (ΟΧΣ)</w:t>
      </w:r>
      <w:r w:rsidR="0051729E">
        <w:t>.</w:t>
      </w:r>
    </w:p>
    <w:p w14:paraId="498E4473" w14:textId="0886FC69" w:rsidR="00E57265" w:rsidRDefault="00E57265" w:rsidP="004B4EC6">
      <w:pPr>
        <w:tabs>
          <w:tab w:val="clear" w:pos="4961"/>
          <w:tab w:val="left" w:pos="5075"/>
        </w:tabs>
      </w:pPr>
      <w:r>
        <w:tab/>
        <w:t xml:space="preserve">Σημειώνεται ότι κατά τη συζήτηση του νομοσχεδίου παρευρέθηκαν επίσης η πρόεδρος της επιτροπής κ. Χριστιάνα Ερωτοκρίτου και </w:t>
      </w:r>
      <w:r w:rsidR="00E5003E">
        <w:t xml:space="preserve">ο </w:t>
      </w:r>
      <w:r w:rsidR="004D3E44">
        <w:t>βουλευτής</w:t>
      </w:r>
      <w:r>
        <w:t xml:space="preserve"> κ. Μάριος Μαυρίδης.</w:t>
      </w:r>
    </w:p>
    <w:p w14:paraId="71E4D527" w14:textId="45A56256" w:rsidR="00D061C7" w:rsidRDefault="00D061C7" w:rsidP="008B2A19">
      <w:r>
        <w:tab/>
      </w:r>
      <w:r w:rsidR="0051729E">
        <w:t>Ο προϋπολογισμός του ΟΧΣ για το έτος 2022 είναι πλεονασματικός και προβλέπει συνολικές δαπάνες ύψους €18.073.027 και συνολικά έσοδα ύψους €20.150.596</w:t>
      </w:r>
      <w:r w:rsidR="00E5003E">
        <w:t>,</w:t>
      </w:r>
      <w:r w:rsidR="0051729E">
        <w:t xml:space="preserve"> τα οποία προέρχονται κυρίως από καθαρά έσοδα από τόκους (€10.162.139)</w:t>
      </w:r>
      <w:r w:rsidR="008B2A19">
        <w:t>,</w:t>
      </w:r>
      <w:r w:rsidR="0051729E">
        <w:t xml:space="preserve"> αμοιβές για υπηρεσίες δανείων του Κεντρικού Φορέα Ισότιμης Κατανομής Βαρών (€1.879.444</w:t>
      </w:r>
      <w:r w:rsidR="008B2A19">
        <w:t>)</w:t>
      </w:r>
      <w:r w:rsidR="00FF09BC">
        <w:t xml:space="preserve"> και αμοιβή για υπηρεσίες κυβερνητικών δανείων (€982.353).</w:t>
      </w:r>
    </w:p>
    <w:p w14:paraId="72D23027" w14:textId="2D27013B" w:rsidR="00FF09BC" w:rsidRDefault="00FF09BC" w:rsidP="00FF09BC">
      <w:r>
        <w:tab/>
        <w:t>Οι δαπάνες του ΟΧΣ αφορούν μεταξύ άλλων αποδοχές προσωπικού (€4.386.236)</w:t>
      </w:r>
      <w:r w:rsidR="008B2A19">
        <w:t>,</w:t>
      </w:r>
      <w:r>
        <w:t xml:space="preserve"> λειτουργικές δαπάνες (€5.419.715), </w:t>
      </w:r>
      <w:r w:rsidR="008B2A19">
        <w:t>συμβουλευτικές</w:t>
      </w:r>
      <w:r>
        <w:t xml:space="preserve"> υπηρεσίες και έρευνες (€3.181.777), αγορά άλλων στοιχείων ενεργητικού (€3.048.006) και μη προβλεπόμενες δαπάνες και αποθεματικό (€500.000).</w:t>
      </w:r>
    </w:p>
    <w:p w14:paraId="048E3318" w14:textId="4C670714" w:rsidR="00FE039E" w:rsidRDefault="00A23C45" w:rsidP="00C500FB">
      <w:r>
        <w:lastRenderedPageBreak/>
        <w:tab/>
      </w:r>
      <w:r w:rsidR="00C500FB">
        <w:t>Σύμφωνα με τα στοιχεία που κατατέθηκαν ενώπιον της επιτροπής</w:t>
      </w:r>
      <w:r w:rsidR="00E5003E">
        <w:t>,</w:t>
      </w:r>
      <w:r w:rsidR="00C500FB">
        <w:t xml:space="preserve"> τα συνολικά έσοδα του ΟΧΣ για το 2022 κυμαίνονται στα ίδια επίπεδα με το προηγούμενο έτος, ενώ οι συνολικές δαπάνες είναι αυξημένες κατά 18,7% σε σύγκριση με τις εγκεκριμένες δαπάνες για το 2021.</w:t>
      </w:r>
    </w:p>
    <w:p w14:paraId="5E4ADAFC" w14:textId="77777777" w:rsidR="00DD7E4D" w:rsidRDefault="00C500FB" w:rsidP="00314C10">
      <w:r>
        <w:tab/>
        <w:t>Αναλυτικότερα, οι δαπάνες για το 2022 έχουν ως ακολούθως:</w:t>
      </w:r>
    </w:p>
    <w:p w14:paraId="78BFE962" w14:textId="54B7FEDE" w:rsidR="00293875" w:rsidRDefault="00293875" w:rsidP="0070578F">
      <w:pPr>
        <w:ind w:left="567" w:hanging="567"/>
      </w:pPr>
      <w:r>
        <w:t>1.</w:t>
      </w:r>
      <w:r>
        <w:tab/>
      </w:r>
      <w:r w:rsidR="0070578F">
        <w:t xml:space="preserve">Οι </w:t>
      </w:r>
      <w:r w:rsidR="00E5003E">
        <w:t>α</w:t>
      </w:r>
      <w:r w:rsidR="0070578F">
        <w:t xml:space="preserve">ποδοχές </w:t>
      </w:r>
      <w:r w:rsidR="00E5003E">
        <w:t>π</w:t>
      </w:r>
      <w:r w:rsidR="0070578F">
        <w:t>ροσωπικού ανέρχονται στα €4</w:t>
      </w:r>
      <w:r w:rsidR="00E5003E">
        <w:t>,</w:t>
      </w:r>
      <w:r w:rsidR="0070578F">
        <w:t>4 εκατομ.</w:t>
      </w:r>
      <w:r w:rsidR="004D3E44">
        <w:t>,</w:t>
      </w:r>
      <w:r w:rsidR="0070578F">
        <w:t xml:space="preserve"> περιλαμβανομένων των εισφορών στα διάφορα ταμεία</w:t>
      </w:r>
      <w:r w:rsidR="004D3E44">
        <w:t>,</w:t>
      </w:r>
      <w:r w:rsidR="0070578F">
        <w:t xml:space="preserve"> και είναι στα ίδια περίπου επίπεδα με το 2021.</w:t>
      </w:r>
    </w:p>
    <w:p w14:paraId="75694DC2" w14:textId="73AF7B9B" w:rsidR="00314C10" w:rsidRDefault="00293875" w:rsidP="002D6D6B">
      <w:pPr>
        <w:ind w:left="567" w:hanging="567"/>
      </w:pPr>
      <w:r>
        <w:t>2.</w:t>
      </w:r>
      <w:r>
        <w:tab/>
      </w:r>
      <w:r w:rsidR="00317547">
        <w:t xml:space="preserve">Οι </w:t>
      </w:r>
      <w:r w:rsidR="00E5003E">
        <w:t>λ</w:t>
      </w:r>
      <w:r w:rsidR="00317547">
        <w:t xml:space="preserve">ειτουργικές και </w:t>
      </w:r>
      <w:r w:rsidR="00E5003E">
        <w:t>χ</w:t>
      </w:r>
      <w:r w:rsidR="00317547">
        <w:t xml:space="preserve">ρηματοδοτικές </w:t>
      </w:r>
      <w:r w:rsidR="00E5003E">
        <w:t>δ</w:t>
      </w:r>
      <w:r w:rsidR="00317547">
        <w:t>απάνες ανέρχονται στα €9</w:t>
      </w:r>
      <w:r w:rsidR="00E5003E">
        <w:t>,</w:t>
      </w:r>
      <w:r w:rsidR="00317547">
        <w:t>1 εκατομ. και είναι αυξημένες κατά €2</w:t>
      </w:r>
      <w:r w:rsidR="00E5003E">
        <w:t>,</w:t>
      </w:r>
      <w:r w:rsidR="00317547">
        <w:t xml:space="preserve">6 εκατομ. σε σχέση με το 2021, παρουσιάζεται δηλαδή αύξηση της τάξης του 40% κυρίως λόγω αυξημένων προνοιών για </w:t>
      </w:r>
      <w:r w:rsidR="00E5003E">
        <w:t>δ</w:t>
      </w:r>
      <w:r w:rsidR="00317547">
        <w:t xml:space="preserve">ικαιώματα </w:t>
      </w:r>
      <w:r w:rsidR="00E5003E">
        <w:t>ε</w:t>
      </w:r>
      <w:r w:rsidR="00317547">
        <w:t xml:space="preserve">μπειρογνωμόνων για το νέο μηχανογραφικό σύστημα και τη </w:t>
      </w:r>
      <w:r w:rsidR="00E5003E">
        <w:t>μ</w:t>
      </w:r>
      <w:r w:rsidR="00317547">
        <w:t xml:space="preserve">ονάδα </w:t>
      </w:r>
      <w:r w:rsidR="00E5003E">
        <w:t>ε</w:t>
      </w:r>
      <w:r w:rsidR="002D6D6B">
        <w:t xml:space="preserve">λέγχου, για τη </w:t>
      </w:r>
      <w:r w:rsidR="00E5003E">
        <w:t>δ</w:t>
      </w:r>
      <w:r w:rsidR="002D6D6B">
        <w:t xml:space="preserve">ιαχείριση των </w:t>
      </w:r>
      <w:r w:rsidR="00E5003E">
        <w:t>μ</w:t>
      </w:r>
      <w:r w:rsidR="002D6D6B">
        <w:t xml:space="preserve">η </w:t>
      </w:r>
      <w:r w:rsidR="00E5003E">
        <w:t>ε</w:t>
      </w:r>
      <w:r w:rsidR="002D6D6B">
        <w:t xml:space="preserve">ξυπηρετούμενων </w:t>
      </w:r>
      <w:r w:rsidR="00E5003E">
        <w:t>δ</w:t>
      </w:r>
      <w:r w:rsidR="002D6D6B">
        <w:t>ανείων (αμοιβή διαχειριστών) και για άδειες χρήσης διάφορων υποστηρικτικών προγραμμάτων</w:t>
      </w:r>
      <w:r w:rsidR="000C712E">
        <w:t>.</w:t>
      </w:r>
    </w:p>
    <w:p w14:paraId="63D900BD" w14:textId="4C51A839" w:rsidR="00B30E11" w:rsidRDefault="00B30E11" w:rsidP="002D6D6B">
      <w:pPr>
        <w:ind w:left="567" w:hanging="567"/>
      </w:pPr>
      <w:r>
        <w:t>3.</w:t>
      </w:r>
      <w:r>
        <w:tab/>
      </w:r>
      <w:r w:rsidR="00631273">
        <w:t xml:space="preserve">Οι </w:t>
      </w:r>
      <w:r w:rsidR="00E5003E">
        <w:t>κ</w:t>
      </w:r>
      <w:r w:rsidR="002D6D6B">
        <w:t xml:space="preserve">εφαλαιουχικές </w:t>
      </w:r>
      <w:r w:rsidR="00E5003E">
        <w:t>δ</w:t>
      </w:r>
      <w:r w:rsidR="002D6D6B">
        <w:t>απάνες ανέρχονται στα €3</w:t>
      </w:r>
      <w:r w:rsidR="00E5003E">
        <w:t>,</w:t>
      </w:r>
      <w:r w:rsidR="002D6D6B">
        <w:t>6 εκατομ. και είναι αυξημένες κατά €0</w:t>
      </w:r>
      <w:r w:rsidR="00E5003E">
        <w:t>,</w:t>
      </w:r>
      <w:r w:rsidR="002D6D6B">
        <w:t>3 εκατομ. σε σχέση με το 2021, παρουσιάζεται δηλαδή αύξηση της τάξης του 8</w:t>
      </w:r>
      <w:r w:rsidR="00E5003E">
        <w:t>,</w:t>
      </w:r>
      <w:r w:rsidR="002D6D6B">
        <w:t xml:space="preserve">6% κυρίως λόγω της καθυστέρησης στην υλοποίηση του νέου μηχανογραφημένου συστήματος του </w:t>
      </w:r>
      <w:r w:rsidR="00E5003E">
        <w:t>ο</w:t>
      </w:r>
      <w:r w:rsidR="002D6D6B">
        <w:t>ργανισμού</w:t>
      </w:r>
      <w:r w:rsidR="00631273">
        <w:t xml:space="preserve">, </w:t>
      </w:r>
      <w:r w:rsidR="002D6D6B">
        <w:t>της αντικατάστασης ηλεκτρονικού εξοπλισμού εξαιτίας της τεχνολογικής αναβάθμισης και της ανακαίνισης των καταστημάτων στη Λάρνακα και στο Παραλίμνι.</w:t>
      </w:r>
    </w:p>
    <w:p w14:paraId="16FE36D8" w14:textId="35528E40" w:rsidR="00AE2476" w:rsidRDefault="00AE2476" w:rsidP="00344B10">
      <w:pPr>
        <w:ind w:left="567" w:hanging="567"/>
      </w:pPr>
      <w:r>
        <w:t>4.</w:t>
      </w:r>
      <w:r>
        <w:tab/>
      </w:r>
      <w:r w:rsidR="00344B10">
        <w:t xml:space="preserve">Για </w:t>
      </w:r>
      <w:r w:rsidR="00E5003E">
        <w:t>μ</w:t>
      </w:r>
      <w:r w:rsidR="00344B10">
        <w:t xml:space="preserve">η </w:t>
      </w:r>
      <w:r w:rsidR="00E5003E">
        <w:t>π</w:t>
      </w:r>
      <w:r w:rsidR="00344B10">
        <w:t xml:space="preserve">ροβλεπόμενες </w:t>
      </w:r>
      <w:r w:rsidR="00E5003E">
        <w:t>δ</w:t>
      </w:r>
      <w:r w:rsidR="00344B10">
        <w:t xml:space="preserve">απάνες και </w:t>
      </w:r>
      <w:r w:rsidR="00E5003E">
        <w:t>α</w:t>
      </w:r>
      <w:r w:rsidR="00344B10">
        <w:t>ποθεματικό περιλαμβάνεται πρόνοια ύψους €0</w:t>
      </w:r>
      <w:r w:rsidR="00E5003E">
        <w:t>,</w:t>
      </w:r>
      <w:r w:rsidR="00344B10">
        <w:t xml:space="preserve">5 εκατομ. </w:t>
      </w:r>
      <w:r w:rsidR="00631273">
        <w:t>και</w:t>
      </w:r>
      <w:r w:rsidR="00344B10">
        <w:t xml:space="preserve"> είναι στα ίδια επίπεδα με το 2021, αλλά παρουσιάζεται αυξημένη σε σχέση με τα προηγούμενα χρόνια λόγω πιθανών απρόβλεπτων εξόδων με την έναρξη </w:t>
      </w:r>
      <w:r w:rsidR="004F2A02">
        <w:t xml:space="preserve">λειτουργίας </w:t>
      </w:r>
      <w:r w:rsidR="00344B10">
        <w:t>του νέου μηχανογραφημένου συστήματος.</w:t>
      </w:r>
    </w:p>
    <w:p w14:paraId="318AAA53" w14:textId="539163CF" w:rsidR="002F6C23" w:rsidRDefault="009810DA" w:rsidP="00FE039E">
      <w:r>
        <w:tab/>
        <w:t xml:space="preserve">Σύμφωνα με τα </w:t>
      </w:r>
      <w:r w:rsidR="00344B10">
        <w:t xml:space="preserve">ίδια </w:t>
      </w:r>
      <w:r>
        <w:t>στοιχεία</w:t>
      </w:r>
      <w:r w:rsidR="00344B10">
        <w:t xml:space="preserve">, με βάση τον </w:t>
      </w:r>
      <w:r w:rsidR="00E5003E">
        <w:t>λ</w:t>
      </w:r>
      <w:r w:rsidR="00344B10">
        <w:t>ογαριασμό</w:t>
      </w:r>
      <w:r w:rsidR="008B2A19">
        <w:t xml:space="preserve"> </w:t>
      </w:r>
      <w:r w:rsidR="00E5003E">
        <w:t>α</w:t>
      </w:r>
      <w:r w:rsidR="008B2A19">
        <w:t>ποτελεσμάτων</w:t>
      </w:r>
      <w:r w:rsidR="002F6C23">
        <w:t xml:space="preserve"> του </w:t>
      </w:r>
      <w:r w:rsidR="00E5003E">
        <w:t>ο</w:t>
      </w:r>
      <w:r w:rsidR="002F6C23">
        <w:t>ργανισμού, το 2022 παρουσιάζεται καθαρό κέρδος ύψους €1</w:t>
      </w:r>
      <w:r w:rsidR="00E5003E">
        <w:t>,</w:t>
      </w:r>
      <w:r w:rsidR="002F6C23">
        <w:t>5 εκατομ. και μετά την αφαίρεση της αναλογιστικής ζημ</w:t>
      </w:r>
      <w:r w:rsidR="00E5003E">
        <w:t>ιά</w:t>
      </w:r>
      <w:r w:rsidR="002F6C23">
        <w:t>ς του έτους το συνολικό κέρδος ανέρχεται στο €</w:t>
      </w:r>
      <w:r w:rsidR="00E5003E">
        <w:t>0,</w:t>
      </w:r>
      <w:r w:rsidR="002F6C23">
        <w:t xml:space="preserve">5 </w:t>
      </w:r>
      <w:r w:rsidR="002F6C23">
        <w:lastRenderedPageBreak/>
        <w:t>εκατομ. σε σχέση με €6</w:t>
      </w:r>
      <w:r w:rsidR="00E5003E">
        <w:t>,</w:t>
      </w:r>
      <w:r w:rsidR="002F6C23">
        <w:t>3 εκατομ. και €5</w:t>
      </w:r>
      <w:r w:rsidR="00E5003E">
        <w:t>,</w:t>
      </w:r>
      <w:r w:rsidR="002F6C23">
        <w:t>3 εκατομ.</w:t>
      </w:r>
      <w:r w:rsidR="00E5003E">
        <w:t>,</w:t>
      </w:r>
      <w:r w:rsidR="002F6C23">
        <w:t xml:space="preserve"> αντίστοιχα, το 2021.  </w:t>
      </w:r>
      <w:r w:rsidR="00E5003E">
        <w:t>Για τ</w:t>
      </w:r>
      <w:r w:rsidR="002F6C23">
        <w:t>α έτη 2023</w:t>
      </w:r>
      <w:r w:rsidR="00E5003E">
        <w:t xml:space="preserve"> και </w:t>
      </w:r>
      <w:r w:rsidR="002F6C23">
        <w:t>2024 προϋπολογίζονται καθαρά κέρδη ύψους €7</w:t>
      </w:r>
      <w:r w:rsidR="00E5003E">
        <w:t>,</w:t>
      </w:r>
      <w:r w:rsidR="002F6C23">
        <w:t>5 εκατομ. και €4</w:t>
      </w:r>
      <w:r w:rsidR="00E5003E">
        <w:t>,</w:t>
      </w:r>
      <w:r w:rsidR="002F6C23">
        <w:t>7 εκατομ.</w:t>
      </w:r>
      <w:r w:rsidR="00E5003E">
        <w:t>,</w:t>
      </w:r>
      <w:r w:rsidR="002F6C23">
        <w:t xml:space="preserve"> αντίστοιχα, χωρίς οποιαδήποτε πρόνοια για αναλογιστική ζημιά.</w:t>
      </w:r>
    </w:p>
    <w:p w14:paraId="2FB51249" w14:textId="166473C3" w:rsidR="0038332F" w:rsidRDefault="007D38C7" w:rsidP="002F6C23">
      <w:pPr>
        <w:rPr>
          <w:szCs w:val="24"/>
        </w:rPr>
      </w:pPr>
      <w:r>
        <w:rPr>
          <w:szCs w:val="24"/>
        </w:rPr>
        <w:tab/>
      </w:r>
      <w:r w:rsidR="002F6C23">
        <w:rPr>
          <w:szCs w:val="24"/>
        </w:rPr>
        <w:t>Στο πλαίσιο της εξέτασης του προϋπολογισμού την επιτροπή απασχόλησαν ζητήματα που αφορούν μεταξύ άλλων τ</w:t>
      </w:r>
      <w:r w:rsidR="004F2A02">
        <w:rPr>
          <w:szCs w:val="24"/>
        </w:rPr>
        <w:t>ο</w:t>
      </w:r>
      <w:r w:rsidR="002F6C23">
        <w:rPr>
          <w:szCs w:val="24"/>
        </w:rPr>
        <w:t xml:space="preserve">ν </w:t>
      </w:r>
      <w:r w:rsidR="00BB4DF3">
        <w:rPr>
          <w:szCs w:val="24"/>
        </w:rPr>
        <w:t xml:space="preserve">κοινωνικό ρόλο του ΟΧΣ, καθώς και </w:t>
      </w:r>
      <w:r w:rsidR="004F2A02">
        <w:rPr>
          <w:szCs w:val="24"/>
        </w:rPr>
        <w:t>την</w:t>
      </w:r>
      <w:r w:rsidR="00BB4DF3">
        <w:rPr>
          <w:szCs w:val="24"/>
        </w:rPr>
        <w:t xml:space="preserve"> επέκταση των εργασιών του σε άλλους τομείς, την πορεία των μη εξυπηρετούμενων δανείων (ΜΕΔ), καθώς</w:t>
      </w:r>
      <w:r w:rsidR="004F2A02">
        <w:rPr>
          <w:szCs w:val="24"/>
        </w:rPr>
        <w:t xml:space="preserve"> και</w:t>
      </w:r>
      <w:r w:rsidR="00BB4DF3">
        <w:rPr>
          <w:szCs w:val="24"/>
        </w:rPr>
        <w:t xml:space="preserve"> την </w:t>
      </w:r>
      <w:r w:rsidR="004F2A02">
        <w:rPr>
          <w:szCs w:val="24"/>
        </w:rPr>
        <w:t>υλοποίηση</w:t>
      </w:r>
      <w:r w:rsidR="00BB4DF3">
        <w:rPr>
          <w:szCs w:val="24"/>
        </w:rPr>
        <w:t xml:space="preserve"> των σχεδίων </w:t>
      </w:r>
      <w:r w:rsidR="00E5003E">
        <w:rPr>
          <w:szCs w:val="24"/>
        </w:rPr>
        <w:t>«</w:t>
      </w:r>
      <w:r w:rsidR="00BB4DF3">
        <w:rPr>
          <w:szCs w:val="24"/>
        </w:rPr>
        <w:t>Εστία</w:t>
      </w:r>
      <w:r w:rsidR="00E5003E">
        <w:rPr>
          <w:szCs w:val="24"/>
        </w:rPr>
        <w:t>»</w:t>
      </w:r>
      <w:r w:rsidR="00BB4DF3">
        <w:rPr>
          <w:szCs w:val="24"/>
        </w:rPr>
        <w:t xml:space="preserve"> και </w:t>
      </w:r>
      <w:r w:rsidR="00E5003E">
        <w:rPr>
          <w:szCs w:val="24"/>
        </w:rPr>
        <w:t>«</w:t>
      </w:r>
      <w:r w:rsidR="00BB4DF3">
        <w:rPr>
          <w:szCs w:val="24"/>
        </w:rPr>
        <w:t>Οικία</w:t>
      </w:r>
      <w:r w:rsidR="00E5003E">
        <w:rPr>
          <w:szCs w:val="24"/>
        </w:rPr>
        <w:t>»</w:t>
      </w:r>
      <w:r w:rsidR="00BB4DF3">
        <w:rPr>
          <w:szCs w:val="24"/>
        </w:rPr>
        <w:t>.</w:t>
      </w:r>
    </w:p>
    <w:p w14:paraId="508B5615" w14:textId="5B9B5EC9" w:rsidR="002F6C23" w:rsidRDefault="00BB4DF3" w:rsidP="002F6C23">
      <w:pPr>
        <w:rPr>
          <w:szCs w:val="24"/>
        </w:rPr>
      </w:pPr>
      <w:r>
        <w:rPr>
          <w:szCs w:val="24"/>
        </w:rPr>
        <w:tab/>
        <w:t xml:space="preserve">Σύμφωνα με τα όσα ανέφεραν οι εκπρόσωποι του ΟΧΣ, αλλά και το αναλυτικό επεξηγηματικό σημείωμα που συνοδεύει τον προϋπολογισμό, ο ΟΧΣ έχει ως κύριο στόχο την παροχή στεγαστικών </w:t>
      </w:r>
      <w:r w:rsidR="00C15C15">
        <w:rPr>
          <w:szCs w:val="24"/>
        </w:rPr>
        <w:t xml:space="preserve">δανείων που απευθύνονται κατά προτεραιότητα σε πρόσωπα με μέτριο ή χαμηλό εισόδημα, καθώς και την ευρύτερη κάλυψη των χρηματοδοτικών αναγκών της </w:t>
      </w:r>
      <w:r w:rsidR="004F2A02">
        <w:rPr>
          <w:szCs w:val="24"/>
        </w:rPr>
        <w:t>οικογένειας</w:t>
      </w:r>
      <w:r w:rsidR="00C15C15">
        <w:rPr>
          <w:szCs w:val="24"/>
        </w:rPr>
        <w:t>.</w:t>
      </w:r>
    </w:p>
    <w:p w14:paraId="0C723C1F" w14:textId="3476CA6C" w:rsidR="00C15C15" w:rsidRDefault="00C15C15" w:rsidP="002F6C23">
      <w:pPr>
        <w:rPr>
          <w:szCs w:val="24"/>
        </w:rPr>
      </w:pPr>
      <w:r>
        <w:rPr>
          <w:szCs w:val="24"/>
        </w:rPr>
        <w:tab/>
      </w:r>
      <w:r w:rsidR="008038F2">
        <w:rPr>
          <w:szCs w:val="24"/>
        </w:rPr>
        <w:t xml:space="preserve">Τα ΜΕΔ σύμφωνα με τον ορισμό της Ευρωπαϊκής Αρχής Τραπεζών </w:t>
      </w:r>
      <w:r w:rsidR="00245674">
        <w:rPr>
          <w:szCs w:val="24"/>
        </w:rPr>
        <w:t>ανέρχονται</w:t>
      </w:r>
      <w:r w:rsidR="00245674">
        <w:rPr>
          <w:szCs w:val="24"/>
        </w:rPr>
        <w:t xml:space="preserve"> </w:t>
      </w:r>
      <w:r w:rsidR="008038F2">
        <w:rPr>
          <w:szCs w:val="24"/>
        </w:rPr>
        <w:t>στα €281,7 εκατομ. στις 30 Ιουνίου 2021 και αντιπροσωπεύουν το 44,79% του δανειακού χαρτοφυλακίου, συνεπώς η διαχείρισ</w:t>
      </w:r>
      <w:r w:rsidR="00245674">
        <w:rPr>
          <w:szCs w:val="24"/>
        </w:rPr>
        <w:t>ή</w:t>
      </w:r>
      <w:r w:rsidR="008038F2">
        <w:rPr>
          <w:szCs w:val="24"/>
        </w:rPr>
        <w:t xml:space="preserve"> τους παραμένει μία από τις μεγαλύτερες προκλήσεις για τον </w:t>
      </w:r>
      <w:r w:rsidR="00245674">
        <w:rPr>
          <w:szCs w:val="24"/>
        </w:rPr>
        <w:t>ο</w:t>
      </w:r>
      <w:r w:rsidR="008038F2">
        <w:rPr>
          <w:szCs w:val="24"/>
        </w:rPr>
        <w:t>ργανισμό.</w:t>
      </w:r>
    </w:p>
    <w:p w14:paraId="15793899" w14:textId="5D4A55BB" w:rsidR="002F6C23" w:rsidRDefault="008038F2" w:rsidP="002F6C23">
      <w:pPr>
        <w:rPr>
          <w:szCs w:val="24"/>
        </w:rPr>
      </w:pPr>
      <w:r>
        <w:rPr>
          <w:szCs w:val="24"/>
        </w:rPr>
        <w:tab/>
        <w:t xml:space="preserve">Αναφορικά με το </w:t>
      </w:r>
      <w:r w:rsidR="00371229">
        <w:rPr>
          <w:szCs w:val="24"/>
        </w:rPr>
        <w:t>σ</w:t>
      </w:r>
      <w:r>
        <w:rPr>
          <w:szCs w:val="24"/>
        </w:rPr>
        <w:t xml:space="preserve">χέδιο </w:t>
      </w:r>
      <w:r w:rsidR="00371229">
        <w:rPr>
          <w:szCs w:val="24"/>
        </w:rPr>
        <w:t>«</w:t>
      </w:r>
      <w:r>
        <w:rPr>
          <w:szCs w:val="24"/>
        </w:rPr>
        <w:t>Εστία</w:t>
      </w:r>
      <w:r w:rsidR="00371229">
        <w:rPr>
          <w:szCs w:val="24"/>
        </w:rPr>
        <w:t>»</w:t>
      </w:r>
      <w:r>
        <w:rPr>
          <w:szCs w:val="24"/>
        </w:rPr>
        <w:t>,</w:t>
      </w:r>
      <w:r w:rsidR="008B2A19">
        <w:rPr>
          <w:szCs w:val="24"/>
        </w:rPr>
        <w:t xml:space="preserve"> </w:t>
      </w:r>
      <w:r>
        <w:rPr>
          <w:szCs w:val="24"/>
        </w:rPr>
        <w:t xml:space="preserve">σύμφωνα με τα στοιχεία που κατατέθηκαν, </w:t>
      </w:r>
      <w:r w:rsidR="008B2A19">
        <w:rPr>
          <w:szCs w:val="24"/>
        </w:rPr>
        <w:t>αυτό</w:t>
      </w:r>
      <w:r>
        <w:rPr>
          <w:szCs w:val="24"/>
        </w:rPr>
        <w:t xml:space="preserve"> αναμενόταν να επιλύσει σημαντικό μέρος των ΜΕΔ του ΟΧΣ</w:t>
      </w:r>
      <w:r w:rsidR="00371229">
        <w:rPr>
          <w:szCs w:val="24"/>
        </w:rPr>
        <w:t>,</w:t>
      </w:r>
      <w:r>
        <w:rPr>
          <w:szCs w:val="24"/>
        </w:rPr>
        <w:t xml:space="preserve"> καθώς η πλειονότητα του δανειακού χαρτοφυλακίου έχει ως εξασφάλιση την πρώτη κατοικία και ταυτόχρονα η υλοποίησ</w:t>
      </w:r>
      <w:r w:rsidR="00245674">
        <w:rPr>
          <w:szCs w:val="24"/>
        </w:rPr>
        <w:t>ή</w:t>
      </w:r>
      <w:r>
        <w:rPr>
          <w:szCs w:val="24"/>
        </w:rPr>
        <w:t xml:space="preserve"> του θα βοηθούσε τον ΟΧΣ να εντοπίσει τους μη</w:t>
      </w:r>
      <w:r w:rsidR="00371229">
        <w:rPr>
          <w:szCs w:val="24"/>
        </w:rPr>
        <w:t xml:space="preserve"> </w:t>
      </w:r>
      <w:r>
        <w:rPr>
          <w:szCs w:val="24"/>
        </w:rPr>
        <w:t>βιώσιμους ή/και μη συνεργάσιμους πελάτες.</w:t>
      </w:r>
    </w:p>
    <w:p w14:paraId="667CF60F" w14:textId="0B0C9DB6" w:rsidR="00C0681E" w:rsidRDefault="008038F2" w:rsidP="002F6C23">
      <w:pPr>
        <w:rPr>
          <w:szCs w:val="24"/>
        </w:rPr>
      </w:pPr>
      <w:r>
        <w:rPr>
          <w:szCs w:val="24"/>
        </w:rPr>
        <w:tab/>
        <w:t xml:space="preserve">Τα δάνεια που είχαν </w:t>
      </w:r>
      <w:r w:rsidR="00C0681E">
        <w:rPr>
          <w:szCs w:val="24"/>
        </w:rPr>
        <w:t>συμπεριληφθεί στο σχέδιο</w:t>
      </w:r>
      <w:r w:rsidR="00A567BA">
        <w:rPr>
          <w:szCs w:val="24"/>
        </w:rPr>
        <w:t>,</w:t>
      </w:r>
      <w:r w:rsidR="00C0681E">
        <w:rPr>
          <w:szCs w:val="24"/>
        </w:rPr>
        <w:t xml:space="preserve"> αλλά ήταν μη βιώσιμα αναμένεται να μεταφερθούν στην Κυπριακή Εταιρεία Διαχείρισης Περιουσιακών Στοιχείων (ΚΕΔΙΠΕΣ) για διαχείριση και</w:t>
      </w:r>
      <w:r w:rsidR="00245674">
        <w:rPr>
          <w:szCs w:val="24"/>
        </w:rPr>
        <w:t>,</w:t>
      </w:r>
      <w:r w:rsidR="00C0681E">
        <w:rPr>
          <w:szCs w:val="24"/>
        </w:rPr>
        <w:t xml:space="preserve"> λαμβάνοντα</w:t>
      </w:r>
      <w:r w:rsidR="00556B72">
        <w:rPr>
          <w:szCs w:val="24"/>
        </w:rPr>
        <w:t>ς</w:t>
      </w:r>
      <w:r w:rsidR="00C0681E">
        <w:rPr>
          <w:szCs w:val="24"/>
        </w:rPr>
        <w:t xml:space="preserve"> υπόψη ότι αφορούν την πρώτη κατοικία, η </w:t>
      </w:r>
      <w:r w:rsidR="00C0681E">
        <w:rPr>
          <w:szCs w:val="24"/>
        </w:rPr>
        <w:lastRenderedPageBreak/>
        <w:t>διαχείρ</w:t>
      </w:r>
      <w:r w:rsidR="00245674">
        <w:rPr>
          <w:szCs w:val="24"/>
        </w:rPr>
        <w:t>ι</w:t>
      </w:r>
      <w:r w:rsidR="00C0681E">
        <w:rPr>
          <w:szCs w:val="24"/>
        </w:rPr>
        <w:t>ση αυτών θα πραγματοποιηθεί μέσω κρατικού σχεδίου που θα υλοποιηθεί από τ</w:t>
      </w:r>
      <w:r w:rsidR="00556B72">
        <w:rPr>
          <w:szCs w:val="24"/>
        </w:rPr>
        <w:t>η</w:t>
      </w:r>
      <w:r w:rsidR="00C0681E">
        <w:rPr>
          <w:szCs w:val="24"/>
        </w:rPr>
        <w:t>ν ΚΕΔΙΠΕΣ.</w:t>
      </w:r>
    </w:p>
    <w:p w14:paraId="62F88B4B" w14:textId="2EB1B4BB" w:rsidR="008038F2" w:rsidRDefault="00C0681E" w:rsidP="002F6C23">
      <w:pPr>
        <w:rPr>
          <w:szCs w:val="24"/>
        </w:rPr>
      </w:pPr>
      <w:r>
        <w:rPr>
          <w:szCs w:val="24"/>
        </w:rPr>
        <w:tab/>
        <w:t xml:space="preserve">Αναφορικά με το σχέδιο </w:t>
      </w:r>
      <w:r w:rsidR="00245674">
        <w:rPr>
          <w:szCs w:val="24"/>
        </w:rPr>
        <w:t>«</w:t>
      </w:r>
      <w:r>
        <w:rPr>
          <w:szCs w:val="24"/>
        </w:rPr>
        <w:t>Οικία</w:t>
      </w:r>
      <w:r w:rsidR="00245674">
        <w:rPr>
          <w:szCs w:val="24"/>
        </w:rPr>
        <w:t>»</w:t>
      </w:r>
      <w:r>
        <w:rPr>
          <w:szCs w:val="24"/>
        </w:rPr>
        <w:t>, σκοπός του είναι η υποβοήθηση πρωτοφειλετών δανείων που έχουν συνάψει δάνεια με κυβερνητικά κεφάλαια (Στεγαστικό Σχέδιο Δανειοδότησης Ζευγαριών με Χαμηλά Εισοδήματα ή Ενιαίο Στεγαστικό Σχέδιο) ή/και δάνεια με κεφάλαια του ΟΧΣ για ανέγερση κατοικίας σε οικόπεδα που παραχώρησε το κράτος σε δικαιούχους στο πλαίσιο της στεγαστικής πολιτικής του.  Επιλέξιμα είναι τα δάνεια που παρουσιάζουν καθυστερήσεις πέραν των ενενήντα ημερών κατά την 3</w:t>
      </w:r>
      <w:r w:rsidR="00556B72">
        <w:rPr>
          <w:szCs w:val="24"/>
        </w:rPr>
        <w:t>1</w:t>
      </w:r>
      <w:r w:rsidRPr="00C0681E">
        <w:rPr>
          <w:szCs w:val="24"/>
          <w:vertAlign w:val="superscript"/>
        </w:rPr>
        <w:t>η</w:t>
      </w:r>
      <w:r>
        <w:rPr>
          <w:szCs w:val="24"/>
        </w:rPr>
        <w:t xml:space="preserve"> Δεκεμβρίου 2019 και πληρούν σειρά κριτήριων, καθώς και δάνεια τα οποία είχαν τύχει αναδιάρθρωσης πριν από την 31</w:t>
      </w:r>
      <w:r w:rsidRPr="00C0681E">
        <w:rPr>
          <w:szCs w:val="24"/>
          <w:vertAlign w:val="superscript"/>
        </w:rPr>
        <w:t>η</w:t>
      </w:r>
      <w:r>
        <w:rPr>
          <w:szCs w:val="24"/>
        </w:rPr>
        <w:t xml:space="preserve"> Δεκεμβρίου 2019 υπό συγκεκριμένες προϋποθέσεις.</w:t>
      </w:r>
    </w:p>
    <w:p w14:paraId="7404A106" w14:textId="575B053C" w:rsidR="00C0681E" w:rsidRDefault="00C0681E" w:rsidP="002F6C23">
      <w:pPr>
        <w:rPr>
          <w:szCs w:val="24"/>
        </w:rPr>
      </w:pPr>
      <w:r>
        <w:rPr>
          <w:szCs w:val="24"/>
        </w:rPr>
        <w:tab/>
        <w:t>Σύμφωνα με τα στοιχεία που κατατέθηκαν</w:t>
      </w:r>
      <w:r w:rsidR="008C3BFD">
        <w:rPr>
          <w:szCs w:val="24"/>
        </w:rPr>
        <w:t xml:space="preserve">, για τον ΟΧΣ δυνητικά προς ένταξη </w:t>
      </w:r>
      <w:r>
        <w:rPr>
          <w:szCs w:val="24"/>
        </w:rPr>
        <w:t xml:space="preserve">στο σχέδιο </w:t>
      </w:r>
      <w:r w:rsidR="00245674">
        <w:rPr>
          <w:szCs w:val="24"/>
        </w:rPr>
        <w:t>«</w:t>
      </w:r>
      <w:r>
        <w:rPr>
          <w:szCs w:val="24"/>
        </w:rPr>
        <w:t>Οικία</w:t>
      </w:r>
      <w:r w:rsidR="00245674">
        <w:rPr>
          <w:szCs w:val="24"/>
        </w:rPr>
        <w:t>»</w:t>
      </w:r>
      <w:r>
        <w:rPr>
          <w:szCs w:val="24"/>
        </w:rPr>
        <w:t xml:space="preserve"> είναι δάνεια συνολικής αξίας €93 εκατομ. περίπου.</w:t>
      </w:r>
    </w:p>
    <w:p w14:paraId="70A248C8" w14:textId="7E0B09DC" w:rsidR="00C0681E" w:rsidRDefault="00C0681E" w:rsidP="002F6C23">
      <w:pPr>
        <w:rPr>
          <w:szCs w:val="24"/>
        </w:rPr>
      </w:pPr>
      <w:r>
        <w:rPr>
          <w:szCs w:val="24"/>
        </w:rPr>
        <w:tab/>
        <w:t>Η Κοινοβουλευτική Επιτροπή Οικονομικών και Προϋπολογισμού, αφού διεξήλθε τις επιμέρους πρόνοιες του νομοσχεδίου</w:t>
      </w:r>
      <w:r w:rsidR="00E8215A">
        <w:rPr>
          <w:szCs w:val="24"/>
        </w:rPr>
        <w:t>, κατά πλειοψηφία των μελών της βουλευτών της κοινοβουλευτικής ομάδας του Δημοκρατικού Συναγερμού, του μέλους της βουλευτή του Κινήματος Σοσια</w:t>
      </w:r>
      <w:r w:rsidR="00245674">
        <w:rPr>
          <w:szCs w:val="24"/>
        </w:rPr>
        <w:t>λ</w:t>
      </w:r>
      <w:r w:rsidR="00E8215A">
        <w:rPr>
          <w:szCs w:val="24"/>
        </w:rPr>
        <w:t>δημοκρατών ΕΔΕΚ και του μέλους της βουλευτή της Δημοκρατικής Παράταξης</w:t>
      </w:r>
      <w:r w:rsidR="00A567BA">
        <w:rPr>
          <w:szCs w:val="24"/>
        </w:rPr>
        <w:t>,</w:t>
      </w:r>
      <w:r w:rsidR="00E8215A">
        <w:rPr>
          <w:szCs w:val="24"/>
        </w:rPr>
        <w:t xml:space="preserve"> τάσσεται υπέρ της ψήφισης του νομοσχεδίου σε νόμο για την κατά νόμο έγκριση του προϋπολογισμού του ΟΧΣ για το έτος 2022.</w:t>
      </w:r>
    </w:p>
    <w:p w14:paraId="1CCF0630" w14:textId="77777777" w:rsidR="00E8215A" w:rsidRDefault="00E8215A" w:rsidP="002F6C23">
      <w:pPr>
        <w:rPr>
          <w:szCs w:val="24"/>
        </w:rPr>
      </w:pPr>
      <w:r>
        <w:rPr>
          <w:szCs w:val="24"/>
        </w:rPr>
        <w:tab/>
        <w:t>Ο αναπληρωτής πρόεδρος της επιτροπής βουλευτής της κοινοβουλευτικής ομάδας του Δημοκρατικού Κόμματος και τα μέλη της βουλευτές της κοινοβουλευτικής ομάδας ΑΚΕΛ-Αριστερά-Νέες Δυνάμεις επιφυλάχθηκαν να τοποθετηθούν κατά τη συζήτηση του θέματος στην ολομέλεια του σώματος.</w:t>
      </w:r>
    </w:p>
    <w:p w14:paraId="4D2D17B5" w14:textId="085D5E96" w:rsidR="00E60448" w:rsidRDefault="00E60448" w:rsidP="00314C10">
      <w:pPr>
        <w:rPr>
          <w:szCs w:val="24"/>
        </w:rPr>
      </w:pPr>
    </w:p>
    <w:p w14:paraId="55F36467" w14:textId="77777777" w:rsidR="00314C10" w:rsidRPr="00FB0B3B" w:rsidRDefault="00314C10" w:rsidP="00314C10">
      <w:pPr>
        <w:rPr>
          <w:szCs w:val="24"/>
        </w:rPr>
      </w:pPr>
      <w:r w:rsidRPr="00FB0B3B">
        <w:rPr>
          <w:szCs w:val="24"/>
        </w:rPr>
        <w:t>Αρ. Φακ.:  23.01.0</w:t>
      </w:r>
      <w:r w:rsidR="00501CB0">
        <w:rPr>
          <w:szCs w:val="24"/>
        </w:rPr>
        <w:t>6</w:t>
      </w:r>
      <w:r w:rsidR="00E576B4">
        <w:rPr>
          <w:szCs w:val="24"/>
        </w:rPr>
        <w:t>3</w:t>
      </w:r>
      <w:r w:rsidRPr="00FB0B3B">
        <w:rPr>
          <w:szCs w:val="24"/>
        </w:rPr>
        <w:t>.</w:t>
      </w:r>
      <w:r w:rsidR="005716F2">
        <w:rPr>
          <w:szCs w:val="24"/>
        </w:rPr>
        <w:t>0</w:t>
      </w:r>
      <w:r w:rsidR="00E576B4">
        <w:rPr>
          <w:szCs w:val="24"/>
        </w:rPr>
        <w:t>11</w:t>
      </w:r>
      <w:r w:rsidRPr="00FB0B3B">
        <w:rPr>
          <w:szCs w:val="24"/>
        </w:rPr>
        <w:t>-20</w:t>
      </w:r>
      <w:r w:rsidR="00E576B4">
        <w:rPr>
          <w:szCs w:val="24"/>
        </w:rPr>
        <w:t>22</w:t>
      </w:r>
    </w:p>
    <w:p w14:paraId="755FA19A" w14:textId="77777777" w:rsidR="00314C10" w:rsidRPr="00FB0B3B" w:rsidRDefault="00E8215A" w:rsidP="00314C10">
      <w:pPr>
        <w:rPr>
          <w:szCs w:val="24"/>
        </w:rPr>
      </w:pPr>
      <w:r>
        <w:rPr>
          <w:szCs w:val="24"/>
        </w:rPr>
        <w:t>1</w:t>
      </w:r>
      <w:r w:rsidRPr="00E8215A">
        <w:rPr>
          <w:szCs w:val="24"/>
          <w:vertAlign w:val="superscript"/>
        </w:rPr>
        <w:t>η</w:t>
      </w:r>
      <w:r>
        <w:rPr>
          <w:szCs w:val="24"/>
        </w:rPr>
        <w:t xml:space="preserve"> Φεβρουαρίου </w:t>
      </w:r>
      <w:r w:rsidR="00314C10" w:rsidRPr="00FB0B3B">
        <w:rPr>
          <w:szCs w:val="24"/>
        </w:rPr>
        <w:t>20</w:t>
      </w:r>
      <w:r w:rsidR="00E576B4">
        <w:rPr>
          <w:szCs w:val="24"/>
        </w:rPr>
        <w:t>22</w:t>
      </w:r>
      <w:r w:rsidR="00314C10" w:rsidRPr="00FB0B3B">
        <w:rPr>
          <w:szCs w:val="24"/>
        </w:rPr>
        <w:t xml:space="preserve"> </w:t>
      </w:r>
    </w:p>
    <w:p w14:paraId="70C77725" w14:textId="47FE7864" w:rsidR="001B3581" w:rsidRPr="004D3E44" w:rsidRDefault="000D1A85">
      <w:pPr>
        <w:rPr>
          <w:sz w:val="20"/>
          <w:szCs w:val="20"/>
        </w:rPr>
      </w:pPr>
      <w:r w:rsidRPr="004D3E44">
        <w:rPr>
          <w:sz w:val="20"/>
          <w:szCs w:val="20"/>
        </w:rPr>
        <w:t>ΚΠ</w:t>
      </w:r>
      <w:r w:rsidR="005716F2" w:rsidRPr="004D3E44">
        <w:rPr>
          <w:sz w:val="20"/>
          <w:szCs w:val="20"/>
        </w:rPr>
        <w:t>/</w:t>
      </w:r>
      <w:r w:rsidR="00245674" w:rsidRPr="004D3E44">
        <w:rPr>
          <w:sz w:val="20"/>
          <w:szCs w:val="20"/>
        </w:rPr>
        <w:t>ΘΚ/</w:t>
      </w:r>
      <w:r w:rsidR="005716F2" w:rsidRPr="004D3E44">
        <w:rPr>
          <w:sz w:val="20"/>
          <w:szCs w:val="20"/>
        </w:rPr>
        <w:t>ΘΧ</w:t>
      </w:r>
    </w:p>
    <w:sectPr w:rsidR="001B3581" w:rsidRPr="004D3E44" w:rsidSect="00E60448">
      <w:headerReference w:type="default" r:id="rId8"/>
      <w:pgSz w:w="11906" w:h="16838" w:code="9"/>
      <w:pgMar w:top="1247" w:right="1134"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DCDB" w14:textId="77777777" w:rsidR="00215CBA" w:rsidRDefault="00215CBA" w:rsidP="00611AF1">
      <w:pPr>
        <w:spacing w:line="240" w:lineRule="auto"/>
      </w:pPr>
      <w:r>
        <w:separator/>
      </w:r>
    </w:p>
  </w:endnote>
  <w:endnote w:type="continuationSeparator" w:id="0">
    <w:p w14:paraId="6340AE1D" w14:textId="77777777" w:rsidR="00215CBA" w:rsidRDefault="00215CBA" w:rsidP="00611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BD5B" w14:textId="77777777" w:rsidR="00215CBA" w:rsidRDefault="00215CBA" w:rsidP="00611AF1">
      <w:pPr>
        <w:spacing w:line="240" w:lineRule="auto"/>
      </w:pPr>
      <w:r>
        <w:separator/>
      </w:r>
    </w:p>
  </w:footnote>
  <w:footnote w:type="continuationSeparator" w:id="0">
    <w:p w14:paraId="655CEADA" w14:textId="77777777" w:rsidR="00215CBA" w:rsidRDefault="00215CBA" w:rsidP="00611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9501"/>
      <w:docPartObj>
        <w:docPartGallery w:val="Page Numbers (Top of Page)"/>
        <w:docPartUnique/>
      </w:docPartObj>
    </w:sdtPr>
    <w:sdtEndPr>
      <w:rPr>
        <w:rFonts w:cs="Arial"/>
        <w:szCs w:val="24"/>
      </w:rPr>
    </w:sdtEndPr>
    <w:sdtContent>
      <w:p w14:paraId="0074C07D" w14:textId="77777777" w:rsidR="007F727B" w:rsidRPr="00611AF1" w:rsidRDefault="007265C6">
        <w:pPr>
          <w:pStyle w:val="Header"/>
          <w:jc w:val="center"/>
          <w:rPr>
            <w:rFonts w:cs="Arial"/>
            <w:szCs w:val="24"/>
          </w:rPr>
        </w:pPr>
        <w:r w:rsidRPr="00611AF1">
          <w:rPr>
            <w:rFonts w:cs="Arial"/>
            <w:szCs w:val="24"/>
          </w:rPr>
          <w:fldChar w:fldCharType="begin"/>
        </w:r>
        <w:r w:rsidR="007F727B" w:rsidRPr="00611AF1">
          <w:rPr>
            <w:rFonts w:cs="Arial"/>
            <w:szCs w:val="24"/>
          </w:rPr>
          <w:instrText xml:space="preserve"> PAGE   \* MERGEFORMAT </w:instrText>
        </w:r>
        <w:r w:rsidRPr="00611AF1">
          <w:rPr>
            <w:rFonts w:cs="Arial"/>
            <w:szCs w:val="24"/>
          </w:rPr>
          <w:fldChar w:fldCharType="separate"/>
        </w:r>
        <w:r w:rsidR="00356037">
          <w:rPr>
            <w:rFonts w:cs="Arial"/>
            <w:noProof/>
            <w:szCs w:val="24"/>
          </w:rPr>
          <w:t>5</w:t>
        </w:r>
        <w:r w:rsidRPr="00611AF1">
          <w:rPr>
            <w:rFonts w:cs="Arial"/>
            <w:szCs w:val="24"/>
          </w:rPr>
          <w:fldChar w:fldCharType="end"/>
        </w:r>
      </w:p>
    </w:sdtContent>
  </w:sdt>
  <w:p w14:paraId="1A092286" w14:textId="77777777" w:rsidR="007F727B" w:rsidRDefault="007F7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E6292"/>
    <w:multiLevelType w:val="hybridMultilevel"/>
    <w:tmpl w:val="766C73C6"/>
    <w:lvl w:ilvl="0" w:tplc="0408000F">
      <w:start w:val="1"/>
      <w:numFmt w:val="decimal"/>
      <w:lvlText w:val="%1."/>
      <w:lvlJc w:val="left"/>
      <w:pPr>
        <w:ind w:left="262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A1D2254"/>
    <w:multiLevelType w:val="hybridMultilevel"/>
    <w:tmpl w:val="4D089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79E412C"/>
    <w:multiLevelType w:val="hybridMultilevel"/>
    <w:tmpl w:val="97E23598"/>
    <w:lvl w:ilvl="0" w:tplc="7090AE4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66A2"/>
    <w:rsid w:val="00006207"/>
    <w:rsid w:val="000256EE"/>
    <w:rsid w:val="000266A2"/>
    <w:rsid w:val="00030B5A"/>
    <w:rsid w:val="000370C1"/>
    <w:rsid w:val="00042806"/>
    <w:rsid w:val="00046840"/>
    <w:rsid w:val="000479CB"/>
    <w:rsid w:val="000769AD"/>
    <w:rsid w:val="00083EFB"/>
    <w:rsid w:val="0008491C"/>
    <w:rsid w:val="000953E9"/>
    <w:rsid w:val="000A01BB"/>
    <w:rsid w:val="000A1E58"/>
    <w:rsid w:val="000C0007"/>
    <w:rsid w:val="000C0D2C"/>
    <w:rsid w:val="000C712E"/>
    <w:rsid w:val="000D0735"/>
    <w:rsid w:val="000D1A85"/>
    <w:rsid w:val="000D29BB"/>
    <w:rsid w:val="000D342A"/>
    <w:rsid w:val="000E4077"/>
    <w:rsid w:val="000E644D"/>
    <w:rsid w:val="000E6CE1"/>
    <w:rsid w:val="00101819"/>
    <w:rsid w:val="00107D03"/>
    <w:rsid w:val="00110DB7"/>
    <w:rsid w:val="00116E03"/>
    <w:rsid w:val="0012544A"/>
    <w:rsid w:val="001254C1"/>
    <w:rsid w:val="00126D50"/>
    <w:rsid w:val="00130A52"/>
    <w:rsid w:val="00133B63"/>
    <w:rsid w:val="00140D14"/>
    <w:rsid w:val="0015207A"/>
    <w:rsid w:val="00154DAD"/>
    <w:rsid w:val="001623C9"/>
    <w:rsid w:val="001661FE"/>
    <w:rsid w:val="00171A31"/>
    <w:rsid w:val="00180925"/>
    <w:rsid w:val="00181263"/>
    <w:rsid w:val="0019153B"/>
    <w:rsid w:val="00192C33"/>
    <w:rsid w:val="001B1B07"/>
    <w:rsid w:val="001B3581"/>
    <w:rsid w:val="001B425D"/>
    <w:rsid w:val="001B624C"/>
    <w:rsid w:val="001C741C"/>
    <w:rsid w:val="001D2A22"/>
    <w:rsid w:val="001D4921"/>
    <w:rsid w:val="001E3C9E"/>
    <w:rsid w:val="001E6CC5"/>
    <w:rsid w:val="001F2132"/>
    <w:rsid w:val="00215CBA"/>
    <w:rsid w:val="00216E29"/>
    <w:rsid w:val="002335FA"/>
    <w:rsid w:val="00245674"/>
    <w:rsid w:val="00250F66"/>
    <w:rsid w:val="002562F3"/>
    <w:rsid w:val="00256EA6"/>
    <w:rsid w:val="00262D38"/>
    <w:rsid w:val="00283A6D"/>
    <w:rsid w:val="002937EF"/>
    <w:rsid w:val="00293875"/>
    <w:rsid w:val="002A6E01"/>
    <w:rsid w:val="002B17D5"/>
    <w:rsid w:val="002B3276"/>
    <w:rsid w:val="002B72A1"/>
    <w:rsid w:val="002B7B99"/>
    <w:rsid w:val="002C74CD"/>
    <w:rsid w:val="002D1723"/>
    <w:rsid w:val="002D3444"/>
    <w:rsid w:val="002D38E1"/>
    <w:rsid w:val="002D6D6B"/>
    <w:rsid w:val="002D7905"/>
    <w:rsid w:val="002E0D85"/>
    <w:rsid w:val="002E64EB"/>
    <w:rsid w:val="002F0AA3"/>
    <w:rsid w:val="002F6C23"/>
    <w:rsid w:val="002F75B8"/>
    <w:rsid w:val="002F7FE1"/>
    <w:rsid w:val="00300ADD"/>
    <w:rsid w:val="00304DFB"/>
    <w:rsid w:val="00305DB4"/>
    <w:rsid w:val="00314C10"/>
    <w:rsid w:val="00317547"/>
    <w:rsid w:val="003210CF"/>
    <w:rsid w:val="00326F08"/>
    <w:rsid w:val="00344B10"/>
    <w:rsid w:val="0035287F"/>
    <w:rsid w:val="00352D87"/>
    <w:rsid w:val="003533BA"/>
    <w:rsid w:val="00356037"/>
    <w:rsid w:val="0036003C"/>
    <w:rsid w:val="00361D6B"/>
    <w:rsid w:val="00371229"/>
    <w:rsid w:val="00375C9E"/>
    <w:rsid w:val="00376213"/>
    <w:rsid w:val="00382204"/>
    <w:rsid w:val="0038332F"/>
    <w:rsid w:val="003919D6"/>
    <w:rsid w:val="00394842"/>
    <w:rsid w:val="00394DFB"/>
    <w:rsid w:val="00394E54"/>
    <w:rsid w:val="003B1A0E"/>
    <w:rsid w:val="003B303E"/>
    <w:rsid w:val="003C18D7"/>
    <w:rsid w:val="003C290E"/>
    <w:rsid w:val="003C3375"/>
    <w:rsid w:val="003C5EAD"/>
    <w:rsid w:val="003D5DCF"/>
    <w:rsid w:val="003E1AE7"/>
    <w:rsid w:val="003E3E25"/>
    <w:rsid w:val="003F1F94"/>
    <w:rsid w:val="003F296C"/>
    <w:rsid w:val="00406142"/>
    <w:rsid w:val="004102BF"/>
    <w:rsid w:val="00425FF7"/>
    <w:rsid w:val="00433843"/>
    <w:rsid w:val="00434C2D"/>
    <w:rsid w:val="00444673"/>
    <w:rsid w:val="00447177"/>
    <w:rsid w:val="00447279"/>
    <w:rsid w:val="00453E18"/>
    <w:rsid w:val="0045457E"/>
    <w:rsid w:val="00456326"/>
    <w:rsid w:val="00461FD3"/>
    <w:rsid w:val="00462A86"/>
    <w:rsid w:val="00466954"/>
    <w:rsid w:val="004873B5"/>
    <w:rsid w:val="00487676"/>
    <w:rsid w:val="00497926"/>
    <w:rsid w:val="004A0465"/>
    <w:rsid w:val="004A61BE"/>
    <w:rsid w:val="004B4EC6"/>
    <w:rsid w:val="004C2017"/>
    <w:rsid w:val="004C5EE4"/>
    <w:rsid w:val="004D3E44"/>
    <w:rsid w:val="004E3ADD"/>
    <w:rsid w:val="004F0058"/>
    <w:rsid w:val="004F0899"/>
    <w:rsid w:val="004F2A02"/>
    <w:rsid w:val="00501CB0"/>
    <w:rsid w:val="005110C6"/>
    <w:rsid w:val="0051729E"/>
    <w:rsid w:val="00522F9E"/>
    <w:rsid w:val="00526279"/>
    <w:rsid w:val="00530E64"/>
    <w:rsid w:val="005419D1"/>
    <w:rsid w:val="00542E9A"/>
    <w:rsid w:val="005478E1"/>
    <w:rsid w:val="0055097C"/>
    <w:rsid w:val="0055292E"/>
    <w:rsid w:val="00553C5C"/>
    <w:rsid w:val="00556B72"/>
    <w:rsid w:val="005641D2"/>
    <w:rsid w:val="005676EF"/>
    <w:rsid w:val="005716F2"/>
    <w:rsid w:val="005859D2"/>
    <w:rsid w:val="005C17DD"/>
    <w:rsid w:val="005C4566"/>
    <w:rsid w:val="005D3546"/>
    <w:rsid w:val="005E74EA"/>
    <w:rsid w:val="005F0535"/>
    <w:rsid w:val="005F1749"/>
    <w:rsid w:val="00603882"/>
    <w:rsid w:val="0061131C"/>
    <w:rsid w:val="00611AF1"/>
    <w:rsid w:val="00615072"/>
    <w:rsid w:val="00615368"/>
    <w:rsid w:val="00617738"/>
    <w:rsid w:val="00622E67"/>
    <w:rsid w:val="00631273"/>
    <w:rsid w:val="00640553"/>
    <w:rsid w:val="006624AC"/>
    <w:rsid w:val="006661E8"/>
    <w:rsid w:val="00666734"/>
    <w:rsid w:val="0067002C"/>
    <w:rsid w:val="0067050E"/>
    <w:rsid w:val="00692F44"/>
    <w:rsid w:val="006A0E0B"/>
    <w:rsid w:val="006A1960"/>
    <w:rsid w:val="006A4374"/>
    <w:rsid w:val="006A6DC0"/>
    <w:rsid w:val="006B0D8B"/>
    <w:rsid w:val="006B6057"/>
    <w:rsid w:val="006C3A4B"/>
    <w:rsid w:val="006D09EB"/>
    <w:rsid w:val="006D0F0C"/>
    <w:rsid w:val="006D112F"/>
    <w:rsid w:val="006D41B6"/>
    <w:rsid w:val="006F1797"/>
    <w:rsid w:val="006F2EC3"/>
    <w:rsid w:val="0070578F"/>
    <w:rsid w:val="00710CDC"/>
    <w:rsid w:val="00715C48"/>
    <w:rsid w:val="00720299"/>
    <w:rsid w:val="00723397"/>
    <w:rsid w:val="007265C6"/>
    <w:rsid w:val="00735518"/>
    <w:rsid w:val="007370D6"/>
    <w:rsid w:val="00740904"/>
    <w:rsid w:val="00751C51"/>
    <w:rsid w:val="00755D69"/>
    <w:rsid w:val="00756AD1"/>
    <w:rsid w:val="00775BEE"/>
    <w:rsid w:val="00782A91"/>
    <w:rsid w:val="0079012B"/>
    <w:rsid w:val="00793DF4"/>
    <w:rsid w:val="007A053C"/>
    <w:rsid w:val="007A1690"/>
    <w:rsid w:val="007A58CF"/>
    <w:rsid w:val="007A5D0B"/>
    <w:rsid w:val="007C6FAF"/>
    <w:rsid w:val="007D38C7"/>
    <w:rsid w:val="007D5743"/>
    <w:rsid w:val="007E5B5B"/>
    <w:rsid w:val="007E76A9"/>
    <w:rsid w:val="007F727B"/>
    <w:rsid w:val="008038F2"/>
    <w:rsid w:val="00810A78"/>
    <w:rsid w:val="0082353C"/>
    <w:rsid w:val="008253BB"/>
    <w:rsid w:val="0083554B"/>
    <w:rsid w:val="008456AD"/>
    <w:rsid w:val="00852322"/>
    <w:rsid w:val="008728D7"/>
    <w:rsid w:val="00890EEF"/>
    <w:rsid w:val="008A178D"/>
    <w:rsid w:val="008A556E"/>
    <w:rsid w:val="008B2A19"/>
    <w:rsid w:val="008C1692"/>
    <w:rsid w:val="008C3BFD"/>
    <w:rsid w:val="008D1462"/>
    <w:rsid w:val="008E008C"/>
    <w:rsid w:val="008E380D"/>
    <w:rsid w:val="008E44FE"/>
    <w:rsid w:val="008E5CF7"/>
    <w:rsid w:val="008F2F24"/>
    <w:rsid w:val="00900315"/>
    <w:rsid w:val="00906A7E"/>
    <w:rsid w:val="0090759B"/>
    <w:rsid w:val="00913A21"/>
    <w:rsid w:val="00915378"/>
    <w:rsid w:val="0092282B"/>
    <w:rsid w:val="00926CC4"/>
    <w:rsid w:val="009322DC"/>
    <w:rsid w:val="00941620"/>
    <w:rsid w:val="00960092"/>
    <w:rsid w:val="0096662B"/>
    <w:rsid w:val="00966FFC"/>
    <w:rsid w:val="0096731C"/>
    <w:rsid w:val="00980A3D"/>
    <w:rsid w:val="009810DA"/>
    <w:rsid w:val="009818BE"/>
    <w:rsid w:val="00984539"/>
    <w:rsid w:val="0098581A"/>
    <w:rsid w:val="00990D4A"/>
    <w:rsid w:val="00993DD2"/>
    <w:rsid w:val="0099514C"/>
    <w:rsid w:val="00995FE5"/>
    <w:rsid w:val="009962F4"/>
    <w:rsid w:val="00996327"/>
    <w:rsid w:val="009A153D"/>
    <w:rsid w:val="009A1D7C"/>
    <w:rsid w:val="009A6CAE"/>
    <w:rsid w:val="009C2C97"/>
    <w:rsid w:val="009C668A"/>
    <w:rsid w:val="009C6918"/>
    <w:rsid w:val="009D22C2"/>
    <w:rsid w:val="009E0193"/>
    <w:rsid w:val="009E2C89"/>
    <w:rsid w:val="009F1769"/>
    <w:rsid w:val="00A16836"/>
    <w:rsid w:val="00A23C45"/>
    <w:rsid w:val="00A2428A"/>
    <w:rsid w:val="00A34E65"/>
    <w:rsid w:val="00A40E06"/>
    <w:rsid w:val="00A420F3"/>
    <w:rsid w:val="00A4214B"/>
    <w:rsid w:val="00A50397"/>
    <w:rsid w:val="00A54061"/>
    <w:rsid w:val="00A567BA"/>
    <w:rsid w:val="00A644CD"/>
    <w:rsid w:val="00A76BB4"/>
    <w:rsid w:val="00A82BA5"/>
    <w:rsid w:val="00A82CFA"/>
    <w:rsid w:val="00A85E1F"/>
    <w:rsid w:val="00A87567"/>
    <w:rsid w:val="00A8768F"/>
    <w:rsid w:val="00A94125"/>
    <w:rsid w:val="00A94824"/>
    <w:rsid w:val="00A94E5B"/>
    <w:rsid w:val="00A955AA"/>
    <w:rsid w:val="00AA11C6"/>
    <w:rsid w:val="00AA3E91"/>
    <w:rsid w:val="00AB3DB6"/>
    <w:rsid w:val="00AC0F27"/>
    <w:rsid w:val="00AC6670"/>
    <w:rsid w:val="00AD4611"/>
    <w:rsid w:val="00AD5179"/>
    <w:rsid w:val="00AE2476"/>
    <w:rsid w:val="00AE2679"/>
    <w:rsid w:val="00AE57EF"/>
    <w:rsid w:val="00AF2206"/>
    <w:rsid w:val="00AF5356"/>
    <w:rsid w:val="00B00EA4"/>
    <w:rsid w:val="00B02A63"/>
    <w:rsid w:val="00B061E7"/>
    <w:rsid w:val="00B076A3"/>
    <w:rsid w:val="00B11EC7"/>
    <w:rsid w:val="00B24327"/>
    <w:rsid w:val="00B30E11"/>
    <w:rsid w:val="00B37A88"/>
    <w:rsid w:val="00B4194A"/>
    <w:rsid w:val="00B4314B"/>
    <w:rsid w:val="00B4686C"/>
    <w:rsid w:val="00B525E2"/>
    <w:rsid w:val="00B6206C"/>
    <w:rsid w:val="00B70BE5"/>
    <w:rsid w:val="00B7171B"/>
    <w:rsid w:val="00B73CAE"/>
    <w:rsid w:val="00B74832"/>
    <w:rsid w:val="00B83DCB"/>
    <w:rsid w:val="00B97C1D"/>
    <w:rsid w:val="00BB4DF3"/>
    <w:rsid w:val="00BB7761"/>
    <w:rsid w:val="00BB7AB5"/>
    <w:rsid w:val="00BB7CEF"/>
    <w:rsid w:val="00BC0E92"/>
    <w:rsid w:val="00BC111C"/>
    <w:rsid w:val="00BD32B7"/>
    <w:rsid w:val="00BE0BA4"/>
    <w:rsid w:val="00C04D3B"/>
    <w:rsid w:val="00C0600A"/>
    <w:rsid w:val="00C0681E"/>
    <w:rsid w:val="00C14936"/>
    <w:rsid w:val="00C15C15"/>
    <w:rsid w:val="00C202FB"/>
    <w:rsid w:val="00C23AEA"/>
    <w:rsid w:val="00C2529C"/>
    <w:rsid w:val="00C2775F"/>
    <w:rsid w:val="00C3507D"/>
    <w:rsid w:val="00C350C5"/>
    <w:rsid w:val="00C41997"/>
    <w:rsid w:val="00C457B6"/>
    <w:rsid w:val="00C500FB"/>
    <w:rsid w:val="00C50607"/>
    <w:rsid w:val="00C54209"/>
    <w:rsid w:val="00C62256"/>
    <w:rsid w:val="00C633BE"/>
    <w:rsid w:val="00C73D36"/>
    <w:rsid w:val="00C778FB"/>
    <w:rsid w:val="00C77BD6"/>
    <w:rsid w:val="00C77EEC"/>
    <w:rsid w:val="00C803A7"/>
    <w:rsid w:val="00C9142D"/>
    <w:rsid w:val="00C95681"/>
    <w:rsid w:val="00CA0CBA"/>
    <w:rsid w:val="00CA5528"/>
    <w:rsid w:val="00CB7CCF"/>
    <w:rsid w:val="00CC675F"/>
    <w:rsid w:val="00CC7F89"/>
    <w:rsid w:val="00CE0D3C"/>
    <w:rsid w:val="00CF3FEA"/>
    <w:rsid w:val="00CF4E51"/>
    <w:rsid w:val="00D02565"/>
    <w:rsid w:val="00D061C7"/>
    <w:rsid w:val="00D15122"/>
    <w:rsid w:val="00D40743"/>
    <w:rsid w:val="00D41BC3"/>
    <w:rsid w:val="00D55D24"/>
    <w:rsid w:val="00D62E6B"/>
    <w:rsid w:val="00D8435E"/>
    <w:rsid w:val="00D90159"/>
    <w:rsid w:val="00D93820"/>
    <w:rsid w:val="00DA64E2"/>
    <w:rsid w:val="00DB4ED8"/>
    <w:rsid w:val="00DC3A1D"/>
    <w:rsid w:val="00DC4520"/>
    <w:rsid w:val="00DC6A15"/>
    <w:rsid w:val="00DD7927"/>
    <w:rsid w:val="00DD7E4D"/>
    <w:rsid w:val="00DE1883"/>
    <w:rsid w:val="00DE6C11"/>
    <w:rsid w:val="00DF36C4"/>
    <w:rsid w:val="00DF5B4B"/>
    <w:rsid w:val="00E03279"/>
    <w:rsid w:val="00E10F71"/>
    <w:rsid w:val="00E118EB"/>
    <w:rsid w:val="00E20A65"/>
    <w:rsid w:val="00E2170F"/>
    <w:rsid w:val="00E2453C"/>
    <w:rsid w:val="00E279ED"/>
    <w:rsid w:val="00E408E3"/>
    <w:rsid w:val="00E41474"/>
    <w:rsid w:val="00E42324"/>
    <w:rsid w:val="00E5003E"/>
    <w:rsid w:val="00E57265"/>
    <w:rsid w:val="00E576B4"/>
    <w:rsid w:val="00E57B79"/>
    <w:rsid w:val="00E60448"/>
    <w:rsid w:val="00E6193A"/>
    <w:rsid w:val="00E67553"/>
    <w:rsid w:val="00E71A23"/>
    <w:rsid w:val="00E752E4"/>
    <w:rsid w:val="00E7554E"/>
    <w:rsid w:val="00E809A3"/>
    <w:rsid w:val="00E8215A"/>
    <w:rsid w:val="00E8656F"/>
    <w:rsid w:val="00EA44A3"/>
    <w:rsid w:val="00EB0BCA"/>
    <w:rsid w:val="00EB46DC"/>
    <w:rsid w:val="00EB6584"/>
    <w:rsid w:val="00EE42AB"/>
    <w:rsid w:val="00EF2658"/>
    <w:rsid w:val="00F06406"/>
    <w:rsid w:val="00F15E96"/>
    <w:rsid w:val="00F16FFB"/>
    <w:rsid w:val="00F17AD6"/>
    <w:rsid w:val="00F242F1"/>
    <w:rsid w:val="00F262DF"/>
    <w:rsid w:val="00F27E82"/>
    <w:rsid w:val="00F32B11"/>
    <w:rsid w:val="00F46942"/>
    <w:rsid w:val="00F74EB3"/>
    <w:rsid w:val="00F84052"/>
    <w:rsid w:val="00F8519B"/>
    <w:rsid w:val="00F868A1"/>
    <w:rsid w:val="00F93B18"/>
    <w:rsid w:val="00F96247"/>
    <w:rsid w:val="00F96E2A"/>
    <w:rsid w:val="00FA0897"/>
    <w:rsid w:val="00FB137B"/>
    <w:rsid w:val="00FB5938"/>
    <w:rsid w:val="00FB7120"/>
    <w:rsid w:val="00FB74BE"/>
    <w:rsid w:val="00FE039E"/>
    <w:rsid w:val="00FE2EE3"/>
    <w:rsid w:val="00FF09BC"/>
    <w:rsid w:val="00FF1E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094B"/>
  <w15:docId w15:val="{2383FDD2-4AAB-40F0-BC51-CEE9CB7E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10"/>
    <w:pPr>
      <w:tabs>
        <w:tab w:val="left" w:pos="567"/>
        <w:tab w:val="left" w:pos="4961"/>
      </w:tabs>
      <w:spacing w:after="0" w:line="480" w:lineRule="auto"/>
      <w:jc w:val="both"/>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539"/>
    <w:pPr>
      <w:ind w:left="720"/>
      <w:contextualSpacing/>
    </w:pPr>
  </w:style>
  <w:style w:type="paragraph" w:styleId="Header">
    <w:name w:val="header"/>
    <w:basedOn w:val="Normal"/>
    <w:link w:val="HeaderChar"/>
    <w:uiPriority w:val="99"/>
    <w:unhideWhenUsed/>
    <w:rsid w:val="00611AF1"/>
    <w:pPr>
      <w:tabs>
        <w:tab w:val="center" w:pos="4153"/>
        <w:tab w:val="right" w:pos="8306"/>
      </w:tabs>
      <w:spacing w:line="240" w:lineRule="auto"/>
    </w:pPr>
  </w:style>
  <w:style w:type="character" w:customStyle="1" w:styleId="HeaderChar">
    <w:name w:val="Header Char"/>
    <w:basedOn w:val="DefaultParagraphFont"/>
    <w:link w:val="Header"/>
    <w:uiPriority w:val="99"/>
    <w:rsid w:val="00611AF1"/>
  </w:style>
  <w:style w:type="paragraph" w:styleId="Footer">
    <w:name w:val="footer"/>
    <w:basedOn w:val="Normal"/>
    <w:link w:val="FooterChar"/>
    <w:uiPriority w:val="99"/>
    <w:semiHidden/>
    <w:unhideWhenUsed/>
    <w:rsid w:val="00611AF1"/>
    <w:pPr>
      <w:tabs>
        <w:tab w:val="center" w:pos="4153"/>
        <w:tab w:val="right" w:pos="8306"/>
      </w:tabs>
      <w:spacing w:line="240" w:lineRule="auto"/>
    </w:pPr>
  </w:style>
  <w:style w:type="character" w:customStyle="1" w:styleId="FooterChar">
    <w:name w:val="Footer Char"/>
    <w:basedOn w:val="DefaultParagraphFont"/>
    <w:link w:val="Footer"/>
    <w:uiPriority w:val="99"/>
    <w:semiHidden/>
    <w:rsid w:val="00611AF1"/>
  </w:style>
  <w:style w:type="paragraph" w:styleId="BalloonText">
    <w:name w:val="Balloon Text"/>
    <w:basedOn w:val="Normal"/>
    <w:link w:val="BalloonTextChar"/>
    <w:uiPriority w:val="99"/>
    <w:semiHidden/>
    <w:unhideWhenUsed/>
    <w:rsid w:val="00530E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C5A1-34F1-4EF7-9FD1-355B3981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1050</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Christofit</dc:creator>
  <cp:lastModifiedBy>order 1813253</cp:lastModifiedBy>
  <cp:revision>76</cp:revision>
  <cp:lastPrinted>2022-02-01T10:31:00Z</cp:lastPrinted>
  <dcterms:created xsi:type="dcterms:W3CDTF">2019-03-21T22:33:00Z</dcterms:created>
  <dcterms:modified xsi:type="dcterms:W3CDTF">2022-02-01T11:17:00Z</dcterms:modified>
</cp:coreProperties>
</file>