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D3A9" w14:textId="0E69095E" w:rsidR="00441966" w:rsidRDefault="00441966" w:rsidP="007D335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ΝΟΜΟΣ ΠΟΥ ΤΡΟΠΟΠΟΙΕΙ ΤΟΝ ΠΟΙΝΙΚΟ ΚΩΔΙΚΑ</w:t>
      </w:r>
    </w:p>
    <w:p w14:paraId="4A1678C2" w14:textId="47961DEC" w:rsidR="00AA03B5" w:rsidRPr="00441966" w:rsidRDefault="00AA03B5" w:rsidP="00441966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2261"/>
        <w:gridCol w:w="24"/>
        <w:gridCol w:w="568"/>
        <w:gridCol w:w="1089"/>
        <w:gridCol w:w="18"/>
        <w:gridCol w:w="10"/>
        <w:gridCol w:w="525"/>
        <w:gridCol w:w="6"/>
        <w:gridCol w:w="3419"/>
      </w:tblGrid>
      <w:tr w:rsidR="005337C9" w:rsidRPr="007D3351" w14:paraId="35C1D380" w14:textId="77777777" w:rsidTr="00C861E6">
        <w:tc>
          <w:tcPr>
            <w:tcW w:w="986" w:type="pct"/>
          </w:tcPr>
          <w:p w14:paraId="631E7D38" w14:textId="77777777" w:rsidR="00FD352C" w:rsidRPr="007D3351" w:rsidRDefault="00FD352C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pct"/>
            <w:gridSpan w:val="9"/>
          </w:tcPr>
          <w:p w14:paraId="23B6C575" w14:textId="79A28545" w:rsidR="00FD352C" w:rsidRPr="007D3351" w:rsidRDefault="00121297" w:rsidP="00121297">
            <w:pPr>
              <w:pStyle w:val="ListParagraph"/>
              <w:tabs>
                <w:tab w:val="left" w:pos="432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D352C" w:rsidRPr="007D3351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</w:t>
            </w:r>
            <w:r w:rsidR="00487D47" w:rsidRPr="007D33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337C9" w:rsidRPr="007D3351" w14:paraId="13DBDE7A" w14:textId="77777777" w:rsidTr="00C861E6">
        <w:tc>
          <w:tcPr>
            <w:tcW w:w="986" w:type="pct"/>
          </w:tcPr>
          <w:p w14:paraId="337EBB0A" w14:textId="77777777" w:rsidR="00487D47" w:rsidRPr="007D3351" w:rsidRDefault="00487D47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pct"/>
            <w:gridSpan w:val="9"/>
          </w:tcPr>
          <w:p w14:paraId="1FDA46D3" w14:textId="77777777" w:rsidR="00487D47" w:rsidRPr="007D3351" w:rsidRDefault="00487D47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7C9" w:rsidRPr="007D3351" w14:paraId="6AD0B3D9" w14:textId="77777777" w:rsidTr="00C861E6">
        <w:tc>
          <w:tcPr>
            <w:tcW w:w="986" w:type="pct"/>
          </w:tcPr>
          <w:p w14:paraId="01E14948" w14:textId="77777777" w:rsidR="00AA03B5" w:rsidRPr="007D3351" w:rsidRDefault="00AA03B5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  <w:p w14:paraId="1C884644" w14:textId="1BB0CC0F" w:rsidR="00AA03B5" w:rsidRPr="007D3351" w:rsidRDefault="00AA03B5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 xml:space="preserve">    Κεφ. 154</w:t>
            </w:r>
            <w:r w:rsidR="00247052" w:rsidRPr="007D335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DA763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 του 1962</w:t>
            </w:r>
          </w:p>
          <w:p w14:paraId="71F4F676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43 του 1963</w:t>
            </w:r>
          </w:p>
          <w:p w14:paraId="5DA003B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41 του 1964</w:t>
            </w:r>
          </w:p>
          <w:p w14:paraId="5EBAED86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69 του 1964</w:t>
            </w:r>
          </w:p>
          <w:p w14:paraId="4437256A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70 του 1965</w:t>
            </w:r>
          </w:p>
          <w:p w14:paraId="12A3376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5 του 1967</w:t>
            </w:r>
          </w:p>
          <w:p w14:paraId="1A90AFA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58 του 1967</w:t>
            </w:r>
          </w:p>
          <w:p w14:paraId="3BB04A1A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44 του 1972</w:t>
            </w:r>
          </w:p>
          <w:p w14:paraId="7517A182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92 του 1972</w:t>
            </w:r>
          </w:p>
          <w:p w14:paraId="269BDECE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29 του 1973</w:t>
            </w:r>
          </w:p>
          <w:p w14:paraId="44BF51F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59 του 1974</w:t>
            </w:r>
          </w:p>
          <w:p w14:paraId="7AB73A8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 του 1975</w:t>
            </w:r>
          </w:p>
          <w:p w14:paraId="624C4A4B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13 του 1979</w:t>
            </w:r>
          </w:p>
          <w:p w14:paraId="23CAFA96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10 του 1981</w:t>
            </w:r>
          </w:p>
          <w:p w14:paraId="3CFC101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46 του 1982</w:t>
            </w:r>
          </w:p>
          <w:p w14:paraId="2D01A2F6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86 του 1983</w:t>
            </w:r>
          </w:p>
          <w:p w14:paraId="32D58D16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186 του 1986</w:t>
            </w:r>
          </w:p>
          <w:p w14:paraId="4592570A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111 του 1989</w:t>
            </w:r>
          </w:p>
          <w:p w14:paraId="1A21F081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236 του 1991</w:t>
            </w:r>
          </w:p>
          <w:p w14:paraId="23143E7C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6(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1994</w:t>
            </w:r>
          </w:p>
          <w:p w14:paraId="5AADE8AC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1996</w:t>
            </w:r>
          </w:p>
          <w:p w14:paraId="5CC3EF37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99(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1996</w:t>
            </w:r>
          </w:p>
          <w:p w14:paraId="63BCFDE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36(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1997</w:t>
            </w:r>
          </w:p>
          <w:p w14:paraId="64664AFB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40(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1998</w:t>
            </w:r>
          </w:p>
          <w:p w14:paraId="43576FE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45(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1998</w:t>
            </w:r>
          </w:p>
          <w:p w14:paraId="0C6BC569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15(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1999</w:t>
            </w:r>
          </w:p>
          <w:p w14:paraId="1D81093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37(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1999</w:t>
            </w:r>
          </w:p>
          <w:p w14:paraId="7A4C368F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38(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1999</w:t>
            </w:r>
          </w:p>
          <w:p w14:paraId="58D5FE2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lastRenderedPageBreak/>
              <w:t>129(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1999</w:t>
            </w:r>
          </w:p>
          <w:p w14:paraId="24837E07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30(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2000</w:t>
            </w:r>
          </w:p>
          <w:p w14:paraId="638688F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43(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2000</w:t>
            </w:r>
          </w:p>
          <w:p w14:paraId="3B405A72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77(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2000</w:t>
            </w:r>
          </w:p>
          <w:p w14:paraId="2EDA9989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162(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2000</w:t>
            </w:r>
          </w:p>
          <w:p w14:paraId="1340F99C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169(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2000</w:t>
            </w:r>
          </w:p>
          <w:p w14:paraId="3EB48B2C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181(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2000</w:t>
            </w:r>
          </w:p>
          <w:p w14:paraId="2F4BE4FC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27(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2001</w:t>
            </w:r>
          </w:p>
          <w:p w14:paraId="0D9C74C3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12(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2002</w:t>
            </w:r>
          </w:p>
          <w:p w14:paraId="46380ED1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85(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2002</w:t>
            </w:r>
          </w:p>
          <w:p w14:paraId="6F9D47AE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144(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2002</w:t>
            </w:r>
          </w:p>
          <w:p w14:paraId="7FD3E3A8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145(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2002</w:t>
            </w:r>
          </w:p>
          <w:p w14:paraId="7ED19133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25(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2003</w:t>
            </w:r>
          </w:p>
          <w:p w14:paraId="48BC446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48(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2003</w:t>
            </w:r>
          </w:p>
          <w:p w14:paraId="79989BB2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84(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2003</w:t>
            </w:r>
          </w:p>
          <w:p w14:paraId="6E9A0707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164(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2003</w:t>
            </w:r>
          </w:p>
          <w:p w14:paraId="260C920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124(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2004</w:t>
            </w:r>
          </w:p>
          <w:p w14:paraId="4B4BD5F6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31(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2005</w:t>
            </w:r>
          </w:p>
          <w:p w14:paraId="375C2505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18(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2006</w:t>
            </w:r>
          </w:p>
          <w:p w14:paraId="650504CF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130(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2006</w:t>
            </w:r>
          </w:p>
          <w:p w14:paraId="0C966ACB" w14:textId="39EA1DDD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126(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</w:t>
            </w:r>
            <w:r w:rsidR="004C30CB">
              <w:rPr>
                <w:rStyle w:val="toc-instrument-enum"/>
                <w:rFonts w:ascii="Arial" w:hAnsi="Arial" w:cs="Arial"/>
                <w:color w:val="000000"/>
              </w:rPr>
              <w:t xml:space="preserve"> 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 xml:space="preserve">του </w:t>
            </w:r>
            <w:r w:rsidR="004C30CB">
              <w:rPr>
                <w:rStyle w:val="toc-instrument-enum"/>
                <w:rFonts w:ascii="Arial" w:hAnsi="Arial" w:cs="Arial"/>
                <w:color w:val="000000"/>
              </w:rPr>
              <w:t>2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007</w:t>
            </w:r>
          </w:p>
          <w:p w14:paraId="018BAF5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127(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2007</w:t>
            </w:r>
          </w:p>
          <w:p w14:paraId="66D1411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70(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2008</w:t>
            </w:r>
          </w:p>
          <w:p w14:paraId="04B9FB1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83(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2008</w:t>
            </w:r>
          </w:p>
          <w:p w14:paraId="6DE1DB4C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64(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2009</w:t>
            </w:r>
          </w:p>
          <w:p w14:paraId="0CA6D2D2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56(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2011</w:t>
            </w:r>
          </w:p>
          <w:p w14:paraId="76F27E7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72(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2011</w:t>
            </w:r>
          </w:p>
          <w:p w14:paraId="4FEA22DF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163(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2011</w:t>
            </w:r>
          </w:p>
          <w:p w14:paraId="6448B33B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167(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2011</w:t>
            </w:r>
          </w:p>
          <w:p w14:paraId="5410BFB1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84(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2012</w:t>
            </w:r>
          </w:p>
          <w:p w14:paraId="2196BA4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95(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2012</w:t>
            </w:r>
          </w:p>
          <w:p w14:paraId="2E75DD03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134(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2012</w:t>
            </w:r>
          </w:p>
          <w:p w14:paraId="7AAC890A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125(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2013</w:t>
            </w:r>
          </w:p>
          <w:p w14:paraId="48123360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131(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2013</w:t>
            </w:r>
          </w:p>
          <w:p w14:paraId="7D49D5B2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87(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2015</w:t>
            </w:r>
          </w:p>
          <w:p w14:paraId="1497F61E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91(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2015</w:t>
            </w:r>
          </w:p>
          <w:p w14:paraId="24C99878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112(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2015</w:t>
            </w:r>
          </w:p>
          <w:p w14:paraId="64EAF694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113(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2015</w:t>
            </w:r>
          </w:p>
          <w:p w14:paraId="25027471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31(Ι) του 2016</w:t>
            </w:r>
          </w:p>
          <w:p w14:paraId="6A39E35F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43(Ι) του 2016</w:t>
            </w:r>
          </w:p>
          <w:p w14:paraId="49D4A8E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31(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2017</w:t>
            </w:r>
          </w:p>
          <w:p w14:paraId="7E6157C6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72(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2017</w:t>
            </w:r>
          </w:p>
          <w:p w14:paraId="7771324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23(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2018</w:t>
            </w:r>
          </w:p>
          <w:p w14:paraId="4CA3990D" w14:textId="77777777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24(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2018</w:t>
            </w:r>
          </w:p>
          <w:p w14:paraId="2F4F71FB" w14:textId="6DCD6B75" w:rsidR="00AA03B5" w:rsidRPr="007D3351" w:rsidRDefault="00AA03B5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Style w:val="toc-instrument-enum"/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108(</w:t>
            </w:r>
            <w:r w:rsidRPr="007D3351">
              <w:rPr>
                <w:rStyle w:val="toc-instrument-enum"/>
                <w:rFonts w:ascii="Arial" w:hAnsi="Arial" w:cs="Arial"/>
                <w:color w:val="000000"/>
                <w:lang w:val="en-US"/>
              </w:rPr>
              <w:t>I</w:t>
            </w:r>
            <w:r w:rsidRPr="007D3351">
              <w:rPr>
                <w:rStyle w:val="toc-instrument-enum"/>
                <w:rFonts w:ascii="Arial" w:hAnsi="Arial" w:cs="Arial"/>
                <w:color w:val="000000"/>
              </w:rPr>
              <w:t>) του 2018</w:t>
            </w:r>
          </w:p>
          <w:p w14:paraId="7CA061EF" w14:textId="2D3F7899" w:rsidR="00DE26D7" w:rsidRPr="007D3351" w:rsidRDefault="00DE26D7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Style w:val="toc-instrument-enum"/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134(Ι) του 2020</w:t>
            </w:r>
          </w:p>
          <w:p w14:paraId="77025BF9" w14:textId="5FA05FBC" w:rsidR="00DE26D7" w:rsidRPr="007D3351" w:rsidRDefault="00DE26D7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Style w:val="toc-instrument-enum"/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150(Ι) του 2020</w:t>
            </w:r>
          </w:p>
          <w:p w14:paraId="2685A084" w14:textId="34BBB726" w:rsidR="00DE26D7" w:rsidRPr="007D3351" w:rsidRDefault="00DE26D7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Style w:val="toc-instrument-enum"/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27(Ι) του 2021</w:t>
            </w:r>
          </w:p>
          <w:p w14:paraId="2F07B2A4" w14:textId="77777777" w:rsidR="00DE26D7" w:rsidRPr="007D3351" w:rsidRDefault="00DE26D7" w:rsidP="007D3351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/>
              <w:jc w:val="right"/>
              <w:rPr>
                <w:rStyle w:val="toc-instrument-enum"/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>45(Ι) του 2021</w:t>
            </w:r>
          </w:p>
          <w:p w14:paraId="511618E7" w14:textId="45E0FABE" w:rsidR="00DE26D7" w:rsidRPr="007D3351" w:rsidRDefault="00DE26D7" w:rsidP="002B53BF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left="-360" w:right="-46"/>
              <w:jc w:val="right"/>
              <w:rPr>
                <w:rFonts w:ascii="Arial" w:hAnsi="Arial" w:cs="Arial"/>
                <w:color w:val="000000"/>
              </w:rPr>
            </w:pPr>
            <w:r w:rsidRPr="007D3351">
              <w:rPr>
                <w:rStyle w:val="toc-instrument-enum"/>
                <w:rFonts w:ascii="Arial" w:hAnsi="Arial" w:cs="Arial"/>
                <w:color w:val="000000"/>
              </w:rPr>
              <w:t xml:space="preserve">190(Ι) του 2021. </w:t>
            </w:r>
          </w:p>
        </w:tc>
        <w:tc>
          <w:tcPr>
            <w:tcW w:w="4014" w:type="pct"/>
            <w:gridSpan w:val="9"/>
          </w:tcPr>
          <w:p w14:paraId="57C63AF5" w14:textId="3EC66674" w:rsidR="00AA03B5" w:rsidRPr="00DD4C8B" w:rsidRDefault="00A43C0D" w:rsidP="00121297">
            <w:pPr>
              <w:pStyle w:val="ListParagraph"/>
              <w:tabs>
                <w:tab w:val="left" w:pos="442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D3351">
              <w:rPr>
                <w:rFonts w:ascii="Arial" w:hAnsi="Arial" w:cs="Arial"/>
                <w:sz w:val="24"/>
                <w:szCs w:val="24"/>
              </w:rPr>
              <w:tab/>
            </w:r>
            <w:r w:rsidR="00AA03B5" w:rsidRPr="007D3351"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Ποινικού Κώδικα (Τροποποιητικός) Νόμος του </w:t>
            </w:r>
            <w:r w:rsidR="00DB4FD8">
              <w:rPr>
                <w:rFonts w:ascii="Arial" w:hAnsi="Arial" w:cs="Arial"/>
                <w:sz w:val="24"/>
                <w:szCs w:val="24"/>
              </w:rPr>
              <w:t>2023</w:t>
            </w:r>
            <w:r w:rsidR="00AA03B5" w:rsidRPr="007D3351">
              <w:rPr>
                <w:rFonts w:ascii="Arial" w:hAnsi="Arial" w:cs="Arial"/>
                <w:sz w:val="24"/>
                <w:szCs w:val="24"/>
              </w:rPr>
              <w:t xml:space="preserve"> και θα διαβάζεται μαζί με τον περί Ποινικού Κώδικα Νόμο (που στο εξής θα αναφέρ</w:t>
            </w:r>
            <w:r w:rsidR="00DE26D7" w:rsidRPr="007D3351">
              <w:rPr>
                <w:rFonts w:ascii="Arial" w:hAnsi="Arial" w:cs="Arial"/>
                <w:sz w:val="24"/>
                <w:szCs w:val="24"/>
              </w:rPr>
              <w:t>ε</w:t>
            </w:r>
            <w:r w:rsidR="00AA03B5" w:rsidRPr="007D3351">
              <w:rPr>
                <w:rFonts w:ascii="Arial" w:hAnsi="Arial" w:cs="Arial"/>
                <w:sz w:val="24"/>
                <w:szCs w:val="24"/>
              </w:rPr>
              <w:t>ται ως «ο βασικός νόμος»).</w:t>
            </w:r>
          </w:p>
        </w:tc>
      </w:tr>
      <w:tr w:rsidR="005337C9" w:rsidRPr="007D3351" w14:paraId="248AC309" w14:textId="77777777" w:rsidTr="00C861E6">
        <w:tc>
          <w:tcPr>
            <w:tcW w:w="986" w:type="pct"/>
          </w:tcPr>
          <w:p w14:paraId="19294410" w14:textId="77777777" w:rsidR="00AA03B5" w:rsidRPr="007D3351" w:rsidRDefault="00AA03B5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pct"/>
            <w:gridSpan w:val="9"/>
          </w:tcPr>
          <w:p w14:paraId="5F24DEF8" w14:textId="77777777" w:rsidR="00AA03B5" w:rsidRPr="007D3351" w:rsidRDefault="00AA03B5" w:rsidP="007D335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7C9" w:rsidRPr="007D3351" w14:paraId="5FDFD708" w14:textId="77777777" w:rsidTr="00C861E6">
        <w:tc>
          <w:tcPr>
            <w:tcW w:w="986" w:type="pct"/>
          </w:tcPr>
          <w:p w14:paraId="4A1762B1" w14:textId="313D7D3A" w:rsidR="00D74BA1" w:rsidRPr="007D3351" w:rsidRDefault="00B1265D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Τροποποίηση του βασικού νόμου με την προσθήκη</w:t>
            </w:r>
            <w:r w:rsidR="00DB4FD8">
              <w:rPr>
                <w:rFonts w:ascii="Arial" w:hAnsi="Arial" w:cs="Arial"/>
                <w:sz w:val="24"/>
                <w:szCs w:val="24"/>
              </w:rPr>
              <w:t xml:space="preserve"> του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 νέου άρθρου 233Β.</w:t>
            </w:r>
          </w:p>
        </w:tc>
        <w:tc>
          <w:tcPr>
            <w:tcW w:w="4014" w:type="pct"/>
            <w:gridSpan w:val="9"/>
          </w:tcPr>
          <w:p w14:paraId="7E320467" w14:textId="4EF74AE5" w:rsidR="00D74BA1" w:rsidRPr="007D3351" w:rsidRDefault="00472C88" w:rsidP="00121297">
            <w:pPr>
              <w:tabs>
                <w:tab w:val="left" w:pos="44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2</w:t>
            </w:r>
            <w:r w:rsidR="00B1265D" w:rsidRPr="007D3351">
              <w:rPr>
                <w:rFonts w:ascii="Arial" w:hAnsi="Arial" w:cs="Arial"/>
                <w:sz w:val="24"/>
                <w:szCs w:val="24"/>
              </w:rPr>
              <w:t>.</w:t>
            </w:r>
            <w:r w:rsidR="00E909B5">
              <w:rPr>
                <w:rFonts w:ascii="Arial" w:hAnsi="Arial" w:cs="Arial"/>
                <w:sz w:val="24"/>
                <w:szCs w:val="24"/>
              </w:rPr>
              <w:tab/>
            </w:r>
            <w:r w:rsidR="00B1265D" w:rsidRPr="007D3351">
              <w:rPr>
                <w:rFonts w:ascii="Arial" w:hAnsi="Arial" w:cs="Arial"/>
                <w:sz w:val="24"/>
                <w:szCs w:val="24"/>
              </w:rPr>
              <w:t>Ο βασικός νόμος τροποποιείται με την προσθήκη, αμέσως μετά το άρθρο 233Α, του ακόλουθου νέου άρθρου:</w:t>
            </w:r>
          </w:p>
        </w:tc>
      </w:tr>
      <w:tr w:rsidR="005337C9" w:rsidRPr="007D3351" w14:paraId="0D1ADA94" w14:textId="77777777" w:rsidTr="00C861E6">
        <w:tc>
          <w:tcPr>
            <w:tcW w:w="986" w:type="pct"/>
          </w:tcPr>
          <w:p w14:paraId="067B0C95" w14:textId="77777777" w:rsidR="00B1265D" w:rsidRPr="007D3351" w:rsidRDefault="00B1265D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pct"/>
            <w:gridSpan w:val="9"/>
          </w:tcPr>
          <w:p w14:paraId="399E687A" w14:textId="77777777" w:rsidR="00B1265D" w:rsidRPr="007D3351" w:rsidRDefault="00B1265D" w:rsidP="007D335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7C9" w:rsidRPr="007D3351" w14:paraId="7111B3AF" w14:textId="77777777" w:rsidTr="00C861E6">
        <w:tc>
          <w:tcPr>
            <w:tcW w:w="986" w:type="pct"/>
          </w:tcPr>
          <w:p w14:paraId="1BBAC9D0" w14:textId="77777777" w:rsidR="00751301" w:rsidRPr="007D3351" w:rsidRDefault="00751301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67DCF532" w14:textId="39D4EE76" w:rsidR="00751301" w:rsidRPr="007D3351" w:rsidRDefault="00DB4FD8" w:rsidP="005F48E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14EC">
              <w:rPr>
                <w:rFonts w:ascii="Arial" w:hAnsi="Arial" w:cs="Arial"/>
                <w:sz w:val="24"/>
                <w:szCs w:val="24"/>
              </w:rPr>
              <w:t>Ψευδοθεραπείες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μεταστροφής.</w:t>
            </w:r>
          </w:p>
        </w:tc>
        <w:tc>
          <w:tcPr>
            <w:tcW w:w="2856" w:type="pct"/>
            <w:gridSpan w:val="7"/>
          </w:tcPr>
          <w:p w14:paraId="22B767B1" w14:textId="7EFF7D22" w:rsidR="00751301" w:rsidRPr="00BF15C9" w:rsidRDefault="00213614" w:rsidP="00F66225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233Β.</w:t>
            </w:r>
            <w:r w:rsidR="00247052" w:rsidRPr="007D3351">
              <w:rPr>
                <w:rFonts w:ascii="Arial" w:hAnsi="Arial" w:cs="Arial"/>
                <w:sz w:val="24"/>
                <w:szCs w:val="24"/>
              </w:rPr>
              <w:t>-(1)</w:t>
            </w:r>
            <w:r w:rsidR="00570788">
              <w:rPr>
                <w:rFonts w:ascii="Arial" w:hAnsi="Arial" w:cs="Arial"/>
                <w:sz w:val="24"/>
                <w:szCs w:val="24"/>
              </w:rPr>
              <w:tab/>
            </w:r>
            <w:r w:rsidR="00570788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spellStart"/>
            <w:r w:rsidR="00BB6ECC" w:rsidRPr="007D3351">
              <w:rPr>
                <w:rFonts w:ascii="Arial" w:hAnsi="Arial" w:cs="Arial"/>
                <w:sz w:val="24"/>
                <w:szCs w:val="24"/>
              </w:rPr>
              <w:t>ηρουμένων</w:t>
            </w:r>
            <w:proofErr w:type="spellEnd"/>
            <w:r w:rsidR="00BB6ECC" w:rsidRPr="007D3351">
              <w:rPr>
                <w:rFonts w:ascii="Arial" w:hAnsi="Arial" w:cs="Arial"/>
                <w:sz w:val="24"/>
                <w:szCs w:val="24"/>
              </w:rPr>
              <w:t xml:space="preserve"> των διατάξεων του εδαφίου (2)</w:t>
            </w:r>
            <w:r w:rsidR="00EC2EDE">
              <w:rPr>
                <w:rFonts w:ascii="Arial" w:hAnsi="Arial" w:cs="Arial"/>
                <w:sz w:val="24"/>
                <w:szCs w:val="24"/>
              </w:rPr>
              <w:t>,</w:t>
            </w:r>
            <w:r w:rsidR="00BB6ECC" w:rsidRPr="007D3351">
              <w:rPr>
                <w:rFonts w:ascii="Arial" w:hAnsi="Arial" w:cs="Arial"/>
                <w:sz w:val="24"/>
                <w:szCs w:val="24"/>
              </w:rPr>
              <w:t xml:space="preserve"> π</w:t>
            </w:r>
            <w:r w:rsidR="00F8547A" w:rsidRPr="007D3351">
              <w:rPr>
                <w:rFonts w:ascii="Arial" w:hAnsi="Arial" w:cs="Arial"/>
                <w:sz w:val="24"/>
                <w:szCs w:val="24"/>
              </w:rPr>
              <w:t>ρόσωπο το οποίο</w:t>
            </w:r>
            <w:r w:rsidR="00BF15C9" w:rsidRPr="00BF15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37C9" w:rsidRPr="007D3351" w14:paraId="0051062D" w14:textId="77777777" w:rsidTr="00C861E6">
        <w:tc>
          <w:tcPr>
            <w:tcW w:w="986" w:type="pct"/>
          </w:tcPr>
          <w:p w14:paraId="43F7290B" w14:textId="77777777" w:rsidR="00213614" w:rsidRPr="007D3351" w:rsidRDefault="00213614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7BEE656E" w14:textId="77777777" w:rsidR="00213614" w:rsidRPr="007D3351" w:rsidRDefault="0021361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pct"/>
            <w:gridSpan w:val="7"/>
          </w:tcPr>
          <w:p w14:paraId="03B63662" w14:textId="77777777" w:rsidR="00213614" w:rsidRPr="007D3351" w:rsidRDefault="0021361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7A3" w:rsidRPr="007D3351" w14:paraId="49C6E560" w14:textId="77777777" w:rsidTr="00C861E6">
        <w:tc>
          <w:tcPr>
            <w:tcW w:w="986" w:type="pct"/>
          </w:tcPr>
          <w:p w14:paraId="6901BCAE" w14:textId="77777777" w:rsidR="00213614" w:rsidRPr="007D3351" w:rsidRDefault="00213614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02B04EC9" w14:textId="77777777" w:rsidR="00213614" w:rsidRPr="007D3351" w:rsidRDefault="0021361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pct"/>
            <w:gridSpan w:val="3"/>
          </w:tcPr>
          <w:p w14:paraId="23652B53" w14:textId="6F10E13E" w:rsidR="00213614" w:rsidRPr="007D3351" w:rsidRDefault="00213614" w:rsidP="00707FB5">
            <w:pPr>
              <w:pStyle w:val="ListParagraph"/>
              <w:tabs>
                <w:tab w:val="left" w:pos="284"/>
                <w:tab w:val="left" w:pos="567"/>
                <w:tab w:val="left" w:pos="1124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(α)</w:t>
            </w:r>
          </w:p>
        </w:tc>
        <w:tc>
          <w:tcPr>
            <w:tcW w:w="2007" w:type="pct"/>
            <w:gridSpan w:val="4"/>
          </w:tcPr>
          <w:p w14:paraId="40CB13E4" w14:textId="5C53388F" w:rsidR="00213614" w:rsidRPr="007D3351" w:rsidRDefault="00BF15C9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="40972DBB" w:rsidRPr="007D3351">
              <w:rPr>
                <w:rFonts w:ascii="Arial" w:hAnsi="Arial" w:cs="Arial"/>
                <w:sz w:val="24"/>
                <w:szCs w:val="24"/>
              </w:rPr>
              <w:t>φαρμόζει</w:t>
            </w:r>
            <w:r w:rsidR="00DB4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EDE">
              <w:rPr>
                <w:rFonts w:ascii="Arial" w:hAnsi="Arial" w:cs="Arial"/>
                <w:sz w:val="24"/>
                <w:szCs w:val="24"/>
              </w:rPr>
              <w:t xml:space="preserve">πρακτική ή τεχνική </w:t>
            </w:r>
            <w:r w:rsidR="40972DBB" w:rsidRPr="007D3351">
              <w:rPr>
                <w:rFonts w:ascii="Arial" w:hAnsi="Arial" w:cs="Arial"/>
                <w:sz w:val="24"/>
                <w:szCs w:val="24"/>
              </w:rPr>
              <w:t xml:space="preserve">ή παρέχει υπηρεσία με σκοπό τη μεταβολή, καταστολή ή εξάλειψη του σεξουαλικού </w:t>
            </w:r>
            <w:r w:rsidR="005337C9" w:rsidRPr="007D3351">
              <w:rPr>
                <w:rFonts w:ascii="Arial" w:hAnsi="Arial" w:cs="Arial"/>
                <w:sz w:val="24"/>
                <w:szCs w:val="24"/>
              </w:rPr>
              <w:t xml:space="preserve">προσανατολισμού, της ταυτότητας φύλου ή της έκφρασης φύλου </w:t>
            </w:r>
            <w:r w:rsidR="40972DBB" w:rsidRPr="007D3351">
              <w:rPr>
                <w:rFonts w:ascii="Arial" w:hAnsi="Arial" w:cs="Arial"/>
                <w:sz w:val="24"/>
                <w:szCs w:val="24"/>
              </w:rPr>
              <w:t>άλλου προσώπου</w:t>
            </w:r>
            <w:r w:rsidR="00D07E67">
              <w:rPr>
                <w:rFonts w:ascii="Arial" w:hAnsi="Arial" w:cs="Arial"/>
                <w:sz w:val="24"/>
                <w:szCs w:val="24"/>
              </w:rPr>
              <w:t>,</w:t>
            </w:r>
            <w:r w:rsidR="40972DBB" w:rsidRPr="007D3351">
              <w:rPr>
                <w:rFonts w:ascii="Arial" w:hAnsi="Arial" w:cs="Arial"/>
                <w:sz w:val="24"/>
                <w:szCs w:val="24"/>
              </w:rPr>
              <w:t xml:space="preserve"> είναι ένοχο αδικήματος και, σε περίπτωση καταδίκης του, υπόκειται σε ποινή φυλάκισης που δεν υπερβαίνει τα δύο (2) έτη</w:t>
            </w:r>
            <w:r w:rsidR="00DB4FD8">
              <w:rPr>
                <w:rFonts w:ascii="Arial" w:hAnsi="Arial" w:cs="Arial"/>
                <w:sz w:val="24"/>
                <w:szCs w:val="24"/>
              </w:rPr>
              <w:t xml:space="preserve"> ή σε χρηματική ποινή που δεν υπερβαίνει τις πέντε χιλιάδες ευρώ (€5.000) ή και στις δύο αυτές ποινές</w:t>
            </w:r>
            <w:r w:rsidR="40972DBB" w:rsidRPr="007D33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337C9" w:rsidRPr="007D3351" w14:paraId="0D2B62F4" w14:textId="77777777" w:rsidTr="00C861E6">
        <w:tc>
          <w:tcPr>
            <w:tcW w:w="986" w:type="pct"/>
          </w:tcPr>
          <w:p w14:paraId="4F8362E1" w14:textId="77777777" w:rsidR="00213614" w:rsidRPr="007D3351" w:rsidRDefault="00213614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7E753085" w14:textId="77777777" w:rsidR="00213614" w:rsidRPr="007D3351" w:rsidRDefault="0021361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</w:tcPr>
          <w:p w14:paraId="70D355E6" w14:textId="77777777" w:rsidR="00213614" w:rsidRPr="007D3351" w:rsidRDefault="0021361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</w:tcPr>
          <w:p w14:paraId="769354DC" w14:textId="77777777" w:rsidR="00213614" w:rsidRPr="007D3351" w:rsidRDefault="0021361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7C9" w:rsidRPr="007D3351" w14:paraId="55F111EF" w14:textId="77777777" w:rsidTr="00C861E6">
        <w:tc>
          <w:tcPr>
            <w:tcW w:w="986" w:type="pct"/>
          </w:tcPr>
          <w:p w14:paraId="4FFF2D55" w14:textId="77777777" w:rsidR="00935DF7" w:rsidRPr="007D3351" w:rsidRDefault="00935DF7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0B7AFE68" w14:textId="77777777" w:rsidR="00935DF7" w:rsidRPr="007D3351" w:rsidRDefault="00935DF7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</w:tcPr>
          <w:p w14:paraId="087E9E2C" w14:textId="77777777" w:rsidR="00935DF7" w:rsidRPr="007D3351" w:rsidRDefault="00935DF7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</w:tcPr>
          <w:p w14:paraId="7C86AEE9" w14:textId="69231C05" w:rsidR="00935DF7" w:rsidRPr="007D3351" w:rsidRDefault="00935DF7" w:rsidP="00465900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65900">
              <w:rPr>
                <w:rFonts w:ascii="Arial" w:hAnsi="Arial" w:cs="Arial"/>
                <w:sz w:val="24"/>
                <w:szCs w:val="24"/>
              </w:rPr>
              <w:tab/>
            </w:r>
            <w:r w:rsidRPr="007D3351">
              <w:rPr>
                <w:rFonts w:ascii="Arial" w:hAnsi="Arial" w:cs="Arial"/>
                <w:sz w:val="24"/>
                <w:szCs w:val="24"/>
              </w:rPr>
              <w:t>Νοείται ότι,</w:t>
            </w:r>
            <w:r w:rsidR="00465900" w:rsidRPr="004659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σε περίπτωση </w:t>
            </w:r>
            <w:r w:rsidR="00DB4FD8">
              <w:rPr>
                <w:rFonts w:ascii="Arial" w:hAnsi="Arial" w:cs="Arial"/>
                <w:sz w:val="24"/>
                <w:szCs w:val="24"/>
              </w:rPr>
              <w:t xml:space="preserve">κατά την οποία η πρακτική ή η τεχνική εφαρμόζεται ή η υπηρεσία παρέχεται </w:t>
            </w:r>
            <w:r w:rsidRPr="007D3351">
              <w:rPr>
                <w:rFonts w:ascii="Arial" w:hAnsi="Arial" w:cs="Arial"/>
                <w:sz w:val="24"/>
                <w:szCs w:val="24"/>
              </w:rPr>
              <w:t>σε ανήλικο</w:t>
            </w:r>
            <w:r w:rsidR="00F16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DAF">
              <w:rPr>
                <w:rFonts w:ascii="Arial" w:hAnsi="Arial" w:cs="Arial"/>
                <w:sz w:val="24"/>
                <w:szCs w:val="24"/>
              </w:rPr>
              <w:t>πρόσωπο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 ή </w:t>
            </w:r>
            <w:r w:rsidR="00905DAF">
              <w:rPr>
                <w:rFonts w:ascii="Arial" w:hAnsi="Arial" w:cs="Arial"/>
                <w:sz w:val="24"/>
                <w:szCs w:val="24"/>
              </w:rPr>
              <w:t xml:space="preserve">σε 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πρόσωπο </w:t>
            </w:r>
            <w:r w:rsidR="00DB4FD8">
              <w:rPr>
                <w:rFonts w:ascii="Arial" w:hAnsi="Arial" w:cs="Arial"/>
                <w:sz w:val="24"/>
                <w:szCs w:val="24"/>
              </w:rPr>
              <w:t>το οποίο</w:t>
            </w:r>
            <w:r w:rsidR="00DB4FD8" w:rsidRPr="007D33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βρίσκεται σε ευάλωτη θέση </w:t>
            </w:r>
            <w:r w:rsidR="00716E1A" w:rsidRPr="007E3B5F">
              <w:rPr>
                <w:rFonts w:ascii="Arial" w:hAnsi="Arial" w:cs="Arial"/>
                <w:sz w:val="24"/>
                <w:szCs w:val="24"/>
              </w:rPr>
              <w:t xml:space="preserve">είτε </w:t>
            </w:r>
            <w:r w:rsidRPr="007E3B5F">
              <w:rPr>
                <w:rFonts w:ascii="Arial" w:hAnsi="Arial" w:cs="Arial"/>
                <w:sz w:val="24"/>
                <w:szCs w:val="24"/>
              </w:rPr>
              <w:t>λόγω ασθένειας, αναπηρίας</w:t>
            </w:r>
            <w:r w:rsidR="00716E1A" w:rsidRPr="007E3B5F">
              <w:rPr>
                <w:rFonts w:ascii="Arial" w:hAnsi="Arial" w:cs="Arial"/>
                <w:sz w:val="24"/>
                <w:szCs w:val="24"/>
              </w:rPr>
              <w:t xml:space="preserve"> ή</w:t>
            </w:r>
            <w:r w:rsidRPr="007E3B5F">
              <w:rPr>
                <w:rFonts w:ascii="Arial" w:hAnsi="Arial" w:cs="Arial"/>
                <w:sz w:val="24"/>
                <w:szCs w:val="24"/>
              </w:rPr>
              <w:t xml:space="preserve"> ψυχικής κατάστασης</w:t>
            </w:r>
            <w:r w:rsidR="00152ED5" w:rsidRPr="007E3B5F">
              <w:rPr>
                <w:rFonts w:ascii="Arial" w:hAnsi="Arial" w:cs="Arial"/>
                <w:sz w:val="24"/>
                <w:szCs w:val="24"/>
              </w:rPr>
              <w:t xml:space="preserve">, είτε λόγω της ύπαρξης </w:t>
            </w:r>
            <w:r w:rsidRPr="007E3B5F">
              <w:rPr>
                <w:rFonts w:ascii="Arial" w:hAnsi="Arial" w:cs="Arial"/>
                <w:sz w:val="24"/>
                <w:szCs w:val="24"/>
              </w:rPr>
              <w:t>σχέσης εξάρτησης ή επιρροής</w:t>
            </w:r>
            <w:r w:rsidR="006F6C89" w:rsidRPr="007E3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BA4" w:rsidRPr="005D67EB">
              <w:rPr>
                <w:rFonts w:ascii="Arial" w:hAnsi="Arial" w:cs="Arial"/>
                <w:sz w:val="24"/>
                <w:szCs w:val="24"/>
              </w:rPr>
              <w:t xml:space="preserve">με το πρόσωπο </w:t>
            </w:r>
            <w:r w:rsidR="00D07E67">
              <w:rPr>
                <w:rFonts w:ascii="Arial" w:hAnsi="Arial" w:cs="Arial"/>
                <w:sz w:val="24"/>
                <w:szCs w:val="24"/>
              </w:rPr>
              <w:t>το οποίο</w:t>
            </w:r>
            <w:r w:rsidR="00845BA4" w:rsidRPr="005D67EB">
              <w:rPr>
                <w:rFonts w:ascii="Arial" w:hAnsi="Arial" w:cs="Arial"/>
                <w:sz w:val="24"/>
                <w:szCs w:val="24"/>
              </w:rPr>
              <w:t xml:space="preserve"> εφαρμόζει την εν λόγω πρακτική ή τεχνική ή που παρέχει την</w:t>
            </w:r>
            <w:r w:rsidR="00152ED5" w:rsidRPr="005D67EB">
              <w:rPr>
                <w:rFonts w:ascii="Arial" w:hAnsi="Arial" w:cs="Arial"/>
                <w:sz w:val="24"/>
                <w:szCs w:val="24"/>
              </w:rPr>
              <w:t xml:space="preserve"> εν λόγω υπηρεσία</w:t>
            </w:r>
            <w:r w:rsidR="00F75DAA" w:rsidRPr="007E3B5F">
              <w:rPr>
                <w:rFonts w:ascii="Arial" w:hAnsi="Arial" w:cs="Arial"/>
                <w:sz w:val="24"/>
                <w:szCs w:val="24"/>
              </w:rPr>
              <w:t>,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 το Δικαστήριο δύναται να επιβάλλει ποινή φυλάκισης που δεν υπερβαίνει τα τρία (3)</w:t>
            </w:r>
            <w:r w:rsidR="00247052" w:rsidRPr="007D3351">
              <w:rPr>
                <w:rFonts w:ascii="Arial" w:hAnsi="Arial" w:cs="Arial"/>
                <w:sz w:val="24"/>
                <w:szCs w:val="24"/>
              </w:rPr>
              <w:t xml:space="preserve"> έτη</w:t>
            </w:r>
            <w:r w:rsidR="00DB4FD8">
              <w:rPr>
                <w:rFonts w:ascii="Arial" w:hAnsi="Arial" w:cs="Arial"/>
                <w:sz w:val="24"/>
                <w:szCs w:val="24"/>
              </w:rPr>
              <w:t xml:space="preserve"> ή χρηματική ποινή που δεν υπερβαίνει τις δέκα χιλιάδες ευρώ (€10.000) ή και τις δύο αυτές ποινές</w:t>
            </w:r>
            <w:r w:rsidR="00BC7B40">
              <w:rPr>
                <w:rFonts w:ascii="Arial" w:hAnsi="Arial" w:cs="Arial"/>
                <w:sz w:val="24"/>
                <w:szCs w:val="24"/>
              </w:rPr>
              <w:t>·</w:t>
            </w:r>
          </w:p>
        </w:tc>
      </w:tr>
      <w:tr w:rsidR="005337C9" w:rsidRPr="007D3351" w14:paraId="3AAAA034" w14:textId="77777777" w:rsidTr="00C861E6">
        <w:tc>
          <w:tcPr>
            <w:tcW w:w="986" w:type="pct"/>
          </w:tcPr>
          <w:p w14:paraId="140430DB" w14:textId="77777777" w:rsidR="00247052" w:rsidRPr="007D3351" w:rsidRDefault="00247052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7FD2F063" w14:textId="77777777" w:rsidR="00247052" w:rsidRPr="007D3351" w:rsidRDefault="00247052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</w:tcPr>
          <w:p w14:paraId="5A5CF3F5" w14:textId="77777777" w:rsidR="00247052" w:rsidRPr="007D3351" w:rsidRDefault="00247052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</w:tcPr>
          <w:p w14:paraId="3B07F0B8" w14:textId="77777777" w:rsidR="00247052" w:rsidRPr="007D3351" w:rsidRDefault="00247052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7C9" w:rsidRPr="007D3351" w14:paraId="37CB20D8" w14:textId="77777777" w:rsidTr="00C861E6">
        <w:tc>
          <w:tcPr>
            <w:tcW w:w="986" w:type="pct"/>
          </w:tcPr>
          <w:p w14:paraId="38227582" w14:textId="77777777" w:rsidR="00935DF7" w:rsidRPr="007D3351" w:rsidRDefault="00935DF7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1D02BE04" w14:textId="77777777" w:rsidR="00935DF7" w:rsidRPr="007D3351" w:rsidRDefault="00935DF7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</w:tcPr>
          <w:p w14:paraId="0D40655D" w14:textId="23E217AE" w:rsidR="00935DF7" w:rsidRPr="007D3351" w:rsidRDefault="00BB6ECC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2002" w:type="pct"/>
            <w:gridSpan w:val="3"/>
          </w:tcPr>
          <w:p w14:paraId="7A7D6651" w14:textId="7F526C87" w:rsidR="00935DF7" w:rsidRPr="007D3351" w:rsidRDefault="00935DF7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ασκεί νόμιμη κηδεμονία και παραπέμπει το κηδεμονευόμενο πρόσωπο σε</w:t>
            </w:r>
            <w:r w:rsidR="001D56FB" w:rsidRPr="007D33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πρακτική, </w:t>
            </w:r>
            <w:r w:rsidR="00977495">
              <w:rPr>
                <w:rFonts w:ascii="Arial" w:hAnsi="Arial" w:cs="Arial"/>
                <w:sz w:val="24"/>
                <w:szCs w:val="24"/>
              </w:rPr>
              <w:t>τεχνική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 ή υπηρεσία</w:t>
            </w:r>
            <w:r w:rsidR="00BC7B40">
              <w:rPr>
                <w:rFonts w:ascii="Arial" w:hAnsi="Arial" w:cs="Arial"/>
                <w:sz w:val="24"/>
                <w:szCs w:val="24"/>
              </w:rPr>
              <w:t>,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 με σκοπό τη μεταβολή, καταστολή ή εξάλειψη του σεξουαλικού </w:t>
            </w:r>
            <w:r w:rsidR="005337C9" w:rsidRPr="007D3351">
              <w:rPr>
                <w:rFonts w:ascii="Arial" w:hAnsi="Arial" w:cs="Arial"/>
                <w:sz w:val="24"/>
                <w:szCs w:val="24"/>
              </w:rPr>
              <w:t xml:space="preserve">προσανατολισμού, της ταυτότητας φύλου ή της έκφρασης φύλου </w:t>
            </w:r>
            <w:r w:rsidRPr="007D3351">
              <w:rPr>
                <w:rFonts w:ascii="Arial" w:hAnsi="Arial" w:cs="Arial"/>
                <w:sz w:val="24"/>
                <w:szCs w:val="24"/>
              </w:rPr>
              <w:t>του</w:t>
            </w:r>
            <w:r w:rsidR="00BC7B40">
              <w:rPr>
                <w:rFonts w:ascii="Arial" w:hAnsi="Arial" w:cs="Arial"/>
                <w:sz w:val="24"/>
                <w:szCs w:val="24"/>
              </w:rPr>
              <w:t>,</w:t>
            </w:r>
            <w:r w:rsidRPr="007D3351">
              <w:rPr>
                <w:rFonts w:ascii="Arial" w:hAnsi="Arial" w:cs="Arial"/>
                <w:sz w:val="24"/>
                <w:szCs w:val="24"/>
              </w:rPr>
              <w:t xml:space="preserve"> είναι ένοχο</w:t>
            </w:r>
            <w:r w:rsidR="005367A3" w:rsidRPr="005367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351">
              <w:rPr>
                <w:rFonts w:ascii="Arial" w:hAnsi="Arial" w:cs="Arial"/>
                <w:sz w:val="24"/>
                <w:szCs w:val="24"/>
              </w:rPr>
              <w:t>αδικήματος και, σε περίπτωση καταδίκης του, υπόκειται</w:t>
            </w:r>
            <w:r w:rsidR="005367A3" w:rsidRPr="005367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351">
              <w:rPr>
                <w:rFonts w:ascii="Arial" w:hAnsi="Arial" w:cs="Arial"/>
                <w:sz w:val="24"/>
                <w:szCs w:val="24"/>
              </w:rPr>
              <w:t>σε ποινή φυλάκισης που δεν υπερβαίνει τα τρία (3) έτη</w:t>
            </w:r>
            <w:r w:rsidR="00DB4FD8">
              <w:t xml:space="preserve"> </w:t>
            </w:r>
            <w:r w:rsidR="00DB4FD8" w:rsidRPr="00DB4FD8">
              <w:rPr>
                <w:rFonts w:ascii="Arial" w:hAnsi="Arial" w:cs="Arial"/>
                <w:sz w:val="24"/>
                <w:szCs w:val="24"/>
              </w:rPr>
              <w:t xml:space="preserve">ή σε χρηματική ποινή που δεν υπερβαίνει τις </w:t>
            </w:r>
            <w:r w:rsidR="00977495">
              <w:rPr>
                <w:rFonts w:ascii="Arial" w:hAnsi="Arial" w:cs="Arial"/>
                <w:sz w:val="24"/>
                <w:szCs w:val="24"/>
              </w:rPr>
              <w:t>δέκα</w:t>
            </w:r>
            <w:r w:rsidR="00DB4FD8" w:rsidRPr="00DB4FD8">
              <w:rPr>
                <w:rFonts w:ascii="Arial" w:hAnsi="Arial" w:cs="Arial"/>
                <w:sz w:val="24"/>
                <w:szCs w:val="24"/>
              </w:rPr>
              <w:t xml:space="preserve"> χιλιάδες ευρώ (€</w:t>
            </w:r>
            <w:r w:rsidR="00977495">
              <w:rPr>
                <w:rFonts w:ascii="Arial" w:hAnsi="Arial" w:cs="Arial"/>
                <w:sz w:val="24"/>
                <w:szCs w:val="24"/>
              </w:rPr>
              <w:t>10</w:t>
            </w:r>
            <w:r w:rsidR="00DB4FD8" w:rsidRPr="00DB4FD8">
              <w:rPr>
                <w:rFonts w:ascii="Arial" w:hAnsi="Arial" w:cs="Arial"/>
                <w:sz w:val="24"/>
                <w:szCs w:val="24"/>
              </w:rPr>
              <w:t>.000) ή και στις δύο αυτές ποινές</w:t>
            </w:r>
            <w:r w:rsidR="00977495">
              <w:rPr>
                <w:rFonts w:ascii="Arial" w:hAnsi="Arial" w:cs="Arial"/>
                <w:sz w:val="24"/>
                <w:szCs w:val="24"/>
              </w:rPr>
              <w:t>∙</w:t>
            </w:r>
            <w:r w:rsidR="001E333D">
              <w:rPr>
                <w:rFonts w:ascii="Arial" w:hAnsi="Arial" w:cs="Arial"/>
                <w:sz w:val="24"/>
                <w:szCs w:val="24"/>
              </w:rPr>
              <w:t xml:space="preserve"> ή</w:t>
            </w:r>
          </w:p>
        </w:tc>
      </w:tr>
      <w:tr w:rsidR="005337C9" w:rsidRPr="007D3351" w14:paraId="5268A8C2" w14:textId="77777777" w:rsidTr="00C861E6">
        <w:tc>
          <w:tcPr>
            <w:tcW w:w="986" w:type="pct"/>
          </w:tcPr>
          <w:p w14:paraId="708912CA" w14:textId="77777777" w:rsidR="00E95863" w:rsidRPr="007D3351" w:rsidRDefault="00E95863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55A2B057" w14:textId="77777777" w:rsidR="00E95863" w:rsidRPr="007D3351" w:rsidRDefault="00E9586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</w:tcPr>
          <w:p w14:paraId="5D53D53E" w14:textId="77777777" w:rsidR="00E95863" w:rsidRPr="007D3351" w:rsidRDefault="00E9586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3"/>
          </w:tcPr>
          <w:p w14:paraId="74288AFB" w14:textId="77777777" w:rsidR="00E95863" w:rsidRPr="007D3351" w:rsidRDefault="00E9586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7C9" w:rsidRPr="007D3351" w14:paraId="17A1EE6A" w14:textId="77777777" w:rsidTr="00C861E6">
        <w:tc>
          <w:tcPr>
            <w:tcW w:w="986" w:type="pct"/>
          </w:tcPr>
          <w:p w14:paraId="6B29D848" w14:textId="77777777" w:rsidR="00E95863" w:rsidRPr="007D3351" w:rsidRDefault="00E95863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3F5B3579" w14:textId="77777777" w:rsidR="00E95863" w:rsidRPr="007D3351" w:rsidRDefault="00E9586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</w:tcPr>
          <w:p w14:paraId="291F2B6A" w14:textId="0E78728D" w:rsidR="00E95863" w:rsidRPr="007D3351" w:rsidRDefault="00E95863" w:rsidP="00F66225">
            <w:pPr>
              <w:pStyle w:val="ListParagraph"/>
              <w:tabs>
                <w:tab w:val="left" w:pos="284"/>
                <w:tab w:val="left" w:pos="567"/>
                <w:tab w:val="left" w:pos="1134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351">
              <w:rPr>
                <w:rFonts w:ascii="Arial" w:hAnsi="Arial" w:cs="Arial"/>
                <w:sz w:val="24"/>
                <w:szCs w:val="24"/>
              </w:rPr>
              <w:t>(γ)</w:t>
            </w:r>
          </w:p>
        </w:tc>
        <w:tc>
          <w:tcPr>
            <w:tcW w:w="2002" w:type="pct"/>
            <w:gridSpan w:val="3"/>
          </w:tcPr>
          <w:p w14:paraId="2BD14DC9" w14:textId="11E4793C" w:rsidR="00E95863" w:rsidRPr="007D3351" w:rsidRDefault="00D5243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αναγγέλλει ή διαφημίζει, έστω και συγκ</w:t>
            </w:r>
            <w:r w:rsidR="00DD4C8B">
              <w:rPr>
                <w:rFonts w:ascii="Arial" w:hAnsi="Arial" w:cs="Arial"/>
                <w:sz w:val="24"/>
                <w:szCs w:val="24"/>
              </w:rPr>
              <w:t>εκ</w:t>
            </w:r>
            <w:r>
              <w:rPr>
                <w:rFonts w:ascii="Arial" w:hAnsi="Arial" w:cs="Arial"/>
                <w:sz w:val="24"/>
                <w:szCs w:val="24"/>
              </w:rPr>
              <w:t xml:space="preserve">αλυμμένα, </w:t>
            </w:r>
            <w:r w:rsidR="007E3B5F" w:rsidRPr="005D67EB">
              <w:rPr>
                <w:rFonts w:ascii="Arial" w:hAnsi="Arial" w:cs="Arial"/>
                <w:sz w:val="24"/>
                <w:szCs w:val="24"/>
              </w:rPr>
              <w:t>με οποιονδήποτε τρόπο</w:t>
            </w:r>
            <w:r w:rsidR="00C075B5">
              <w:rPr>
                <w:rFonts w:ascii="Arial" w:hAnsi="Arial" w:cs="Arial"/>
                <w:sz w:val="24"/>
                <w:szCs w:val="24"/>
              </w:rPr>
              <w:t>,</w:t>
            </w:r>
            <w:r w:rsidR="007E3B5F" w:rsidRPr="005D6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47A" w:rsidRPr="007D3351">
              <w:rPr>
                <w:rFonts w:ascii="Arial" w:hAnsi="Arial" w:cs="Arial"/>
                <w:sz w:val="24"/>
                <w:szCs w:val="24"/>
              </w:rPr>
              <w:t xml:space="preserve">πρακτική, </w:t>
            </w:r>
            <w:r w:rsidR="00977495">
              <w:rPr>
                <w:rFonts w:ascii="Arial" w:hAnsi="Arial" w:cs="Arial"/>
                <w:sz w:val="24"/>
                <w:szCs w:val="24"/>
              </w:rPr>
              <w:t xml:space="preserve">τεχνική </w:t>
            </w:r>
            <w:r w:rsidR="00F8547A" w:rsidRPr="007D3351">
              <w:rPr>
                <w:rFonts w:ascii="Arial" w:hAnsi="Arial" w:cs="Arial"/>
                <w:sz w:val="24"/>
                <w:szCs w:val="24"/>
              </w:rPr>
              <w:t>ή υπηρεσία</w:t>
            </w:r>
            <w:r>
              <w:rPr>
                <w:rFonts w:ascii="Arial" w:hAnsi="Arial" w:cs="Arial"/>
                <w:sz w:val="24"/>
                <w:szCs w:val="24"/>
              </w:rPr>
              <w:t>, η οποία</w:t>
            </w:r>
            <w:r w:rsidR="00F8547A" w:rsidRPr="007D33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8B">
              <w:rPr>
                <w:rFonts w:ascii="Arial" w:hAnsi="Arial" w:cs="Arial"/>
                <w:sz w:val="24"/>
                <w:szCs w:val="24"/>
              </w:rPr>
              <w:t>αποσκοπεί</w:t>
            </w:r>
            <w:r w:rsidR="00F8547A" w:rsidRPr="007D3351">
              <w:rPr>
                <w:rFonts w:ascii="Arial" w:hAnsi="Arial" w:cs="Arial"/>
                <w:sz w:val="24"/>
                <w:szCs w:val="24"/>
              </w:rPr>
              <w:t xml:space="preserve"> στη μεταβολή, καταστολή ή εξάλειψη του σεξουαλικού προσανατολισμού, της ταυτότητας φύλου ή της έκφρασης φύλου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8547A" w:rsidRPr="007D3351">
              <w:rPr>
                <w:rFonts w:ascii="Arial" w:hAnsi="Arial" w:cs="Arial"/>
                <w:sz w:val="24"/>
                <w:szCs w:val="24"/>
              </w:rPr>
              <w:t xml:space="preserve"> είναι ένοχο αδικήματος και, σε περίπτωση καταδίκης του, υπόκειται σε ποινή φυλάκισης που δεν υπερβαίνει τα δύο (2) έτη</w:t>
            </w:r>
            <w:r w:rsidR="00977495">
              <w:t xml:space="preserve"> </w:t>
            </w:r>
            <w:r w:rsidR="00977495" w:rsidRPr="00977495">
              <w:rPr>
                <w:rFonts w:ascii="Arial" w:hAnsi="Arial" w:cs="Arial"/>
                <w:sz w:val="24"/>
                <w:szCs w:val="24"/>
              </w:rPr>
              <w:t>ή σε χρηματική ποινή που δεν υπερβαίνει τις πέντε χιλιάδες ευρώ (€5.000) ή και στις δύο αυτές ποινές</w:t>
            </w:r>
            <w:r w:rsidR="00F8547A" w:rsidRPr="007D33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37C9" w:rsidRPr="007D3351" w14:paraId="73CA5912" w14:textId="77777777" w:rsidTr="00C861E6">
        <w:tc>
          <w:tcPr>
            <w:tcW w:w="986" w:type="pct"/>
          </w:tcPr>
          <w:p w14:paraId="767F3931" w14:textId="77777777" w:rsidR="00AA03B5" w:rsidRPr="007D3351" w:rsidRDefault="00AA03B5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gridSpan w:val="2"/>
          </w:tcPr>
          <w:p w14:paraId="172A1EF1" w14:textId="3D5883E7" w:rsidR="00AA03B5" w:rsidRPr="007D3351" w:rsidRDefault="00AA03B5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pct"/>
            <w:gridSpan w:val="7"/>
          </w:tcPr>
          <w:p w14:paraId="09C20870" w14:textId="4424F436" w:rsidR="00AA03B5" w:rsidRPr="007D3351" w:rsidRDefault="00AA03B5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CD3" w:rsidRPr="007D3351" w14:paraId="67C8239A" w14:textId="77777777" w:rsidTr="00FD3A35">
        <w:tc>
          <w:tcPr>
            <w:tcW w:w="986" w:type="pct"/>
          </w:tcPr>
          <w:p w14:paraId="78627043" w14:textId="77777777" w:rsidR="00830CD3" w:rsidRPr="007D3351" w:rsidRDefault="00830CD3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pct"/>
          </w:tcPr>
          <w:p w14:paraId="371FE2DE" w14:textId="77777777" w:rsidR="00830CD3" w:rsidRPr="007D3351" w:rsidRDefault="00830CD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14:paraId="7379A6E8" w14:textId="35527359" w:rsidR="00830CD3" w:rsidRPr="007D3351" w:rsidRDefault="00830CD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14:paraId="07806078" w14:textId="77324F37" w:rsidR="00830CD3" w:rsidRPr="007D3351" w:rsidRDefault="00830CD3" w:rsidP="00830CD3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(2)(α)</w:t>
            </w:r>
          </w:p>
        </w:tc>
        <w:tc>
          <w:tcPr>
            <w:tcW w:w="2007" w:type="pct"/>
            <w:gridSpan w:val="4"/>
          </w:tcPr>
          <w:p w14:paraId="1D051A21" w14:textId="3B893462" w:rsidR="00830CD3" w:rsidRPr="007D3351" w:rsidRDefault="00830CD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Ανεξαρτήτως των διατάξεων του εδαφίου (1)- </w:t>
            </w:r>
          </w:p>
        </w:tc>
      </w:tr>
      <w:tr w:rsidR="0081658D" w:rsidRPr="007D3351" w14:paraId="4151AB50" w14:textId="77777777" w:rsidTr="00C861E6">
        <w:tc>
          <w:tcPr>
            <w:tcW w:w="986" w:type="pct"/>
          </w:tcPr>
          <w:p w14:paraId="1CD39A46" w14:textId="77777777" w:rsidR="0081658D" w:rsidRPr="007D3351" w:rsidRDefault="0081658D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7CD240F3" w14:textId="77777777" w:rsidR="0081658D" w:rsidRPr="007D3351" w:rsidRDefault="0081658D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14:paraId="29129C18" w14:textId="77777777" w:rsidR="0081658D" w:rsidRDefault="0081658D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  <w:gridSpan w:val="4"/>
          </w:tcPr>
          <w:p w14:paraId="49FB1B43" w14:textId="77777777" w:rsidR="0081658D" w:rsidRDefault="0081658D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E6" w:rsidRPr="007D3351" w14:paraId="0BBA2B3A" w14:textId="77777777" w:rsidTr="00C861E6">
        <w:tc>
          <w:tcPr>
            <w:tcW w:w="986" w:type="pct"/>
          </w:tcPr>
          <w:p w14:paraId="242FBC3E" w14:textId="77777777" w:rsidR="0081658D" w:rsidRPr="007D3351" w:rsidRDefault="0081658D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56555ADB" w14:textId="77777777" w:rsidR="0081658D" w:rsidRPr="007D3351" w:rsidRDefault="0081658D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14:paraId="238B7693" w14:textId="77777777" w:rsidR="0081658D" w:rsidRDefault="0081658D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14:paraId="074B7634" w14:textId="0AE6A904" w:rsidR="0081658D" w:rsidRPr="0081658D" w:rsidRDefault="0081658D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33" w:type="pct"/>
          </w:tcPr>
          <w:p w14:paraId="3850B846" w14:textId="7289EFE9" w:rsidR="0081658D" w:rsidRDefault="0081658D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Pr="00382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58D">
              <w:rPr>
                <w:rFonts w:ascii="Arial" w:hAnsi="Arial" w:cs="Arial"/>
                <w:sz w:val="24"/>
                <w:szCs w:val="24"/>
              </w:rPr>
              <w:t xml:space="preserve">παροχή συμβουλευτικών, ψυχολογικών </w:t>
            </w:r>
            <w:r w:rsidR="00D05F80">
              <w:rPr>
                <w:rFonts w:ascii="Arial" w:hAnsi="Arial" w:cs="Arial"/>
                <w:sz w:val="24"/>
                <w:szCs w:val="24"/>
              </w:rPr>
              <w:t>ή</w:t>
            </w:r>
            <w:r w:rsidRPr="0081658D">
              <w:rPr>
                <w:rFonts w:ascii="Arial" w:hAnsi="Arial" w:cs="Arial"/>
                <w:sz w:val="24"/>
                <w:szCs w:val="24"/>
              </w:rPr>
              <w:t xml:space="preserve"> ιατρικών υπηρεσιών </w:t>
            </w:r>
            <w:r>
              <w:rPr>
                <w:rFonts w:ascii="Arial" w:hAnsi="Arial" w:cs="Arial"/>
                <w:sz w:val="24"/>
                <w:szCs w:val="24"/>
              </w:rPr>
              <w:t>οι οποίες</w:t>
            </w:r>
            <w:r w:rsidRPr="0081658D">
              <w:rPr>
                <w:rFonts w:ascii="Arial" w:hAnsi="Arial" w:cs="Arial"/>
                <w:sz w:val="24"/>
                <w:szCs w:val="24"/>
              </w:rPr>
              <w:t xml:space="preserve"> αφορούν στη διερεύνηση, ελεύθερη ανάπτυξη ή/και επιβεβαίωση του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58D">
              <w:rPr>
                <w:rFonts w:ascii="Arial" w:hAnsi="Arial" w:cs="Arial"/>
                <w:sz w:val="24"/>
                <w:szCs w:val="24"/>
              </w:rPr>
              <w:t>σεξουαλικού προσανατολισμού, της ταυτότητας φύλου ή της έκφρασης φύλου προσώπου</w:t>
            </w:r>
            <w:r w:rsidR="00221594">
              <w:rPr>
                <w:rFonts w:ascii="Arial" w:hAnsi="Arial" w:cs="Arial"/>
                <w:sz w:val="24"/>
                <w:szCs w:val="24"/>
              </w:rPr>
              <w:t xml:space="preserve">∙ </w:t>
            </w:r>
            <w:r w:rsidR="00D05F80">
              <w:rPr>
                <w:rFonts w:ascii="Arial" w:hAnsi="Arial" w:cs="Arial"/>
                <w:sz w:val="24"/>
                <w:szCs w:val="24"/>
              </w:rPr>
              <w:t>ή</w:t>
            </w:r>
          </w:p>
        </w:tc>
      </w:tr>
      <w:tr w:rsidR="00C861E6" w:rsidRPr="007D3351" w14:paraId="126EF888" w14:textId="77777777" w:rsidTr="00C861E6">
        <w:tc>
          <w:tcPr>
            <w:tcW w:w="986" w:type="pct"/>
          </w:tcPr>
          <w:p w14:paraId="5DE21CF8" w14:textId="77777777" w:rsidR="00221594" w:rsidRPr="007D3351" w:rsidRDefault="00221594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467E47D6" w14:textId="77777777" w:rsidR="00221594" w:rsidRPr="007D3351" w:rsidRDefault="0022159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7596AC3D" w14:textId="77777777" w:rsidR="00221594" w:rsidRDefault="0022159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05A95A6" w14:textId="2C143B18" w:rsidR="00221594" w:rsidRPr="00221594" w:rsidRDefault="0022159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3" w:type="pct"/>
          </w:tcPr>
          <w:p w14:paraId="1E2BD3F4" w14:textId="6710352D" w:rsidR="00221594" w:rsidRDefault="00221594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94">
              <w:rPr>
                <w:rFonts w:ascii="Arial" w:hAnsi="Arial" w:cs="Arial"/>
                <w:sz w:val="24"/>
                <w:szCs w:val="24"/>
              </w:rPr>
              <w:t xml:space="preserve">η παροχή επιστημονικά καθιερωμένων κλινικών πράξεων από εξειδικευμένους επαγγελματίες υγείας, </w:t>
            </w:r>
            <w:r w:rsidR="00AD2871">
              <w:rPr>
                <w:rFonts w:ascii="Arial" w:hAnsi="Arial" w:cs="Arial"/>
                <w:sz w:val="24"/>
                <w:szCs w:val="24"/>
              </w:rPr>
              <w:t xml:space="preserve">εφόσον </w:t>
            </w:r>
            <w:r>
              <w:rPr>
                <w:rFonts w:ascii="Arial" w:hAnsi="Arial" w:cs="Arial"/>
                <w:sz w:val="24"/>
                <w:szCs w:val="24"/>
              </w:rPr>
              <w:t>αυτές</w:t>
            </w:r>
            <w:r w:rsidRPr="00221594">
              <w:rPr>
                <w:rFonts w:ascii="Arial" w:hAnsi="Arial" w:cs="Arial"/>
                <w:sz w:val="24"/>
                <w:szCs w:val="24"/>
              </w:rPr>
              <w:t xml:space="preserve"> εφαρμόζονται για την αντιμετώπιση καταστάσεων σχετικών με τη σεξουαλική υγεία προσώπου, </w:t>
            </w:r>
            <w:r>
              <w:rPr>
                <w:rFonts w:ascii="Arial" w:hAnsi="Arial" w:cs="Arial"/>
                <w:sz w:val="24"/>
                <w:szCs w:val="24"/>
              </w:rPr>
              <w:t>όπως αυτές</w:t>
            </w:r>
            <w:r w:rsidRPr="00221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95E">
              <w:rPr>
                <w:rFonts w:ascii="Arial" w:hAnsi="Arial" w:cs="Arial"/>
                <w:sz w:val="24"/>
                <w:szCs w:val="24"/>
              </w:rPr>
              <w:t xml:space="preserve">καθορίζονται </w:t>
            </w:r>
            <w:r w:rsidR="007A6E21" w:rsidRPr="005D67EB">
              <w:rPr>
                <w:rFonts w:ascii="Arial" w:hAnsi="Arial" w:cs="Arial"/>
                <w:sz w:val="24"/>
                <w:szCs w:val="24"/>
              </w:rPr>
              <w:t>σ</w:t>
            </w:r>
            <w:r w:rsidR="00ED495E" w:rsidRPr="005D67EB">
              <w:rPr>
                <w:rFonts w:ascii="Arial" w:hAnsi="Arial" w:cs="Arial"/>
                <w:sz w:val="24"/>
                <w:szCs w:val="24"/>
              </w:rPr>
              <w:t>τη Διεθνή Στατιστική Ταξινόμηση Νοσημάτων και Συναφών Προβλημάτων Υγείας</w:t>
            </w:r>
            <w:r w:rsidR="00ED4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594">
              <w:rPr>
                <w:rFonts w:ascii="Arial" w:hAnsi="Arial" w:cs="Arial"/>
                <w:sz w:val="24"/>
                <w:szCs w:val="24"/>
              </w:rPr>
              <w:t xml:space="preserve"> του Παγκόσμιου Οργανισμού Υγείας</w:t>
            </w:r>
            <w:r w:rsidR="00EC25B3">
              <w:rPr>
                <w:rFonts w:ascii="Arial" w:hAnsi="Arial" w:cs="Arial"/>
                <w:sz w:val="24"/>
                <w:szCs w:val="24"/>
              </w:rPr>
              <w:t>∙</w:t>
            </w:r>
            <w:r w:rsidRPr="002215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36C6" w:rsidRPr="007D3351" w14:paraId="2B3B4B28" w14:textId="77777777" w:rsidTr="00C861E6">
        <w:tc>
          <w:tcPr>
            <w:tcW w:w="986" w:type="pct"/>
          </w:tcPr>
          <w:p w14:paraId="67814F2D" w14:textId="77777777" w:rsidR="00E636C6" w:rsidRPr="007D3351" w:rsidRDefault="00E636C6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66C760C4" w14:textId="77777777" w:rsidR="00E636C6" w:rsidRPr="007D3351" w:rsidRDefault="00E636C6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09D81CDE" w14:textId="77777777" w:rsidR="00E636C6" w:rsidRDefault="00E636C6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pct"/>
            <w:gridSpan w:val="5"/>
          </w:tcPr>
          <w:p w14:paraId="79396DEE" w14:textId="77777777" w:rsidR="00E636C6" w:rsidRDefault="00E636C6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5B3" w:rsidRPr="007D3351" w14:paraId="46BEA0C2" w14:textId="77777777" w:rsidTr="00C861E6">
        <w:tc>
          <w:tcPr>
            <w:tcW w:w="986" w:type="pct"/>
          </w:tcPr>
          <w:p w14:paraId="1690194E" w14:textId="77777777" w:rsidR="00EC25B3" w:rsidRPr="007D3351" w:rsidRDefault="00EC25B3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31277D89" w14:textId="77777777" w:rsidR="00EC25B3" w:rsidRPr="007D3351" w:rsidRDefault="00EC25B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5307AD16" w14:textId="77777777" w:rsidR="00EC25B3" w:rsidRDefault="00EC25B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pct"/>
            <w:gridSpan w:val="5"/>
          </w:tcPr>
          <w:p w14:paraId="458CD470" w14:textId="55FF17EE" w:rsidR="00EC25B3" w:rsidRDefault="00EC25B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δεν συνιστούν αδίκημα, υπό την προϋπόθεση ότι οι </w:t>
            </w:r>
            <w:r w:rsidR="00802BD3">
              <w:rPr>
                <w:rFonts w:ascii="Arial" w:hAnsi="Arial" w:cs="Arial"/>
                <w:sz w:val="24"/>
                <w:szCs w:val="24"/>
              </w:rPr>
              <w:t>ως άνω προβλεπόμενες</w:t>
            </w:r>
            <w:r>
              <w:rPr>
                <w:rFonts w:ascii="Arial" w:hAnsi="Arial" w:cs="Arial"/>
                <w:sz w:val="24"/>
                <w:szCs w:val="24"/>
              </w:rPr>
              <w:t xml:space="preserve"> ενέργειες </w:t>
            </w:r>
            <w:r w:rsidRPr="00EC25B3">
              <w:rPr>
                <w:rFonts w:ascii="Arial" w:hAnsi="Arial" w:cs="Arial"/>
                <w:sz w:val="24"/>
                <w:szCs w:val="24"/>
              </w:rPr>
              <w:t xml:space="preserve">δεν επιδιώκουν τη μεταβολή, καταστολή ή εξάλειψη του αυτοπροσδιορισμού </w:t>
            </w:r>
            <w:r w:rsidR="00802BD3">
              <w:rPr>
                <w:rFonts w:ascii="Arial" w:hAnsi="Arial" w:cs="Arial"/>
                <w:sz w:val="24"/>
                <w:szCs w:val="24"/>
              </w:rPr>
              <w:t xml:space="preserve">του εν λόγω </w:t>
            </w:r>
            <w:r>
              <w:rPr>
                <w:rFonts w:ascii="Arial" w:hAnsi="Arial" w:cs="Arial"/>
                <w:sz w:val="24"/>
                <w:szCs w:val="24"/>
              </w:rPr>
              <w:t>προσώπου.</w:t>
            </w:r>
          </w:p>
        </w:tc>
      </w:tr>
      <w:tr w:rsidR="00802BD3" w:rsidRPr="007D3351" w14:paraId="3ECD8B11" w14:textId="77777777" w:rsidTr="00C861E6">
        <w:tc>
          <w:tcPr>
            <w:tcW w:w="986" w:type="pct"/>
          </w:tcPr>
          <w:p w14:paraId="3BB8520C" w14:textId="77777777" w:rsidR="00802BD3" w:rsidRPr="007D3351" w:rsidRDefault="00802BD3" w:rsidP="007D33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29306CAE" w14:textId="77777777" w:rsidR="00802BD3" w:rsidRPr="007D3351" w:rsidRDefault="00802BD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41C60C47" w14:textId="77777777" w:rsidR="00802BD3" w:rsidRDefault="00802BD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pct"/>
            <w:gridSpan w:val="5"/>
          </w:tcPr>
          <w:p w14:paraId="65D1DB0E" w14:textId="77777777" w:rsidR="00802BD3" w:rsidRDefault="00802BD3" w:rsidP="007D335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BD3" w:rsidRPr="00F86C53" w:rsidDel="0079229F" w14:paraId="3A4756D2" w14:textId="77777777" w:rsidTr="00C861E6">
        <w:tc>
          <w:tcPr>
            <w:tcW w:w="986" w:type="pct"/>
          </w:tcPr>
          <w:p w14:paraId="25EDEE4F" w14:textId="77777777" w:rsidR="00802BD3" w:rsidRPr="007D3351" w:rsidRDefault="00802BD3" w:rsidP="00A163CA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33DC2484" w14:textId="77777777" w:rsidR="00802BD3" w:rsidRPr="007D3351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1F71B14C" w14:textId="77777777" w:rsidR="00802BD3" w:rsidRDefault="00802BD3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2016" w:type="pct"/>
            <w:gridSpan w:val="5"/>
          </w:tcPr>
          <w:p w14:paraId="67AB862D" w14:textId="7283B975" w:rsidR="00802BD3" w:rsidRPr="00F86C53" w:rsidDel="0079229F" w:rsidRDefault="00802BD3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Για τους σκοπούς του παρόντος </w:t>
            </w:r>
            <w:r w:rsidR="00837B45">
              <w:rPr>
                <w:rFonts w:ascii="Arial" w:hAnsi="Arial" w:cs="Arial"/>
                <w:sz w:val="24"/>
                <w:szCs w:val="24"/>
              </w:rPr>
              <w:t>εδαφίου,</w:t>
            </w:r>
            <w:r>
              <w:rPr>
                <w:rFonts w:ascii="Arial" w:hAnsi="Arial" w:cs="Arial"/>
                <w:sz w:val="24"/>
                <w:szCs w:val="24"/>
              </w:rPr>
              <w:t xml:space="preserve"> ο όρος </w:t>
            </w:r>
            <w:r w:rsidRPr="00CF431C">
              <w:rPr>
                <w:rFonts w:ascii="Arial" w:hAnsi="Arial" w:cs="Arial"/>
                <w:sz w:val="24"/>
                <w:szCs w:val="24"/>
              </w:rPr>
              <w:t>“</w:t>
            </w:r>
            <w:r w:rsidR="00837B45">
              <w:rPr>
                <w:rFonts w:ascii="Arial" w:hAnsi="Arial" w:cs="Arial"/>
                <w:sz w:val="24"/>
                <w:szCs w:val="24"/>
              </w:rPr>
              <w:t xml:space="preserve">εξειδικευμένος </w:t>
            </w:r>
            <w:r>
              <w:rPr>
                <w:rFonts w:ascii="Arial" w:hAnsi="Arial" w:cs="Arial"/>
                <w:sz w:val="24"/>
                <w:szCs w:val="24"/>
              </w:rPr>
              <w:t>επαγγελματίας υγείας</w:t>
            </w:r>
            <w:r w:rsidRPr="00CF431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περιλαμβάνει-</w:t>
            </w:r>
          </w:p>
        </w:tc>
      </w:tr>
      <w:tr w:rsidR="003439C6" w:rsidRPr="00F86C53" w:rsidDel="0079229F" w14:paraId="3EEB9FF4" w14:textId="77777777" w:rsidTr="00FD3A35">
        <w:tc>
          <w:tcPr>
            <w:tcW w:w="986" w:type="pct"/>
          </w:tcPr>
          <w:p w14:paraId="1C7B4640" w14:textId="77777777" w:rsidR="003439C6" w:rsidRPr="007D3351" w:rsidRDefault="003439C6" w:rsidP="00A163CA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4042BBF3" w14:textId="77777777" w:rsidR="003439C6" w:rsidRPr="007D3351" w:rsidRDefault="003439C6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14:paraId="5B3123AE" w14:textId="77777777" w:rsidR="003439C6" w:rsidRDefault="003439C6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  <w:gridSpan w:val="4"/>
          </w:tcPr>
          <w:p w14:paraId="0732B237" w14:textId="77777777" w:rsidR="003439C6" w:rsidRDefault="003439C6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BD3" w14:paraId="621CF26C" w14:textId="77777777" w:rsidTr="00FD3A35">
        <w:tc>
          <w:tcPr>
            <w:tcW w:w="986" w:type="pct"/>
          </w:tcPr>
          <w:p w14:paraId="5DDA9466" w14:textId="77777777" w:rsidR="00802BD3" w:rsidRPr="007D3351" w:rsidRDefault="00802BD3" w:rsidP="00A163CA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257BEC4A" w14:textId="77777777" w:rsidR="00802BD3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24A78E" w14:textId="77777777" w:rsidR="00802BD3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F3CAFCC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Κεφ. 250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134AC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30 του 1959</w:t>
            </w:r>
          </w:p>
          <w:p w14:paraId="38BE8539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30 του 1961</w:t>
            </w:r>
          </w:p>
          <w:p w14:paraId="0009B447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53 του 1961</w:t>
            </w:r>
          </w:p>
          <w:p w14:paraId="0F55AFBC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79 του 1968</w:t>
            </w:r>
          </w:p>
          <w:p w14:paraId="65436BA7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114 του 1968</w:t>
            </w:r>
          </w:p>
          <w:p w14:paraId="6685E18B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14 του 1974</w:t>
            </w:r>
          </w:p>
          <w:p w14:paraId="392A6D22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18 του 1979</w:t>
            </w:r>
          </w:p>
          <w:p w14:paraId="2BA990D0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72 του 1991</w:t>
            </w:r>
          </w:p>
          <w:p w14:paraId="23253EC6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66(Ι) του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D6B">
              <w:rPr>
                <w:rFonts w:ascii="Arial" w:hAnsi="Arial" w:cs="Arial"/>
                <w:sz w:val="24"/>
                <w:szCs w:val="24"/>
              </w:rPr>
              <w:t>1995</w:t>
            </w:r>
          </w:p>
          <w:p w14:paraId="66E60925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112(Ι) του 1996</w:t>
            </w:r>
          </w:p>
          <w:p w14:paraId="21F9BAC4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102(Ι) του 2004</w:t>
            </w:r>
          </w:p>
          <w:p w14:paraId="047EC161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24 (Ι) του 2009</w:t>
            </w:r>
          </w:p>
          <w:p w14:paraId="0DCD675B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162(Ι) του 2011</w:t>
            </w:r>
          </w:p>
          <w:p w14:paraId="1C02BB9E" w14:textId="77777777" w:rsidR="00802BD3" w:rsidRPr="00DD1D6B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73 (Ι) του 2013</w:t>
            </w:r>
          </w:p>
          <w:p w14:paraId="2FE460A9" w14:textId="77777777" w:rsidR="00802BD3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D6B">
              <w:rPr>
                <w:rFonts w:ascii="Arial" w:hAnsi="Arial" w:cs="Arial"/>
                <w:sz w:val="24"/>
                <w:szCs w:val="24"/>
              </w:rPr>
              <w:t>171(Ι) του 2013</w:t>
            </w:r>
          </w:p>
          <w:p w14:paraId="675CF913" w14:textId="77777777" w:rsidR="00802BD3" w:rsidRPr="007D3351" w:rsidRDefault="00802BD3" w:rsidP="00FD3A3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 w:right="-55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125(Ι) του 2017.</w:t>
            </w:r>
          </w:p>
        </w:tc>
        <w:tc>
          <w:tcPr>
            <w:tcW w:w="561" w:type="pct"/>
            <w:gridSpan w:val="2"/>
          </w:tcPr>
          <w:p w14:paraId="74CC4B41" w14:textId="77777777" w:rsidR="00802BD3" w:rsidRDefault="00802BD3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14:paraId="5C6FF865" w14:textId="77777777" w:rsidR="00802BD3" w:rsidRPr="00CF431C" w:rsidRDefault="00802BD3" w:rsidP="001E5D13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91" w:hanging="91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36" w:type="pct"/>
            <w:gridSpan w:val="2"/>
          </w:tcPr>
          <w:p w14:paraId="4E99173A" w14:textId="456ACFBB" w:rsidR="00802BD3" w:rsidRDefault="00802BD3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ιατρό εγγεγραμμένο στο Ιατρικό Μητρώο, σύμφωνα με τις διατάξεις του περί Εγγραφής Ιατρών Νόμου∙ </w:t>
            </w:r>
            <w:r w:rsidR="00CF05E2">
              <w:rPr>
                <w:rFonts w:ascii="Arial" w:hAnsi="Arial" w:cs="Arial"/>
                <w:sz w:val="24"/>
                <w:szCs w:val="24"/>
              </w:rPr>
              <w:t>και</w:t>
            </w:r>
          </w:p>
        </w:tc>
      </w:tr>
      <w:tr w:rsidR="00C861E6" w14:paraId="288B6568" w14:textId="77777777" w:rsidTr="00C861E6">
        <w:tc>
          <w:tcPr>
            <w:tcW w:w="986" w:type="pct"/>
          </w:tcPr>
          <w:p w14:paraId="0B8CF7B9" w14:textId="77777777" w:rsidR="00802BD3" w:rsidRPr="007D3351" w:rsidRDefault="00802BD3" w:rsidP="00A163CA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gridSpan w:val="3"/>
          </w:tcPr>
          <w:p w14:paraId="3A08298F" w14:textId="77777777" w:rsidR="00802BD3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662F1303" w14:textId="77777777" w:rsidR="00802BD3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2A82FDD2" w14:textId="77777777" w:rsidR="006C3C5E" w:rsidRDefault="006C3C5E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13078F17" w14:textId="77777777" w:rsidR="00802BD3" w:rsidRPr="00D71A17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A17">
              <w:rPr>
                <w:rFonts w:ascii="Arial" w:hAnsi="Arial" w:cs="Arial"/>
                <w:sz w:val="24"/>
                <w:szCs w:val="24"/>
              </w:rPr>
              <w:t>68(Ι) του 1995</w:t>
            </w:r>
          </w:p>
          <w:p w14:paraId="240925CC" w14:textId="77777777" w:rsidR="00802BD3" w:rsidRPr="00D71A17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A17">
              <w:rPr>
                <w:rFonts w:ascii="Arial" w:hAnsi="Arial" w:cs="Arial"/>
                <w:sz w:val="24"/>
                <w:szCs w:val="24"/>
              </w:rPr>
              <w:t>104(Ι) του 1996</w:t>
            </w:r>
          </w:p>
          <w:p w14:paraId="0DFBBEAE" w14:textId="77777777" w:rsidR="00802BD3" w:rsidRPr="00D71A17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A17">
              <w:rPr>
                <w:rFonts w:ascii="Arial" w:hAnsi="Arial" w:cs="Arial"/>
                <w:sz w:val="24"/>
                <w:szCs w:val="24"/>
              </w:rPr>
              <w:t>17(Ι) του 1999</w:t>
            </w:r>
          </w:p>
          <w:p w14:paraId="0DCEDC33" w14:textId="77777777" w:rsidR="00802BD3" w:rsidRPr="00D71A17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A17">
              <w:rPr>
                <w:rFonts w:ascii="Arial" w:hAnsi="Arial" w:cs="Arial"/>
                <w:sz w:val="24"/>
                <w:szCs w:val="24"/>
              </w:rPr>
              <w:t>234(Ι) του 2004</w:t>
            </w:r>
          </w:p>
          <w:p w14:paraId="53E252D7" w14:textId="77777777" w:rsidR="00802BD3" w:rsidRDefault="00802BD3" w:rsidP="00A163CA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A17">
              <w:rPr>
                <w:rFonts w:ascii="Arial" w:hAnsi="Arial" w:cs="Arial"/>
                <w:sz w:val="24"/>
                <w:szCs w:val="24"/>
              </w:rPr>
              <w:t>59(Ι) του 2009</w:t>
            </w:r>
          </w:p>
          <w:p w14:paraId="2C90D26E" w14:textId="77777777" w:rsidR="00802BD3" w:rsidRPr="00D71A17" w:rsidRDefault="00802BD3" w:rsidP="006C3C5E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 w:right="-27"/>
              <w:contextualSpacing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204(Ι) του 2014</w:t>
            </w:r>
            <w:r w:rsidRPr="00D71A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2"/>
          </w:tcPr>
          <w:p w14:paraId="4AE59503" w14:textId="77777777" w:rsidR="00802BD3" w:rsidRDefault="00802BD3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14:paraId="64925FC4" w14:textId="77777777" w:rsidR="00802BD3" w:rsidRPr="00A61ED6" w:rsidRDefault="00802BD3" w:rsidP="00C861E6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6" w:type="pct"/>
            <w:gridSpan w:val="2"/>
          </w:tcPr>
          <w:p w14:paraId="5E70CD93" w14:textId="13D8C291" w:rsidR="00802BD3" w:rsidRDefault="00802BD3" w:rsidP="00A163CA">
            <w:pPr>
              <w:pStyle w:val="ListParagraph"/>
              <w:tabs>
                <w:tab w:val="left" w:pos="284"/>
                <w:tab w:val="left" w:pos="706"/>
                <w:tab w:val="left" w:pos="1126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εγγεγραμμένο ψυχολόγο, ως ο όρος αυτός </w:t>
            </w:r>
            <w:r w:rsidR="00C075B5">
              <w:rPr>
                <w:rFonts w:ascii="Arial" w:hAnsi="Arial" w:cs="Arial"/>
                <w:sz w:val="24"/>
                <w:szCs w:val="24"/>
              </w:rPr>
              <w:t>προβλέπεται</w:t>
            </w:r>
            <w:r>
              <w:rPr>
                <w:rFonts w:ascii="Arial" w:hAnsi="Arial" w:cs="Arial"/>
                <w:sz w:val="24"/>
                <w:szCs w:val="24"/>
              </w:rPr>
              <w:t xml:space="preserve"> στις διατάξεις του άρθρου 2 του περί Εγγραφής Ψυχολόγων Νόμου</w:t>
            </w:r>
            <w:r w:rsidR="00CF05E2">
              <w:rPr>
                <w:rFonts w:ascii="Arial" w:hAnsi="Arial" w:cs="Arial"/>
                <w:sz w:val="24"/>
                <w:szCs w:val="24"/>
              </w:rPr>
              <w:t xml:space="preserve">.». </w:t>
            </w:r>
          </w:p>
        </w:tc>
      </w:tr>
    </w:tbl>
    <w:p w14:paraId="701ED503" w14:textId="77777777" w:rsidR="003829B2" w:rsidRDefault="003829B2" w:rsidP="00AA03B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561CAD6" w14:textId="77777777" w:rsidR="00BD0886" w:rsidRDefault="00BD0886" w:rsidP="00AA03B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8E0EC0D" w14:textId="77777777" w:rsidR="00BD0886" w:rsidRDefault="00BD0886" w:rsidP="00AA03B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67DEDBD" w14:textId="3BACD2C6" w:rsidR="00ED4A5B" w:rsidRPr="007D3351" w:rsidRDefault="00ED4A5B" w:rsidP="00AA03B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 23.02.063.010-2022</w:t>
      </w:r>
    </w:p>
    <w:p w14:paraId="64B42F35" w14:textId="77777777" w:rsidR="00250B29" w:rsidRPr="00250B29" w:rsidRDefault="008F3056" w:rsidP="005D6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861">
        <w:rPr>
          <w:rFonts w:ascii="Arial" w:hAnsi="Arial" w:cs="Arial"/>
          <w:sz w:val="20"/>
          <w:szCs w:val="20"/>
        </w:rPr>
        <w:t>ΧρΚλ</w:t>
      </w:r>
      <w:proofErr w:type="spellEnd"/>
      <w:r w:rsidR="00250B29">
        <w:rPr>
          <w:rFonts w:ascii="Arial" w:hAnsi="Arial" w:cs="Arial"/>
          <w:sz w:val="20"/>
          <w:szCs w:val="20"/>
        </w:rPr>
        <w:t>/ΡΠ/Μ</w:t>
      </w:r>
      <w:r w:rsidR="00250B29">
        <w:rPr>
          <w:rFonts w:ascii="Arial" w:hAnsi="Arial" w:cs="Arial"/>
          <w:sz w:val="20"/>
          <w:szCs w:val="20"/>
          <w:lang w:val="en-US"/>
        </w:rPr>
        <w:t>V</w:t>
      </w:r>
    </w:p>
    <w:p w14:paraId="6746A84A" w14:textId="2748B6F2" w:rsidR="00AA03B5" w:rsidRPr="002C71F1" w:rsidRDefault="001A4451" w:rsidP="00C25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861">
        <w:rPr>
          <w:rFonts w:ascii="Arial" w:hAnsi="Arial" w:cs="Arial"/>
          <w:sz w:val="20"/>
          <w:szCs w:val="20"/>
        </w:rPr>
        <w:t>ΝΠ</w:t>
      </w:r>
      <w:r w:rsidR="00250B29" w:rsidRPr="00250B29">
        <w:rPr>
          <w:rFonts w:ascii="Arial" w:hAnsi="Arial" w:cs="Arial"/>
          <w:sz w:val="20"/>
          <w:szCs w:val="20"/>
        </w:rPr>
        <w:t>/</w:t>
      </w:r>
      <w:r w:rsidR="00977495">
        <w:rPr>
          <w:rFonts w:ascii="Arial" w:hAnsi="Arial" w:cs="Arial"/>
          <w:sz w:val="20"/>
          <w:szCs w:val="20"/>
        </w:rPr>
        <w:t>ΑΦ</w:t>
      </w:r>
    </w:p>
    <w:sectPr w:rsidR="00AA03B5" w:rsidRPr="002C71F1" w:rsidSect="00E636C6">
      <w:headerReference w:type="default" r:id="rId12"/>
      <w:pgSz w:w="11906" w:h="16838" w:code="9"/>
      <w:pgMar w:top="1134" w:right="90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F7B7" w14:textId="77777777" w:rsidR="003C384C" w:rsidRDefault="003C384C" w:rsidP="004F0530">
      <w:pPr>
        <w:spacing w:after="0" w:line="240" w:lineRule="auto"/>
      </w:pPr>
      <w:r>
        <w:separator/>
      </w:r>
    </w:p>
  </w:endnote>
  <w:endnote w:type="continuationSeparator" w:id="0">
    <w:p w14:paraId="73FE2AC0" w14:textId="77777777" w:rsidR="003C384C" w:rsidRDefault="003C384C" w:rsidP="004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006A" w14:textId="77777777" w:rsidR="003C384C" w:rsidRDefault="003C384C" w:rsidP="004F0530">
      <w:pPr>
        <w:spacing w:after="0" w:line="240" w:lineRule="auto"/>
      </w:pPr>
      <w:r>
        <w:separator/>
      </w:r>
    </w:p>
  </w:footnote>
  <w:footnote w:type="continuationSeparator" w:id="0">
    <w:p w14:paraId="56C3ED2A" w14:textId="77777777" w:rsidR="003C384C" w:rsidRDefault="003C384C" w:rsidP="004F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6671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1972E9A" w14:textId="6D736C24" w:rsidR="000C530F" w:rsidRPr="0056021E" w:rsidRDefault="000C530F">
        <w:pPr>
          <w:pStyle w:val="Header"/>
          <w:jc w:val="center"/>
          <w:rPr>
            <w:rFonts w:ascii="Arial" w:hAnsi="Arial" w:cs="Arial"/>
          </w:rPr>
        </w:pPr>
        <w:r w:rsidRPr="0056021E">
          <w:rPr>
            <w:rFonts w:ascii="Arial" w:hAnsi="Arial" w:cs="Arial"/>
          </w:rPr>
          <w:fldChar w:fldCharType="begin"/>
        </w:r>
        <w:r w:rsidRPr="0056021E">
          <w:rPr>
            <w:rFonts w:ascii="Arial" w:hAnsi="Arial" w:cs="Arial"/>
          </w:rPr>
          <w:instrText xml:space="preserve"> PAGE   \* MERGEFORMAT </w:instrText>
        </w:r>
        <w:r w:rsidRPr="0056021E">
          <w:rPr>
            <w:rFonts w:ascii="Arial" w:hAnsi="Arial" w:cs="Arial"/>
          </w:rPr>
          <w:fldChar w:fldCharType="separate"/>
        </w:r>
        <w:r w:rsidRPr="0056021E">
          <w:rPr>
            <w:rFonts w:ascii="Arial" w:hAnsi="Arial" w:cs="Arial"/>
            <w:noProof/>
          </w:rPr>
          <w:t>2</w:t>
        </w:r>
        <w:r w:rsidRPr="0056021E">
          <w:rPr>
            <w:rFonts w:ascii="Arial" w:hAnsi="Arial" w:cs="Arial"/>
            <w:noProof/>
          </w:rPr>
          <w:fldChar w:fldCharType="end"/>
        </w:r>
      </w:p>
    </w:sdtContent>
  </w:sdt>
  <w:p w14:paraId="67693A4F" w14:textId="77777777" w:rsidR="004F0530" w:rsidRDefault="004F0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4"/>
    <w:multiLevelType w:val="multilevel"/>
    <w:tmpl w:val="0F3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83364"/>
    <w:multiLevelType w:val="hybridMultilevel"/>
    <w:tmpl w:val="C6705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28D6"/>
    <w:multiLevelType w:val="hybridMultilevel"/>
    <w:tmpl w:val="CF44F186"/>
    <w:lvl w:ilvl="0" w:tplc="A2CE58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FE7FBF"/>
    <w:multiLevelType w:val="hybridMultilevel"/>
    <w:tmpl w:val="215E765C"/>
    <w:lvl w:ilvl="0" w:tplc="3444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49072">
    <w:abstractNumId w:val="1"/>
  </w:num>
  <w:num w:numId="2" w16cid:durableId="1470898015">
    <w:abstractNumId w:val="2"/>
  </w:num>
  <w:num w:numId="3" w16cid:durableId="1862471403">
    <w:abstractNumId w:val="0"/>
  </w:num>
  <w:num w:numId="4" w16cid:durableId="393507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48"/>
    <w:rsid w:val="00037866"/>
    <w:rsid w:val="000636D9"/>
    <w:rsid w:val="00064574"/>
    <w:rsid w:val="00075009"/>
    <w:rsid w:val="00090063"/>
    <w:rsid w:val="000A7DA8"/>
    <w:rsid w:val="000B5C1E"/>
    <w:rsid w:val="000C3DA9"/>
    <w:rsid w:val="000C530F"/>
    <w:rsid w:val="001009E5"/>
    <w:rsid w:val="00121297"/>
    <w:rsid w:val="001369AF"/>
    <w:rsid w:val="00152ED5"/>
    <w:rsid w:val="0015691B"/>
    <w:rsid w:val="001644DE"/>
    <w:rsid w:val="00170C56"/>
    <w:rsid w:val="001863CE"/>
    <w:rsid w:val="001A3628"/>
    <w:rsid w:val="001A4451"/>
    <w:rsid w:val="001B14C7"/>
    <w:rsid w:val="001C1648"/>
    <w:rsid w:val="001D56FB"/>
    <w:rsid w:val="001E333D"/>
    <w:rsid w:val="001E5D13"/>
    <w:rsid w:val="001F6428"/>
    <w:rsid w:val="00213614"/>
    <w:rsid w:val="00221594"/>
    <w:rsid w:val="00230565"/>
    <w:rsid w:val="00232CE2"/>
    <w:rsid w:val="00247052"/>
    <w:rsid w:val="00250B29"/>
    <w:rsid w:val="00257B56"/>
    <w:rsid w:val="002B53BF"/>
    <w:rsid w:val="002C71F1"/>
    <w:rsid w:val="002F6A1C"/>
    <w:rsid w:val="003001E9"/>
    <w:rsid w:val="00321C2E"/>
    <w:rsid w:val="003439C6"/>
    <w:rsid w:val="00355C96"/>
    <w:rsid w:val="00382763"/>
    <w:rsid w:val="003829B2"/>
    <w:rsid w:val="003A190A"/>
    <w:rsid w:val="003B47C0"/>
    <w:rsid w:val="003B63FC"/>
    <w:rsid w:val="003C384C"/>
    <w:rsid w:val="003C574F"/>
    <w:rsid w:val="003D241F"/>
    <w:rsid w:val="003E1E19"/>
    <w:rsid w:val="003E68BA"/>
    <w:rsid w:val="003F579C"/>
    <w:rsid w:val="00441966"/>
    <w:rsid w:val="00451FA7"/>
    <w:rsid w:val="00465900"/>
    <w:rsid w:val="004700C2"/>
    <w:rsid w:val="00472C88"/>
    <w:rsid w:val="00487D47"/>
    <w:rsid w:val="004A6481"/>
    <w:rsid w:val="004B79A6"/>
    <w:rsid w:val="004C15A9"/>
    <w:rsid w:val="004C30CB"/>
    <w:rsid w:val="004C59A8"/>
    <w:rsid w:val="004D3E48"/>
    <w:rsid w:val="004F0530"/>
    <w:rsid w:val="005337C9"/>
    <w:rsid w:val="00535476"/>
    <w:rsid w:val="00535A7B"/>
    <w:rsid w:val="005367A3"/>
    <w:rsid w:val="0056021E"/>
    <w:rsid w:val="00570788"/>
    <w:rsid w:val="00581E33"/>
    <w:rsid w:val="00596084"/>
    <w:rsid w:val="005B40E4"/>
    <w:rsid w:val="005C691E"/>
    <w:rsid w:val="005D67EB"/>
    <w:rsid w:val="005E6517"/>
    <w:rsid w:val="005F48EB"/>
    <w:rsid w:val="005F4A93"/>
    <w:rsid w:val="00603A44"/>
    <w:rsid w:val="006141B4"/>
    <w:rsid w:val="006143A9"/>
    <w:rsid w:val="00686643"/>
    <w:rsid w:val="0069655F"/>
    <w:rsid w:val="006B3B00"/>
    <w:rsid w:val="006B60FB"/>
    <w:rsid w:val="006C0F77"/>
    <w:rsid w:val="006C3C5E"/>
    <w:rsid w:val="006D0E86"/>
    <w:rsid w:val="006F6C89"/>
    <w:rsid w:val="00707FB5"/>
    <w:rsid w:val="00716E1A"/>
    <w:rsid w:val="0072671E"/>
    <w:rsid w:val="00736764"/>
    <w:rsid w:val="00751301"/>
    <w:rsid w:val="007519E8"/>
    <w:rsid w:val="00765861"/>
    <w:rsid w:val="007669E2"/>
    <w:rsid w:val="00787640"/>
    <w:rsid w:val="0079229F"/>
    <w:rsid w:val="007A6E21"/>
    <w:rsid w:val="007D3351"/>
    <w:rsid w:val="007D715A"/>
    <w:rsid w:val="007E0468"/>
    <w:rsid w:val="007E3B5F"/>
    <w:rsid w:val="007F1F5D"/>
    <w:rsid w:val="007F3214"/>
    <w:rsid w:val="00802BD3"/>
    <w:rsid w:val="0081658D"/>
    <w:rsid w:val="00830CD3"/>
    <w:rsid w:val="00837B45"/>
    <w:rsid w:val="00845BA4"/>
    <w:rsid w:val="00861304"/>
    <w:rsid w:val="00864851"/>
    <w:rsid w:val="008827B2"/>
    <w:rsid w:val="0088648F"/>
    <w:rsid w:val="008C0934"/>
    <w:rsid w:val="008E3B92"/>
    <w:rsid w:val="008E7241"/>
    <w:rsid w:val="008F3056"/>
    <w:rsid w:val="008F588C"/>
    <w:rsid w:val="00905DAF"/>
    <w:rsid w:val="00920787"/>
    <w:rsid w:val="00935DF7"/>
    <w:rsid w:val="00977495"/>
    <w:rsid w:val="0099559C"/>
    <w:rsid w:val="009B2A92"/>
    <w:rsid w:val="009C3757"/>
    <w:rsid w:val="009E0889"/>
    <w:rsid w:val="009F2676"/>
    <w:rsid w:val="00A00FF1"/>
    <w:rsid w:val="00A06FF6"/>
    <w:rsid w:val="00A357BD"/>
    <w:rsid w:val="00A4294F"/>
    <w:rsid w:val="00A43C0D"/>
    <w:rsid w:val="00A43EB5"/>
    <w:rsid w:val="00A44ABB"/>
    <w:rsid w:val="00A4560E"/>
    <w:rsid w:val="00A61ED6"/>
    <w:rsid w:val="00AA03B5"/>
    <w:rsid w:val="00AA194D"/>
    <w:rsid w:val="00AA58CC"/>
    <w:rsid w:val="00AD2871"/>
    <w:rsid w:val="00B1265D"/>
    <w:rsid w:val="00B158A0"/>
    <w:rsid w:val="00B377AF"/>
    <w:rsid w:val="00B527C1"/>
    <w:rsid w:val="00B55439"/>
    <w:rsid w:val="00BB05F3"/>
    <w:rsid w:val="00BB406F"/>
    <w:rsid w:val="00BB6ECC"/>
    <w:rsid w:val="00BB6F15"/>
    <w:rsid w:val="00BC7B40"/>
    <w:rsid w:val="00BD0886"/>
    <w:rsid w:val="00BD21D1"/>
    <w:rsid w:val="00BD6372"/>
    <w:rsid w:val="00BE1576"/>
    <w:rsid w:val="00BE4493"/>
    <w:rsid w:val="00BE7613"/>
    <w:rsid w:val="00BF15C9"/>
    <w:rsid w:val="00C01B23"/>
    <w:rsid w:val="00C075B5"/>
    <w:rsid w:val="00C25D8E"/>
    <w:rsid w:val="00C66184"/>
    <w:rsid w:val="00C861E6"/>
    <w:rsid w:val="00C867CD"/>
    <w:rsid w:val="00CB44DF"/>
    <w:rsid w:val="00CD14EC"/>
    <w:rsid w:val="00CD1E69"/>
    <w:rsid w:val="00CD4D65"/>
    <w:rsid w:val="00CF05E2"/>
    <w:rsid w:val="00CF318A"/>
    <w:rsid w:val="00CF431C"/>
    <w:rsid w:val="00CF59F5"/>
    <w:rsid w:val="00D04B97"/>
    <w:rsid w:val="00D05F80"/>
    <w:rsid w:val="00D07E67"/>
    <w:rsid w:val="00D317BA"/>
    <w:rsid w:val="00D46C76"/>
    <w:rsid w:val="00D52434"/>
    <w:rsid w:val="00D71A17"/>
    <w:rsid w:val="00D74BA1"/>
    <w:rsid w:val="00D94C50"/>
    <w:rsid w:val="00DB1C13"/>
    <w:rsid w:val="00DB4FD8"/>
    <w:rsid w:val="00DC1A03"/>
    <w:rsid w:val="00DD1D6B"/>
    <w:rsid w:val="00DD396B"/>
    <w:rsid w:val="00DD47A0"/>
    <w:rsid w:val="00DD4C8B"/>
    <w:rsid w:val="00DE26D7"/>
    <w:rsid w:val="00DF48BE"/>
    <w:rsid w:val="00DF4E9A"/>
    <w:rsid w:val="00DF5CBF"/>
    <w:rsid w:val="00E02610"/>
    <w:rsid w:val="00E50D9B"/>
    <w:rsid w:val="00E554E9"/>
    <w:rsid w:val="00E636C6"/>
    <w:rsid w:val="00E65C86"/>
    <w:rsid w:val="00E705A0"/>
    <w:rsid w:val="00E7522C"/>
    <w:rsid w:val="00E909B5"/>
    <w:rsid w:val="00E9585E"/>
    <w:rsid w:val="00E95863"/>
    <w:rsid w:val="00EC0A64"/>
    <w:rsid w:val="00EC25B3"/>
    <w:rsid w:val="00EC2EDE"/>
    <w:rsid w:val="00ED495E"/>
    <w:rsid w:val="00ED4A5B"/>
    <w:rsid w:val="00ED7EA1"/>
    <w:rsid w:val="00EE29F9"/>
    <w:rsid w:val="00F1648A"/>
    <w:rsid w:val="00F33F92"/>
    <w:rsid w:val="00F372BA"/>
    <w:rsid w:val="00F518D9"/>
    <w:rsid w:val="00F51E0A"/>
    <w:rsid w:val="00F53124"/>
    <w:rsid w:val="00F56628"/>
    <w:rsid w:val="00F66225"/>
    <w:rsid w:val="00F73080"/>
    <w:rsid w:val="00F737B0"/>
    <w:rsid w:val="00F75DAA"/>
    <w:rsid w:val="00F8547A"/>
    <w:rsid w:val="00F86C53"/>
    <w:rsid w:val="00FD352C"/>
    <w:rsid w:val="00FD3A35"/>
    <w:rsid w:val="00FD7916"/>
    <w:rsid w:val="00FF3B21"/>
    <w:rsid w:val="01AA4C89"/>
    <w:rsid w:val="409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485"/>
  <w15:chartTrackingRefBased/>
  <w15:docId w15:val="{73E82EEC-9ABB-4CA9-8903-496B50F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3B5"/>
    <w:pPr>
      <w:ind w:left="720"/>
      <w:contextualSpacing/>
    </w:pPr>
  </w:style>
  <w:style w:type="paragraph" w:customStyle="1" w:styleId="toc-instrument">
    <w:name w:val="toc-instrument"/>
    <w:basedOn w:val="Normal"/>
    <w:rsid w:val="00AA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oc-instrument-enum">
    <w:name w:val="toc-instrument-enum"/>
    <w:basedOn w:val="DefaultParagraphFont"/>
    <w:rsid w:val="00AA03B5"/>
  </w:style>
  <w:style w:type="paragraph" w:styleId="Header">
    <w:name w:val="header"/>
    <w:basedOn w:val="Normal"/>
    <w:link w:val="HeaderChar"/>
    <w:uiPriority w:val="99"/>
    <w:unhideWhenUsed/>
    <w:rsid w:val="004F0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30"/>
  </w:style>
  <w:style w:type="paragraph" w:styleId="Footer">
    <w:name w:val="footer"/>
    <w:basedOn w:val="Normal"/>
    <w:link w:val="FooterChar"/>
    <w:uiPriority w:val="99"/>
    <w:unhideWhenUsed/>
    <w:rsid w:val="004F0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30"/>
  </w:style>
  <w:style w:type="paragraph" w:styleId="BalloonText">
    <w:name w:val="Balloon Text"/>
    <w:basedOn w:val="Normal"/>
    <w:link w:val="BalloonTextChar"/>
    <w:uiPriority w:val="99"/>
    <w:semiHidden/>
    <w:unhideWhenUsed/>
    <w:rsid w:val="000C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41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35DF7"/>
  </w:style>
  <w:style w:type="character" w:customStyle="1" w:styleId="eop">
    <w:name w:val="eop"/>
    <w:basedOn w:val="DefaultParagraphFont"/>
    <w:rsid w:val="00935DF7"/>
  </w:style>
  <w:style w:type="character" w:styleId="CommentReference">
    <w:name w:val="annotation reference"/>
    <w:basedOn w:val="DefaultParagraphFont"/>
    <w:uiPriority w:val="99"/>
    <w:semiHidden/>
    <w:unhideWhenUsed/>
    <w:rsid w:val="0097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WTXWWF446S62-346012854-3242</_dlc_DocId>
    <_dlc_DocIdUrl xmlns="4e7d1edd-4c3f-49ab-b568-1d39293129b9">
      <Url>https://govcloud.gov.cy/independent/parliament/law/_layouts/15/DocIdRedir.aspx?ID=WTXWWF446S62-346012854-3242</Url>
      <Description>WTXWWF446S62-346012854-3242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1BA34B7007CC4FA5680BD44B41FC1D" ma:contentTypeVersion="2" ma:contentTypeDescription="Δημιουργία νέου εγγράφου" ma:contentTypeScope="" ma:versionID="1f2cab9a5cf4816d26ece14168feb1d3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47455022c2af238a855f5b01deecb4c2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29A67-9625-4B63-BBF7-71548E1B0FBD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2.xml><?xml version="1.0" encoding="utf-8"?>
<ds:datastoreItem xmlns:ds="http://schemas.openxmlformats.org/officeDocument/2006/customXml" ds:itemID="{507A5F99-8683-4504-804D-605745E2E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272E0-54C8-4267-BB27-5C211DE299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19D072-34C8-405B-8029-07AAC42551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05EAFE-7428-4F53-A111-A646E746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Maria Vakana</cp:lastModifiedBy>
  <cp:revision>15</cp:revision>
  <cp:lastPrinted>2023-04-28T08:10:00Z</cp:lastPrinted>
  <dcterms:created xsi:type="dcterms:W3CDTF">2023-04-07T06:11:00Z</dcterms:created>
  <dcterms:modified xsi:type="dcterms:W3CDTF">2023-05-22T07:46:00Z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0x010100FD1BA34B7007CC4FA5680BD44B41FC1D</vt:lpwstr>
  </property>
  <property fmtid="{D5CDD505-2E9C-101B-9397-08002B2CF9AE}" pid="3" name="_dlc_DocIdItemGuid">
    <vt:lpwstr>36f4b07b-4b00-49e1-978d-0c240bd5dada</vt:lpwstr>
  </property>
</Properties>
</file>